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20722121b12d4b6a" /></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spacing w:after="1200"/>
      </w:pPr>
    </w:p>
    <w:p w14:paraId="00100002" w14:textId="00100003">
      <w:pPr>
        <w:spacing w:after="400"/>
        <w:jc w:val="center"/>
      </w:pPr>
      <w:r>
        <w:rPr>
          <w:rFonts w:ascii="Times New Roman" w:hAnsi="Times New Roman"/>
          <w:b/>
          <w:i w:val="0"/>
          <w:color w:val="1F2328"/>
          <w:sz w:val="48"/>
        </w:rPr>
        <w:t>Delivery Logistics Performance &amp;</w:t>
        <w:br/>
        <w:t>Delay Analytics</w:t>
      </w:r>
    </w:p>
    <w:p w14:paraId="00100004" w14:textId="00100005">
      <w:pPr>
        <w:spacing w:after="160"/>
        <w:jc w:val="center"/>
      </w:pPr>
      <w:r>
        <w:rPr>
          <w:rFonts w:ascii="Times New Roman" w:hAnsi="Times New Roman"/>
          <w:b w:val="0"/>
          <w:i w:val="0"/>
          <w:color w:val="57606A"/>
          <w:sz w:val="32"/>
        </w:rPr>
        <w:t>Data Analytics with AI</w:t>
      </w:r>
    </w:p>
    <w:p w14:paraId="00100006" w14:textId="00100007">
      <w:pPr>
        <w:spacing w:after="160"/>
        <w:jc w:val="center"/>
      </w:pPr>
      <w:r>
        <w:rPr>
          <w:rFonts w:ascii="Times New Roman" w:hAnsi="Times New Roman"/>
          <w:b w:val="0"/>
          <w:i w:val="0"/>
          <w:color w:val="57606A"/>
          <w:sz w:val="28"/>
        </w:rPr>
        <w:t>BharatCares Internship Project</w:t>
      </w:r>
    </w:p>
    <w:p w14:paraId="00100008" w14:textId="00100009">
      <w:pPr>
        <w:spacing w:after="160"/>
        <w:jc w:val="center"/>
      </w:pPr>
      <w:r>
        <w:rPr>
          <w:rFonts w:ascii="Times New Roman" w:hAnsi="Times New Roman"/>
          <w:b w:val="0"/>
          <w:i/>
          <w:color w:val="57606A"/>
          <w:sz w:val="26"/>
        </w:rPr>
        <w:t>Student Project Report</w:t>
      </w:r>
    </w:p>
    <w:p w14:paraId="0010000A" w14:textId="0010000B">
      <w:pPr>
        <w:spacing w:after="800"/>
      </w:pPr>
    </w:p>
    <w:p w14:paraId="0010000C" w14:textId="001003CE">
      <w:pPr>
        <w:spacing w:after="120"/>
        <w:jc w:val="center"/>
      </w:pPr>
      <w:r>
        <w:rPr>
          <w:rFonts w:ascii="Times New Roman" w:hAnsi="Times New Roman"/>
          <w:b/>
          <w:i w:val="0"/>
          <w:sz w:val="24"/>
        </w:rPr>
        <w:t xml:space="preserve">Student Name: </w:t>
      </w:r>
      <w:r>
        <w:rPr>
          <w:rFonts w:ascii="Times New Roman" w:hAnsi="Times New Roman"/>
          <w:b w:val="0"/>
          <w:i/>
          <w:color w:val="57606A"/>
          <w:sz w:val="24"/>
        </w:rPr>
        <w:t xml:space="preserve">Safwana Yasmin</w:t>
      </w:r>
    </w:p>
    <w:p w14:paraId="0010000E" w14:textId="001003CF">
      <w:pPr>
        <w:spacing w:after="120"/>
        <w:jc w:val="center"/>
      </w:pPr>
      <w:r>
        <w:rPr>
          <w:rFonts w:ascii="Times New Roman" w:hAnsi="Times New Roman"/>
          <w:b/>
          <w:i w:val="0"/>
          <w:sz w:val="24"/>
        </w:rPr>
        <w:t xml:space="preserve">College / Institute: </w:t>
      </w:r>
      <w:r>
        <w:rPr>
          <w:rFonts w:ascii="Times New Roman" w:hAnsi="Times New Roman"/>
          <w:b w:val="0"/>
          <w:i/>
          <w:color w:val="57606A"/>
          <w:sz w:val="24"/>
        </w:rPr>
        <w:t xml:space="preserve">SCMS School of Technology and Management</w:t>
      </w:r>
    </w:p>
    <w:p w14:paraId="00100010" w14:textId="001003D0">
      <w:pPr>
        <w:spacing w:after="120"/>
        <w:jc w:val="center"/>
      </w:pPr>
      <w:r>
        <w:rPr>
          <w:rFonts w:ascii="Times New Roman" w:hAnsi="Times New Roman"/>
          <w:b/>
          <w:i w:val="0"/>
          <w:sz w:val="24"/>
        </w:rPr>
        <w:t xml:space="preserve">Course: </w:t>
      </w:r>
      <w:r>
        <w:rPr>
          <w:rFonts w:ascii="Times New Roman" w:hAnsi="Times New Roman"/>
          <w:b w:val="0"/>
          <w:i/>
          <w:color w:val="57606A"/>
          <w:sz w:val="24"/>
        </w:rPr>
        <w:t xml:space="preserve">Integrated MCA</w:t>
      </w:r>
    </w:p>
    <w:p w14:paraId="00100012" w14:textId="001003D1">
      <w:pPr>
        <w:spacing w:after="120"/>
        <w:jc w:val="center"/>
      </w:pPr>
      <w:r>
        <w:rPr>
          <w:rFonts w:ascii="Times New Roman" w:hAnsi="Times New Roman"/>
          <w:b/>
          <w:i w:val="0"/>
          <w:sz w:val="24"/>
        </w:rPr>
        <w:t xml:space="preserve">Internship Period: </w:t>
      </w:r>
      <w:r>
        <w:rPr>
          <w:rFonts w:ascii="Times New Roman" w:hAnsi="Times New Roman"/>
          <w:b w:val="0"/>
          <w:i/>
          <w:color w:val="57606A"/>
          <w:sz w:val="24"/>
        </w:rPr>
        <w:t xml:space="preserve">17 August 2026 – 30 September 2026</w:t>
      </w:r>
    </w:p>
    <w:p w14:paraId="00100014" w14:textId="00100015">
      <w:r>
        <w:br w:type="page"/>
      </w:r>
    </w:p>
    <w:p w14:paraId="00100016" w14:textId="00100017">
      <w:pPr>
        <w:spacing w:before="280" w:after="120"/>
        <w:jc w:val="left"/>
      </w:pPr>
      <w:r>
        <w:rPr>
          <w:rFonts w:ascii="Times New Roman" w:hAnsi="Times New Roman"/>
          <w:b/>
          <w:i w:val="0"/>
          <w:color w:val="1F2328"/>
          <w:sz w:val="32"/>
        </w:rPr>
        <w:t>Abstract</w:t>
      </w:r>
    </w:p>
    <w:p w14:paraId="00100018" w14:textId="00100019">
      <w:pPr>
        <w:spacing w:after="120"/>
      </w:pPr>
      <w:r>
        <w:rPr>
          <w:rFonts w:ascii="Times New Roman" w:hAnsi="Times New Roman"/>
          <w:b w:val="0"/>
          <w:i w:val="0"/>
          <w:sz w:val="24"/>
        </w:rPr>
        <w:t>This report presents the findings of a data analytics project conducted as part of the BharatCares Data Analytics with AI internship programme. The project analyses a synthetic delivery-logistics dataset of 25,000 delivery records drawn from a simulated Indian multi-partner logistics environment. The objective is to understand patterns in delivery delays and to examine how delay rates vary across delivery modes, weather conditions, distance bands, delivery partners, and geographic regions. The analysis also investigates the relationship between delivery time and customer satisfaction ratings.</w:t>
      </w:r>
    </w:p>
    <w:p w14:paraId="0010001A" w14:textId="0010001B">
      <w:pPr>
        <w:spacing w:after="120"/>
      </w:pPr>
      <w:r>
        <w:rPr>
          <w:rFonts w:ascii="Times New Roman" w:hAnsi="Times New Roman"/>
          <w:b w:val="0"/>
          <w:i w:val="0"/>
          <w:sz w:val="24"/>
        </w:rPr>
        <w:t>The analytical workflow is implemented entirely in Python using Pandas, NumPy, and Matplotlib. It covers data loading, data inspection, data cleaning, exploratory data analysis, business KPI calculation, dimensional analysis, and visualization. Key findings include an overall delay rate of 26.68%, a substantial variation in observed delay rates across delivery modes, a positive association between distance and both delivery cost and delay rate, and a weak negative correlation between delivery time and customer rating.</w:t>
      </w:r>
    </w:p>
    <w:p w14:paraId="0010001C" w14:textId="0010001D">
      <w:pPr>
        <w:spacing w:after="160"/>
      </w:pPr>
      <w:r>
        <w:rPr>
          <w:rFonts w:ascii="Times New Roman" w:hAnsi="Times New Roman"/>
          <w:b w:val="0"/>
          <w:i/>
          <w:color w:val="57606A"/>
          <w:sz w:val="22"/>
        </w:rPr>
        <w:t>Note: The dataset used in this project is synthetic. All findings are observations from this dataset only and do not represent real-world performance of any logistics company.</w:t>
      </w:r>
    </w:p>
    <w:p w14:paraId="0010001E" w14:textId="0010001F">
      <w:pPr>
        <w:spacing w:before="280" w:after="120"/>
        <w:jc w:val="left"/>
      </w:pPr>
      <w:r>
        <w:rPr>
          <w:rFonts w:ascii="Times New Roman" w:hAnsi="Times New Roman"/>
          <w:b/>
          <w:i w:val="0"/>
          <w:color w:val="1F2328"/>
          <w:sz w:val="32"/>
        </w:rPr>
        <w:t>1. Introduction</w:t>
      </w:r>
    </w:p>
    <w:p w14:paraId="00100020" w14:textId="00100021">
      <w:pPr>
        <w:spacing w:after="120"/>
      </w:pPr>
      <w:r>
        <w:rPr>
          <w:rFonts w:ascii="Times New Roman" w:hAnsi="Times New Roman"/>
          <w:b w:val="0"/>
          <w:i w:val="0"/>
          <w:sz w:val="24"/>
        </w:rPr>
        <w:t>Timely delivery is one of the most important indicators of performance in the logistics and e-commerce industry. Delays in delivery directly affect customer satisfaction, operational costs, and the reputation of logistics providers. As the volume of deliveries grows — driven by the expansion of online shopping and same-day delivery services — the ability to understand and monitor delivery performance becomes increasingly important.</w:t>
      </w:r>
    </w:p>
    <w:p w14:paraId="00100022" w14:textId="00100023">
      <w:pPr>
        <w:spacing w:after="120"/>
      </w:pPr>
      <w:r>
        <w:rPr>
          <w:rFonts w:ascii="Times New Roman" w:hAnsi="Times New Roman"/>
          <w:b w:val="0"/>
          <w:i w:val="0"/>
          <w:sz w:val="24"/>
        </w:rPr>
        <w:t>Data analytics provides a structured approach to examining large volumes of delivery records and identifying patterns that may not be visible through individual inspection. By grouping data across dimensions such as delivery mode, weather conditions, distance, and geographic region, analysts can observe which factors are associated with higher or lower delay rates and where performance differs across operational segments.</w:t>
      </w:r>
    </w:p>
    <w:p w14:paraId="00100024" w14:textId="00100025">
      <w:pPr>
        <w:spacing w:after="120"/>
      </w:pPr>
      <w:r>
        <w:rPr>
          <w:rFonts w:ascii="Times New Roman" w:hAnsi="Times New Roman"/>
          <w:b w:val="0"/>
          <w:i w:val="0"/>
          <w:sz w:val="24"/>
        </w:rPr>
        <w:t>This project applies a Python-based analytics workflow to a synthetic delivery-logistics dataset. The goal is to demonstrate a complete analytical pipeline — from raw data cleaning to business insight generation — and to produce visualizations and structured findings that could support operational monitoring in a logistics context.</w:t>
      </w:r>
    </w:p>
    <w:p w14:paraId="00100026" w14:textId="00100027">
      <w:pPr>
        <w:spacing w:before="280" w:after="120"/>
        <w:jc w:val="left"/>
      </w:pPr>
      <w:r>
        <w:rPr>
          <w:rFonts w:ascii="Times New Roman" w:hAnsi="Times New Roman"/>
          <w:b/>
          <w:i w:val="0"/>
          <w:color w:val="1F2328"/>
          <w:sz w:val="32"/>
        </w:rPr>
        <w:t>2. Problem Statement</w:t>
      </w:r>
    </w:p>
    <w:p w14:paraId="00100028" w14:textId="00100029">
      <w:pPr>
        <w:spacing w:after="120"/>
      </w:pPr>
      <w:r>
        <w:rPr>
          <w:rFonts w:ascii="Times New Roman" w:hAnsi="Times New Roman"/>
          <w:b w:val="0"/>
          <w:i w:val="0"/>
          <w:sz w:val="24"/>
        </w:rPr>
        <w:t>The central analytical question addressed by this project is:</w:t>
      </w:r>
    </w:p>
    <w:p w14:paraId="0010002A" w14:textId="0010002B">
      <w:pPr>
        <w:spacing w:after="200"/>
        <w:ind w:left="720"/>
      </w:pPr>
      <w:r>
        <w:rPr>
          <w:rFonts w:ascii="Times New Roman" w:hAnsi="Times New Roman"/>
          <w:b w:val="0"/>
          <w:i/>
          <w:sz w:val="24"/>
        </w:rPr>
        <w:t>What patterns exist in delivery delays across delivery modes, weather conditions, distance bands, delivery partners, and regions in this synthetic logistics dataset? How are delivery time and customer satisfaction ratings associated in this data?</w:t>
      </w:r>
    </w:p>
    <w:p w14:paraId="0010002C" w14:textId="0010002D">
      <w:pPr>
        <w:spacing w:after="120"/>
      </w:pPr>
      <w:r>
        <w:rPr>
          <w:rFonts w:ascii="Times New Roman" w:hAnsi="Times New Roman"/>
          <w:b w:val="0"/>
          <w:i w:val="0"/>
          <w:sz w:val="24"/>
        </w:rPr>
        <w:t>The project does not attempt to prove that any single factor causes delivery delays. All findings are described as observed associations within this synthetic dataset.</w:t>
      </w:r>
    </w:p>
    <w:p w14:paraId="0010002E" w14:textId="0010002F">
      <w:pPr>
        <w:spacing w:before="280" w:after="120"/>
        <w:jc w:val="left"/>
      </w:pPr>
      <w:r>
        <w:rPr>
          <w:rFonts w:ascii="Times New Roman" w:hAnsi="Times New Roman"/>
          <w:b/>
          <w:i w:val="0"/>
          <w:color w:val="1F2328"/>
          <w:sz w:val="32"/>
        </w:rPr>
        <w:t>3. Objectives</w:t>
      </w:r>
    </w:p>
    <w:p w14:paraId="00100030" w14:textId="00100031">
      <w:pPr>
        <w:pStyle w:val="ListBullet"/>
        <w:spacing w:after="80"/>
      </w:pPr>
      <w:r>
        <w:rPr>
          <w:rFonts w:ascii="Times New Roman" w:hAnsi="Times New Roman"/>
          <w:b w:val="0"/>
          <w:i w:val="0"/>
          <w:sz w:val="24"/>
        </w:rPr>
        <w:t>Measure overall delivery performance across all 25,000 records.</w:t>
      </w:r>
    </w:p>
    <w:p w14:paraId="00100032" w14:textId="00100033">
      <w:pPr>
        <w:pStyle w:val="ListBullet"/>
        <w:spacing w:after="80"/>
      </w:pPr>
      <w:r>
        <w:rPr>
          <w:rFonts w:ascii="Times New Roman" w:hAnsi="Times New Roman"/>
          <w:b w:val="0"/>
          <w:i w:val="0"/>
          <w:sz w:val="24"/>
        </w:rPr>
        <w:t>Calculate the overall delivery delay rate using the original delayed field.</w:t>
      </w:r>
    </w:p>
    <w:p w14:paraId="00100034" w14:textId="00100035">
      <w:pPr>
        <w:pStyle w:val="ListBullet"/>
        <w:spacing w:after="80"/>
      </w:pPr>
      <w:r>
        <w:rPr>
          <w:rFonts w:ascii="Times New Roman" w:hAnsi="Times New Roman"/>
          <w:b w:val="0"/>
          <w:i w:val="0"/>
          <w:sz w:val="24"/>
        </w:rPr>
        <w:t>Analyse delay rates by delivery mode.</w:t>
      </w:r>
    </w:p>
    <w:p w14:paraId="00100036" w14:textId="00100037">
      <w:pPr>
        <w:pStyle w:val="ListBullet"/>
        <w:spacing w:after="80"/>
      </w:pPr>
      <w:r>
        <w:rPr>
          <w:rFonts w:ascii="Times New Roman" w:hAnsi="Times New Roman"/>
          <w:b w:val="0"/>
          <w:i w:val="0"/>
          <w:sz w:val="24"/>
        </w:rPr>
        <w:t>Examine the association between weather conditions and observed delays.</w:t>
      </w:r>
    </w:p>
    <w:p w14:paraId="00100038" w14:textId="00100039">
      <w:pPr>
        <w:pStyle w:val="ListBullet"/>
        <w:spacing w:after="80"/>
      </w:pPr>
      <w:r>
        <w:rPr>
          <w:rFonts w:ascii="Times New Roman" w:hAnsi="Times New Roman"/>
          <w:b w:val="0"/>
          <w:i w:val="0"/>
          <w:sz w:val="24"/>
        </w:rPr>
        <w:t>Analyse the relationship between delivery distance, delivery time, and cost.</w:t>
      </w:r>
    </w:p>
    <w:p w14:paraId="0010003A" w14:textId="0010003B">
      <w:pPr>
        <w:pStyle w:val="ListBullet"/>
        <w:spacing w:after="80"/>
      </w:pPr>
      <w:r>
        <w:rPr>
          <w:rFonts w:ascii="Times New Roman" w:hAnsi="Times New Roman"/>
          <w:b w:val="0"/>
          <w:i w:val="0"/>
          <w:sz w:val="24"/>
        </w:rPr>
        <w:t>Examine the association between delivery time and customer ratings.</w:t>
      </w:r>
    </w:p>
    <w:p w14:paraId="0010003C" w14:textId="0010003D">
      <w:pPr>
        <w:pStyle w:val="ListBullet"/>
        <w:spacing w:after="80"/>
      </w:pPr>
      <w:r>
        <w:rPr>
          <w:rFonts w:ascii="Times New Roman" w:hAnsi="Times New Roman"/>
          <w:b w:val="0"/>
          <w:i w:val="0"/>
          <w:sz w:val="24"/>
        </w:rPr>
        <w:t>Analyse delivery partner and regional delay-rate patterns.</w:t>
      </w:r>
    </w:p>
    <w:p w14:paraId="0010003E" w14:textId="0010003F">
      <w:pPr>
        <w:pStyle w:val="ListBullet"/>
        <w:spacing w:after="80"/>
      </w:pPr>
      <w:r>
        <w:rPr>
          <w:rFonts w:ascii="Times New Roman" w:hAnsi="Times New Roman"/>
          <w:b w:val="0"/>
          <w:i w:val="0"/>
          <w:sz w:val="24"/>
        </w:rPr>
        <w:t>Visualize key findings through nine clearly labelled charts.</w:t>
      </w:r>
    </w:p>
    <w:p w14:paraId="00100040" w14:textId="00100041">
      <w:pPr>
        <w:pStyle w:val="ListBullet"/>
        <w:spacing w:after="80"/>
      </w:pPr>
      <w:r>
        <w:rPr>
          <w:rFonts w:ascii="Times New Roman" w:hAnsi="Times New Roman"/>
          <w:b w:val="0"/>
          <w:i w:val="0"/>
          <w:sz w:val="24"/>
        </w:rPr>
        <w:t>Produce a reproducible, beginner-readable Python-based analytics workflow.</w:t>
      </w:r>
    </w:p>
    <w:p w14:paraId="00100042" w14:textId="00100043">
      <w:pPr>
        <w:spacing w:before="280" w:after="120"/>
        <w:jc w:val="left"/>
      </w:pPr>
      <w:r>
        <w:rPr>
          <w:rFonts w:ascii="Times New Roman" w:hAnsi="Times New Roman"/>
          <w:b/>
          <w:i w:val="0"/>
          <w:color w:val="1F2328"/>
          <w:sz w:val="32"/>
        </w:rPr>
        <w:t>4. Dataset Description</w:t>
      </w:r>
    </w:p>
    <w:p w14:paraId="00100044" w14:textId="00100045">
      <w:pPr>
        <w:spacing w:after="120"/>
      </w:pPr>
      <w:r>
        <w:rPr>
          <w:rFonts w:ascii="Times New Roman" w:hAnsi="Times New Roman"/>
          <w:b w:val="0"/>
          <w:i w:val="0"/>
          <w:sz w:val="24"/>
        </w:rPr>
        <w:t>The dataset used in this project is a synthetic delivery-logistics dataset containing 25,000 records and 15 columns. It simulates delivery operations across multiple Indian logistics partners, regions, delivery modes, and weather conditions. No personal information is contained in the dataset.</w:t>
      </w:r>
    </w:p>
    <w:p w14:paraId="00100046" w14:textId="00100047">
      <w:pPr>
        <w:spacing w:after="120"/>
      </w:pPr>
      <w:r>
        <w:rPr>
          <w:rFonts w:ascii="Times New Roman" w:hAnsi="Times New Roman"/>
          <w:b w:val="0"/>
          <w:i w:val="0"/>
          <w:sz w:val="24"/>
        </w:rPr>
        <w:t>Table 1 describes the original columns of the dataset.</w:t>
      </w:r>
    </w:p>
    <w:p w14:paraId="00100048" w14:textId="00100049"/>
    <w:tbl>
      <w:tblPr>
        <w:tblStyle w:val="TableGrid"/>
        <w:tblW w:w="0" w:type="auto"/>
        <w:jc w:val="center"/>
        <w:tblLook w:val="04A0" w:firstRow="1" w:lastRow="0" w:firstColumn="1" w:lastColumn="0" w:noHBand="0" w:noVBand="1"/>
      </w:tblPr>
      <w:tblGrid>
        <w:gridCol w:w="4533"/>
        <w:gridCol w:w="4533"/>
      </w:tblGrid>
      <w:tr>
        <w:tc>
          <w:tcPr>
            <w:tcW w:w="2304" w:type="dxa"/>
            <w:shd w:val="clear" w:color="auto" w:fill="DCE6F1"/>
          </w:tcPr>
          <w:p w14:paraId="0010004A" w14:textId="0010004B">
            <w:pPr>
              <w:jc w:val="center"/>
            </w:pPr>
            <w:r>
              <w:rPr>
                <w:rFonts w:ascii="Times New Roman" w:hAnsi="Times New Roman"/>
                <w:b/>
                <w:i w:val="0"/>
                <w:sz w:val="22"/>
              </w:rPr>
              <w:t>Column</w:t>
            </w:r>
          </w:p>
        </w:tc>
        <w:tc>
          <w:tcPr>
            <w:tcW w:w="6480" w:type="dxa"/>
            <w:shd w:val="clear" w:color="auto" w:fill="DCE6F1"/>
          </w:tcPr>
          <w:p w14:paraId="0010004C" w14:textId="0010004D">
            <w:pPr>
              <w:jc w:val="center"/>
            </w:pPr>
            <w:r>
              <w:rPr>
                <w:rFonts w:ascii="Times New Roman" w:hAnsi="Times New Roman"/>
                <w:b/>
                <w:i w:val="0"/>
                <w:sz w:val="22"/>
              </w:rPr>
              <w:t>Description</w:t>
            </w:r>
          </w:p>
        </w:tc>
      </w:tr>
      <w:tr>
        <w:tc>
          <w:tcPr>
            <w:tcW w:w="2304" w:type="dxa"/>
          </w:tcPr>
          <w:p w14:paraId="0010004E" w14:textId="0010004F">
            <w:pPr>
              <w:jc w:val="center"/>
            </w:pPr>
            <w:r>
              <w:rPr>
                <w:rFonts w:ascii="Times New Roman" w:hAnsi="Times New Roman"/>
                <w:b w:val="0"/>
                <w:i w:val="0"/>
                <w:sz w:val="22"/>
              </w:rPr>
              <w:t>delivery_id</w:t>
            </w:r>
          </w:p>
        </w:tc>
        <w:tc>
          <w:tcPr>
            <w:tcW w:w="6480" w:type="dxa"/>
          </w:tcPr>
          <w:p w14:paraId="00100050" w14:textId="00100051">
            <w:pPr>
              <w:jc w:val="center"/>
            </w:pPr>
            <w:r>
              <w:rPr>
                <w:rFonts w:ascii="Times New Roman" w:hAnsi="Times New Roman"/>
                <w:b w:val="0"/>
                <w:i w:val="0"/>
                <w:sz w:val="22"/>
              </w:rPr>
              <w:t>Delivery identifier (not a unique key in this dataset)</w:t>
            </w:r>
          </w:p>
        </w:tc>
      </w:tr>
      <w:tr>
        <w:tc>
          <w:tcPr>
            <w:tcW w:w="2304" w:type="dxa"/>
          </w:tcPr>
          <w:p w14:paraId="00100052" w14:textId="00100053">
            <w:pPr>
              <w:jc w:val="center"/>
            </w:pPr>
            <w:r>
              <w:rPr>
                <w:rFonts w:ascii="Times New Roman" w:hAnsi="Times New Roman"/>
                <w:b w:val="0"/>
                <w:i w:val="0"/>
                <w:sz w:val="22"/>
              </w:rPr>
              <w:t>delivery_partner</w:t>
            </w:r>
          </w:p>
        </w:tc>
        <w:tc>
          <w:tcPr>
            <w:tcW w:w="6480" w:type="dxa"/>
          </w:tcPr>
          <w:p w14:paraId="00100054" w14:textId="00100055">
            <w:pPr>
              <w:jc w:val="center"/>
            </w:pPr>
            <w:r>
              <w:rPr>
                <w:rFonts w:ascii="Times New Roman" w:hAnsi="Times New Roman"/>
                <w:b w:val="0"/>
                <w:i w:val="0"/>
                <w:sz w:val="22"/>
              </w:rPr>
              <w:t>Name of the logistics company handling the delivery</w:t>
            </w:r>
          </w:p>
        </w:tc>
      </w:tr>
      <w:tr>
        <w:tc>
          <w:tcPr>
            <w:tcW w:w="2304" w:type="dxa"/>
          </w:tcPr>
          <w:p w14:paraId="00100056" w14:textId="00100057">
            <w:pPr>
              <w:jc w:val="center"/>
            </w:pPr>
            <w:r>
              <w:rPr>
                <w:rFonts w:ascii="Times New Roman" w:hAnsi="Times New Roman"/>
                <w:b w:val="0"/>
                <w:i w:val="0"/>
                <w:sz w:val="22"/>
              </w:rPr>
              <w:t>package_type</w:t>
            </w:r>
          </w:p>
        </w:tc>
        <w:tc>
          <w:tcPr>
            <w:tcW w:w="6480" w:type="dxa"/>
          </w:tcPr>
          <w:p w14:paraId="00100058" w14:textId="00100059">
            <w:pPr>
              <w:jc w:val="center"/>
            </w:pPr>
            <w:r>
              <w:rPr>
                <w:rFonts w:ascii="Times New Roman" w:hAnsi="Times New Roman"/>
                <w:b w:val="0"/>
                <w:i w:val="0"/>
                <w:sz w:val="22"/>
              </w:rPr>
              <w:t>Category of the package (e.g. groceries, electronics, clothing)</w:t>
            </w:r>
          </w:p>
        </w:tc>
      </w:tr>
      <w:tr>
        <w:tc>
          <w:tcPr>
            <w:tcW w:w="2304" w:type="dxa"/>
          </w:tcPr>
          <w:p w14:paraId="0010005A" w14:textId="0010005B">
            <w:pPr>
              <w:jc w:val="center"/>
            </w:pPr>
            <w:r>
              <w:rPr>
                <w:rFonts w:ascii="Times New Roman" w:hAnsi="Times New Roman"/>
                <w:b w:val="0"/>
                <w:i w:val="0"/>
                <w:sz w:val="22"/>
              </w:rPr>
              <w:t>vehicle_type</w:t>
            </w:r>
          </w:p>
        </w:tc>
        <w:tc>
          <w:tcPr>
            <w:tcW w:w="6480" w:type="dxa"/>
          </w:tcPr>
          <w:p w14:paraId="0010005C" w14:textId="0010005D">
            <w:pPr>
              <w:jc w:val="center"/>
            </w:pPr>
            <w:r>
              <w:rPr>
                <w:rFonts w:ascii="Times New Roman" w:hAnsi="Times New Roman"/>
                <w:b w:val="0"/>
                <w:i w:val="0"/>
                <w:sz w:val="22"/>
              </w:rPr>
              <w:t>Vehicle used (e.g. bike, truck, ev van, scooter)</w:t>
            </w:r>
          </w:p>
        </w:tc>
      </w:tr>
      <w:tr>
        <w:tc>
          <w:tcPr>
            <w:tcW w:w="2304" w:type="dxa"/>
          </w:tcPr>
          <w:p w14:paraId="0010005E" w14:textId="0010005F">
            <w:pPr>
              <w:jc w:val="center"/>
            </w:pPr>
            <w:r>
              <w:rPr>
                <w:rFonts w:ascii="Times New Roman" w:hAnsi="Times New Roman"/>
                <w:b w:val="0"/>
                <w:i w:val="0"/>
                <w:sz w:val="22"/>
              </w:rPr>
              <w:t>delivery_mode</w:t>
            </w:r>
          </w:p>
        </w:tc>
        <w:tc>
          <w:tcPr>
            <w:tcW w:w="6480" w:type="dxa"/>
          </w:tcPr>
          <w:p w14:paraId="00100060" w14:textId="00100061">
            <w:pPr>
              <w:jc w:val="center"/>
            </w:pPr>
            <w:r>
              <w:rPr>
                <w:rFonts w:ascii="Times New Roman" w:hAnsi="Times New Roman"/>
                <w:b w:val="0"/>
                <w:i w:val="0"/>
                <w:sz w:val="22"/>
              </w:rPr>
              <w:t>Service tier: same day, express, two day, or standard</w:t>
            </w:r>
          </w:p>
        </w:tc>
      </w:tr>
      <w:tr>
        <w:tc>
          <w:tcPr>
            <w:tcW w:w="2304" w:type="dxa"/>
          </w:tcPr>
          <w:p w14:paraId="00100062" w14:textId="00100063">
            <w:pPr>
              <w:jc w:val="center"/>
            </w:pPr>
            <w:r>
              <w:rPr>
                <w:rFonts w:ascii="Times New Roman" w:hAnsi="Times New Roman"/>
                <w:b w:val="0"/>
                <w:i w:val="0"/>
                <w:sz w:val="22"/>
              </w:rPr>
              <w:t>region</w:t>
            </w:r>
          </w:p>
        </w:tc>
        <w:tc>
          <w:tcPr>
            <w:tcW w:w="6480" w:type="dxa"/>
          </w:tcPr>
          <w:p w14:paraId="00100064" w14:textId="00100065">
            <w:pPr>
              <w:jc w:val="center"/>
            </w:pPr>
            <w:r>
              <w:rPr>
                <w:rFonts w:ascii="Times New Roman" w:hAnsi="Times New Roman"/>
                <w:b w:val="0"/>
                <w:i w:val="0"/>
                <w:sz w:val="22"/>
              </w:rPr>
              <w:t>Geographic region: north, south, east, west, or central</w:t>
            </w:r>
          </w:p>
        </w:tc>
      </w:tr>
      <w:tr>
        <w:tc>
          <w:tcPr>
            <w:tcW w:w="2304" w:type="dxa"/>
          </w:tcPr>
          <w:p w14:paraId="00100066" w14:textId="00100067">
            <w:pPr>
              <w:jc w:val="center"/>
            </w:pPr>
            <w:r>
              <w:rPr>
                <w:rFonts w:ascii="Times New Roman" w:hAnsi="Times New Roman"/>
                <w:b w:val="0"/>
                <w:i w:val="0"/>
                <w:sz w:val="22"/>
              </w:rPr>
              <w:t>weather_condition</w:t>
            </w:r>
          </w:p>
        </w:tc>
        <w:tc>
          <w:tcPr>
            <w:tcW w:w="6480" w:type="dxa"/>
          </w:tcPr>
          <w:p w14:paraId="00100068" w14:textId="00100069">
            <w:pPr>
              <w:jc w:val="center"/>
            </w:pPr>
            <w:r>
              <w:rPr>
                <w:rFonts w:ascii="Times New Roman" w:hAnsi="Times New Roman"/>
                <w:b w:val="0"/>
                <w:i w:val="0"/>
                <w:sz w:val="22"/>
              </w:rPr>
              <w:t>Weather at delivery time: clear, cold, foggy, hot, rainy, or stormy</w:t>
            </w:r>
          </w:p>
        </w:tc>
      </w:tr>
      <w:tr>
        <w:tc>
          <w:tcPr>
            <w:tcW w:w="2304" w:type="dxa"/>
          </w:tcPr>
          <w:p w14:paraId="0010006A" w14:textId="0010006B">
            <w:pPr>
              <w:jc w:val="center"/>
            </w:pPr>
            <w:r>
              <w:rPr>
                <w:rFonts w:ascii="Times New Roman" w:hAnsi="Times New Roman"/>
                <w:b w:val="0"/>
                <w:i w:val="0"/>
                <w:sz w:val="22"/>
              </w:rPr>
              <w:t>distance_km</w:t>
            </w:r>
          </w:p>
        </w:tc>
        <w:tc>
          <w:tcPr>
            <w:tcW w:w="6480" w:type="dxa"/>
          </w:tcPr>
          <w:p w14:paraId="0010006C" w14:textId="0010006D">
            <w:pPr>
              <w:jc w:val="center"/>
            </w:pPr>
            <w:r>
              <w:rPr>
                <w:rFonts w:ascii="Times New Roman" w:hAnsi="Times New Roman"/>
                <w:b w:val="0"/>
                <w:i w:val="0"/>
                <w:sz w:val="22"/>
              </w:rPr>
              <w:t>Delivery distance in kilometres (range: 3.6 – 297.1 km)</w:t>
            </w:r>
          </w:p>
        </w:tc>
      </w:tr>
      <w:tr>
        <w:tc>
          <w:tcPr>
            <w:tcW w:w="2304" w:type="dxa"/>
          </w:tcPr>
          <w:p w14:paraId="0010006E" w14:textId="0010006F">
            <w:pPr>
              <w:jc w:val="center"/>
            </w:pPr>
            <w:r>
              <w:rPr>
                <w:rFonts w:ascii="Times New Roman" w:hAnsi="Times New Roman"/>
                <w:b w:val="0"/>
                <w:i w:val="0"/>
                <w:sz w:val="22"/>
              </w:rPr>
              <w:t>package_weight_kg</w:t>
            </w:r>
          </w:p>
        </w:tc>
        <w:tc>
          <w:tcPr>
            <w:tcW w:w="6480" w:type="dxa"/>
          </w:tcPr>
          <w:p w14:paraId="00100070" w14:textId="00100071">
            <w:pPr>
              <w:jc w:val="center"/>
            </w:pPr>
            <w:r>
              <w:rPr>
                <w:rFonts w:ascii="Times New Roman" w:hAnsi="Times New Roman"/>
                <w:b w:val="0"/>
                <w:i w:val="0"/>
                <w:sz w:val="22"/>
              </w:rPr>
              <w:t>Package weight in kilograms (range: 0.67 – 49.52 kg)</w:t>
            </w:r>
          </w:p>
        </w:tc>
      </w:tr>
      <w:tr>
        <w:tc>
          <w:tcPr>
            <w:tcW w:w="2304" w:type="dxa"/>
          </w:tcPr>
          <w:p w14:paraId="00100072" w14:textId="00100073">
            <w:pPr>
              <w:jc w:val="center"/>
            </w:pPr>
            <w:r>
              <w:rPr>
                <w:rFonts w:ascii="Times New Roman" w:hAnsi="Times New Roman"/>
                <w:b w:val="0"/>
                <w:i w:val="0"/>
                <w:sz w:val="22"/>
              </w:rPr>
              <w:t>delivery_time_hours</w:t>
            </w:r>
          </w:p>
        </w:tc>
        <w:tc>
          <w:tcPr>
            <w:tcW w:w="6480" w:type="dxa"/>
          </w:tcPr>
          <w:p w14:paraId="00100074" w14:textId="00100075">
            <w:pPr>
              <w:jc w:val="center"/>
            </w:pPr>
            <w:r>
              <w:rPr>
                <w:rFonts w:ascii="Times New Roman" w:hAnsi="Times New Roman"/>
                <w:b w:val="0"/>
                <w:i w:val="0"/>
                <w:sz w:val="22"/>
              </w:rPr>
              <w:t>Actual delivery time (stored as an encoded timestamp string)</w:t>
            </w:r>
          </w:p>
        </w:tc>
      </w:tr>
      <w:tr>
        <w:tc>
          <w:tcPr>
            <w:tcW w:w="2304" w:type="dxa"/>
          </w:tcPr>
          <w:p w14:paraId="00100076" w14:textId="00100077">
            <w:pPr>
              <w:jc w:val="center"/>
            </w:pPr>
            <w:r>
              <w:rPr>
                <w:rFonts w:ascii="Times New Roman" w:hAnsi="Times New Roman"/>
                <w:b w:val="0"/>
                <w:i w:val="0"/>
                <w:sz w:val="22"/>
              </w:rPr>
              <w:t>expected_time_hours</w:t>
            </w:r>
          </w:p>
        </w:tc>
        <w:tc>
          <w:tcPr>
            <w:tcW w:w="6480" w:type="dxa"/>
          </w:tcPr>
          <w:p w14:paraId="00100078" w14:textId="00100079">
            <w:pPr>
              <w:jc w:val="center"/>
            </w:pPr>
            <w:r>
              <w:rPr>
                <w:rFonts w:ascii="Times New Roman" w:hAnsi="Times New Roman"/>
                <w:b w:val="0"/>
                <w:i w:val="0"/>
                <w:sz w:val="22"/>
              </w:rPr>
              <w:t>Expected/SLA delivery time (stored as an encoded timestamp string)</w:t>
            </w:r>
          </w:p>
        </w:tc>
      </w:tr>
      <w:tr>
        <w:tc>
          <w:tcPr>
            <w:tcW w:w="2304" w:type="dxa"/>
          </w:tcPr>
          <w:p w14:paraId="0010007A" w14:textId="0010007B">
            <w:pPr>
              <w:jc w:val="center"/>
            </w:pPr>
            <w:r>
              <w:rPr>
                <w:rFonts w:ascii="Times New Roman" w:hAnsi="Times New Roman"/>
                <w:b w:val="0"/>
                <w:i w:val="0"/>
                <w:sz w:val="22"/>
              </w:rPr>
              <w:t>delayed</w:t>
            </w:r>
          </w:p>
        </w:tc>
        <w:tc>
          <w:tcPr>
            <w:tcW w:w="6480" w:type="dxa"/>
          </w:tcPr>
          <w:p w14:paraId="0010007C" w14:textId="0010007D">
            <w:pPr>
              <w:jc w:val="center"/>
            </w:pPr>
            <w:r>
              <w:rPr>
                <w:rFonts w:ascii="Times New Roman" w:hAnsi="Times New Roman"/>
                <w:b w:val="0"/>
                <w:i w:val="0"/>
                <w:sz w:val="22"/>
              </w:rPr>
              <w:t>Original delay label assigned to the record: yes or no</w:t>
            </w:r>
          </w:p>
        </w:tc>
      </w:tr>
      <w:tr>
        <w:tc>
          <w:tcPr>
            <w:tcW w:w="2304" w:type="dxa"/>
          </w:tcPr>
          <w:p w14:paraId="0010007E" w14:textId="0010007F">
            <w:pPr>
              <w:jc w:val="center"/>
            </w:pPr>
            <w:r>
              <w:rPr>
                <w:rFonts w:ascii="Times New Roman" w:hAnsi="Times New Roman"/>
                <w:b w:val="0"/>
                <w:i w:val="0"/>
                <w:sz w:val="22"/>
              </w:rPr>
              <w:t>delivery_status</w:t>
            </w:r>
          </w:p>
        </w:tc>
        <w:tc>
          <w:tcPr>
            <w:tcW w:w="6480" w:type="dxa"/>
          </w:tcPr>
          <w:p w14:paraId="00100080" w14:textId="00100081">
            <w:pPr>
              <w:jc w:val="center"/>
            </w:pPr>
            <w:r>
              <w:rPr>
                <w:rFonts w:ascii="Times New Roman" w:hAnsi="Times New Roman"/>
                <w:b w:val="0"/>
                <w:i w:val="0"/>
                <w:sz w:val="22"/>
              </w:rPr>
              <w:t>Final delivery outcome: delivered, delayed, or failed</w:t>
            </w:r>
          </w:p>
        </w:tc>
      </w:tr>
      <w:tr>
        <w:tc>
          <w:tcPr>
            <w:tcW w:w="2304" w:type="dxa"/>
          </w:tcPr>
          <w:p w14:paraId="00100082" w14:textId="00100083">
            <w:pPr>
              <w:jc w:val="center"/>
            </w:pPr>
            <w:r>
              <w:rPr>
                <w:rFonts w:ascii="Times New Roman" w:hAnsi="Times New Roman"/>
                <w:b w:val="0"/>
                <w:i w:val="0"/>
                <w:sz w:val="22"/>
              </w:rPr>
              <w:t>delivery_rating</w:t>
            </w:r>
          </w:p>
        </w:tc>
        <w:tc>
          <w:tcPr>
            <w:tcW w:w="6480" w:type="dxa"/>
          </w:tcPr>
          <w:p w14:paraId="00100084" w14:textId="00100085">
            <w:pPr>
              <w:jc w:val="center"/>
            </w:pPr>
            <w:r>
              <w:rPr>
                <w:rFonts w:ascii="Times New Roman" w:hAnsi="Times New Roman"/>
                <w:b w:val="0"/>
                <w:i w:val="0"/>
                <w:sz w:val="22"/>
              </w:rPr>
              <w:t>Customer satisfaction rating: 1 (lowest) to 5 (highest)</w:t>
            </w:r>
          </w:p>
        </w:tc>
      </w:tr>
      <w:tr>
        <w:tc>
          <w:tcPr>
            <w:tcW w:w="2304" w:type="dxa"/>
          </w:tcPr>
          <w:p w14:paraId="00100086" w14:textId="00100087">
            <w:pPr>
              <w:jc w:val="center"/>
            </w:pPr>
            <w:r>
              <w:rPr>
                <w:rFonts w:ascii="Times New Roman" w:hAnsi="Times New Roman"/>
                <w:b w:val="0"/>
                <w:i w:val="0"/>
                <w:sz w:val="22"/>
              </w:rPr>
              <w:t>delivery_cost</w:t>
            </w:r>
          </w:p>
        </w:tc>
        <w:tc>
          <w:tcPr>
            <w:tcW w:w="6480" w:type="dxa"/>
          </w:tcPr>
          <w:p w14:paraId="00100088" w14:textId="00100089">
            <w:pPr>
              <w:jc w:val="center"/>
            </w:pPr>
            <w:r>
              <w:rPr>
                <w:rFonts w:ascii="Times New Roman" w:hAnsi="Times New Roman"/>
                <w:b w:val="0"/>
                <w:i w:val="0"/>
                <w:sz w:val="22"/>
              </w:rPr>
              <w:t>Cost of the delivery in Indian Rupees</w:t>
            </w:r>
          </w:p>
        </w:tc>
      </w:tr>
    </w:tbl>
    <w:p w14:paraId="0010008A" w14:textId="0010008B"/>
    <w:p w14:paraId="0010008C" w14:textId="0010008D">
      <w:pPr>
        <w:spacing w:after="160"/>
      </w:pPr>
      <w:r>
        <w:rPr>
          <w:rFonts w:ascii="Times New Roman" w:hAnsi="Times New Roman"/>
          <w:b w:val="0"/>
          <w:i/>
          <w:color w:val="57606A"/>
          <w:sz w:val="22"/>
        </w:rPr>
        <w:t>Table 1: Original dataset columns and their descriptions.</w:t>
      </w:r>
    </w:p>
    <w:p w14:paraId="0010008E" w14:textId="0010008F">
      <w:pPr>
        <w:spacing w:after="120"/>
      </w:pPr>
      <w:r>
        <w:rPr>
          <w:rFonts w:ascii="Times New Roman" w:hAnsi="Times New Roman"/>
          <w:b w:val="0"/>
          <w:i w:val="0"/>
          <w:sz w:val="24"/>
        </w:rPr>
        <w:t>During the data-cleaning step, six additional derived columns were added to the working dataset: delivery_time_hours_num (numeric hours), expected_time_hours_num (numeric hours), zero_hour_flag, is_delayed_flag, delayed_original_binary, and computed_delayed. The original raw file was never modified.</w:t>
      </w:r>
    </w:p>
    <w:p w14:paraId="00100090" w14:textId="00100091">
      <w:pPr>
        <w:spacing w:before="280" w:after="120"/>
        <w:jc w:val="left"/>
      </w:pPr>
      <w:r>
        <w:rPr>
          <w:rFonts w:ascii="Times New Roman" w:hAnsi="Times New Roman"/>
          <w:b/>
          <w:i w:val="0"/>
          <w:color w:val="1F2328"/>
          <w:sz w:val="32"/>
        </w:rPr>
        <w:t>5. Tools and Technologies</w:t>
      </w:r>
    </w:p>
    <w:tbl>
      <w:tblPr>
        <w:tblStyle w:val="TableGrid"/>
        <w:tblW w:w="0" w:type="auto"/>
        <w:jc w:val="center"/>
        <w:tblLook w:val="04A0" w:firstRow="1" w:lastRow="0" w:firstColumn="1" w:lastColumn="0" w:noHBand="0" w:noVBand="1"/>
      </w:tblPr>
      <w:tblGrid>
        <w:gridCol w:w="3022"/>
        <w:gridCol w:w="3022"/>
        <w:gridCol w:w="3022"/>
      </w:tblGrid>
      <w:tr>
        <w:tc>
          <w:tcPr>
            <w:tcW w:w="2016" w:type="dxa"/>
            <w:shd w:val="clear" w:color="auto" w:fill="DCE6F1"/>
          </w:tcPr>
          <w:p w14:paraId="00100092" w14:textId="00100093">
            <w:pPr>
              <w:jc w:val="center"/>
            </w:pPr>
            <w:r>
              <w:rPr>
                <w:rFonts w:ascii="Times New Roman" w:hAnsi="Times New Roman"/>
                <w:b/>
                <w:i w:val="0"/>
                <w:sz w:val="22"/>
              </w:rPr>
              <w:t>Tool / Library</w:t>
            </w:r>
          </w:p>
        </w:tc>
        <w:tc>
          <w:tcPr>
            <w:tcW w:w="1728" w:type="dxa"/>
            <w:shd w:val="clear" w:color="auto" w:fill="DCE6F1"/>
          </w:tcPr>
          <w:p w14:paraId="00100094" w14:textId="00100095">
            <w:pPr>
              <w:jc w:val="center"/>
            </w:pPr>
            <w:r>
              <w:rPr>
                <w:rFonts w:ascii="Times New Roman" w:hAnsi="Times New Roman"/>
                <w:b/>
                <w:i w:val="0"/>
                <w:sz w:val="22"/>
              </w:rPr>
              <w:t>Version</w:t>
            </w:r>
          </w:p>
        </w:tc>
        <w:tc>
          <w:tcPr>
            <w:tcW w:w="6480" w:type="dxa"/>
            <w:shd w:val="clear" w:color="auto" w:fill="DCE6F1"/>
          </w:tcPr>
          <w:p w14:paraId="00100096" w14:textId="00100097">
            <w:pPr>
              <w:jc w:val="center"/>
            </w:pPr>
            <w:r>
              <w:rPr>
                <w:rFonts w:ascii="Times New Roman" w:hAnsi="Times New Roman"/>
                <w:b/>
                <w:i w:val="0"/>
                <w:sz w:val="22"/>
              </w:rPr>
              <w:t>Purpose</w:t>
            </w:r>
          </w:p>
        </w:tc>
      </w:tr>
      <w:tr>
        <w:tc>
          <w:tcPr>
            <w:tcW w:w="2016" w:type="dxa"/>
          </w:tcPr>
          <w:p w14:paraId="00100098" w14:textId="00100099">
            <w:pPr>
              <w:jc w:val="center"/>
            </w:pPr>
            <w:r>
              <w:rPr>
                <w:rFonts w:ascii="Times New Roman" w:hAnsi="Times New Roman"/>
                <w:b w:val="0"/>
                <w:i w:val="0"/>
                <w:sz w:val="22"/>
              </w:rPr>
              <w:t>Python</w:t>
            </w:r>
          </w:p>
        </w:tc>
        <w:tc>
          <w:tcPr>
            <w:tcW w:w="1728" w:type="dxa"/>
          </w:tcPr>
          <w:p w14:paraId="0010009A" w14:textId="0010009B">
            <w:pPr>
              <w:jc w:val="center"/>
            </w:pPr>
            <w:r>
              <w:rPr>
                <w:rFonts w:ascii="Times New Roman" w:hAnsi="Times New Roman"/>
                <w:b w:val="0"/>
                <w:i w:val="0"/>
                <w:sz w:val="22"/>
              </w:rPr>
              <w:t>3.8+</w:t>
            </w:r>
          </w:p>
        </w:tc>
        <w:tc>
          <w:tcPr>
            <w:tcW w:w="6480" w:type="dxa"/>
          </w:tcPr>
          <w:p w14:paraId="0010009C" w14:textId="0010009D">
            <w:pPr>
              <w:jc w:val="center"/>
            </w:pPr>
            <w:r>
              <w:rPr>
                <w:rFonts w:ascii="Times New Roman" w:hAnsi="Times New Roman"/>
                <w:b w:val="0"/>
                <w:i w:val="0"/>
                <w:sz w:val="22"/>
              </w:rPr>
              <w:t>Core programming language</w:t>
            </w:r>
          </w:p>
        </w:tc>
      </w:tr>
      <w:tr>
        <w:tc>
          <w:tcPr>
            <w:tcW w:w="2016" w:type="dxa"/>
          </w:tcPr>
          <w:p w14:paraId="0010009E" w14:textId="0010009F">
            <w:pPr>
              <w:jc w:val="center"/>
            </w:pPr>
            <w:r>
              <w:rPr>
                <w:rFonts w:ascii="Times New Roman" w:hAnsi="Times New Roman"/>
                <w:b w:val="0"/>
                <w:i w:val="0"/>
                <w:sz w:val="22"/>
              </w:rPr>
              <w:t>Pandas</w:t>
            </w:r>
          </w:p>
        </w:tc>
        <w:tc>
          <w:tcPr>
            <w:tcW w:w="1728" w:type="dxa"/>
          </w:tcPr>
          <w:p w14:paraId="001000A0" w14:textId="001000A1">
            <w:pPr>
              <w:jc w:val="center"/>
            </w:pPr>
            <w:r>
              <w:rPr>
                <w:rFonts w:ascii="Times New Roman" w:hAnsi="Times New Roman"/>
                <w:b w:val="0"/>
                <w:i w:val="0"/>
                <w:sz w:val="22"/>
              </w:rPr>
              <w:t>Latest</w:t>
            </w:r>
          </w:p>
        </w:tc>
        <w:tc>
          <w:tcPr>
            <w:tcW w:w="6480" w:type="dxa"/>
          </w:tcPr>
          <w:p w14:paraId="001000A2" w14:textId="001000A3">
            <w:pPr>
              <w:jc w:val="center"/>
            </w:pPr>
            <w:r>
              <w:rPr>
                <w:rFonts w:ascii="Times New Roman" w:hAnsi="Times New Roman"/>
                <w:b w:val="0"/>
                <w:i w:val="0"/>
                <w:sz w:val="22"/>
              </w:rPr>
              <w:t>Data loading, cleaning, grouping, and analysis</w:t>
            </w:r>
          </w:p>
        </w:tc>
      </w:tr>
      <w:tr>
        <w:tc>
          <w:tcPr>
            <w:tcW w:w="2016" w:type="dxa"/>
          </w:tcPr>
          <w:p w14:paraId="001000A4" w14:textId="001000A5">
            <w:pPr>
              <w:jc w:val="center"/>
            </w:pPr>
            <w:r>
              <w:rPr>
                <w:rFonts w:ascii="Times New Roman" w:hAnsi="Times New Roman"/>
                <w:b w:val="0"/>
                <w:i w:val="0"/>
                <w:sz w:val="22"/>
              </w:rPr>
              <w:t>NumPy</w:t>
            </w:r>
          </w:p>
        </w:tc>
        <w:tc>
          <w:tcPr>
            <w:tcW w:w="1728" w:type="dxa"/>
          </w:tcPr>
          <w:p w14:paraId="001000A6" w14:textId="001000A7">
            <w:pPr>
              <w:jc w:val="center"/>
            </w:pPr>
            <w:r>
              <w:rPr>
                <w:rFonts w:ascii="Times New Roman" w:hAnsi="Times New Roman"/>
                <w:b w:val="0"/>
                <w:i w:val="0"/>
                <w:sz w:val="22"/>
              </w:rPr>
              <w:t>Latest</w:t>
            </w:r>
          </w:p>
        </w:tc>
        <w:tc>
          <w:tcPr>
            <w:tcW w:w="6480" w:type="dxa"/>
          </w:tcPr>
          <w:p w14:paraId="001000A8" w14:textId="001000A9">
            <w:pPr>
              <w:jc w:val="center"/>
            </w:pPr>
            <w:r>
              <w:rPr>
                <w:rFonts w:ascii="Times New Roman" w:hAnsi="Times New Roman"/>
                <w:b w:val="0"/>
                <w:i w:val="0"/>
                <w:sz w:val="22"/>
              </w:rPr>
              <w:t>Numeric operations and NaN handling</w:t>
            </w:r>
          </w:p>
        </w:tc>
      </w:tr>
      <w:tr>
        <w:tc>
          <w:tcPr>
            <w:tcW w:w="2016" w:type="dxa"/>
          </w:tcPr>
          <w:p w14:paraId="001000AA" w14:textId="001000AB">
            <w:pPr>
              <w:jc w:val="center"/>
            </w:pPr>
            <w:r>
              <w:rPr>
                <w:rFonts w:ascii="Times New Roman" w:hAnsi="Times New Roman"/>
                <w:b w:val="0"/>
                <w:i w:val="0"/>
                <w:sz w:val="22"/>
              </w:rPr>
              <w:t>Matplotlib</w:t>
            </w:r>
          </w:p>
        </w:tc>
        <w:tc>
          <w:tcPr>
            <w:tcW w:w="1728" w:type="dxa"/>
          </w:tcPr>
          <w:p w14:paraId="001000AC" w14:textId="001000AD">
            <w:pPr>
              <w:jc w:val="center"/>
            </w:pPr>
            <w:r>
              <w:rPr>
                <w:rFonts w:ascii="Times New Roman" w:hAnsi="Times New Roman"/>
                <w:b w:val="0"/>
                <w:i w:val="0"/>
                <w:sz w:val="22"/>
              </w:rPr>
              <w:t>Latest</w:t>
            </w:r>
          </w:p>
        </w:tc>
        <w:tc>
          <w:tcPr>
            <w:tcW w:w="6480" w:type="dxa"/>
          </w:tcPr>
          <w:p w14:paraId="001000AE" w14:textId="001000AF">
            <w:pPr>
              <w:jc w:val="center"/>
            </w:pPr>
            <w:r>
              <w:rPr>
                <w:rFonts w:ascii="Times New Roman" w:hAnsi="Times New Roman"/>
                <w:b w:val="0"/>
                <w:i w:val="0"/>
                <w:sz w:val="22"/>
              </w:rPr>
              <w:t>Chart and visualization generation</w:t>
            </w:r>
          </w:p>
        </w:tc>
      </w:tr>
    </w:tbl>
    <w:p w14:paraId="001000B0" w14:textId="001000B1"/>
    <w:p w14:paraId="001000B2" w14:textId="001000B3">
      <w:pPr>
        <w:spacing w:after="160"/>
      </w:pPr>
      <w:r>
        <w:rPr>
          <w:rFonts w:ascii="Times New Roman" w:hAnsi="Times New Roman"/>
          <w:b w:val="0"/>
          <w:i/>
          <w:color w:val="57606A"/>
          <w:sz w:val="22"/>
        </w:rPr>
        <w:t>Table 2: Technologies used. All packages are listed in requirements.txt.</w:t>
      </w:r>
    </w:p>
    <w:p w14:paraId="001000B4" w14:textId="001000B5">
      <w:pPr>
        <w:spacing w:before="280" w:after="120"/>
        <w:jc w:val="left"/>
      </w:pPr>
      <w:r>
        <w:rPr>
          <w:rFonts w:ascii="Times New Roman" w:hAnsi="Times New Roman"/>
          <w:b/>
          <w:i w:val="0"/>
          <w:color w:val="1F2328"/>
          <w:sz w:val="32"/>
        </w:rPr>
        <w:t>6. Methodology</w:t>
      </w:r>
    </w:p>
    <w:p w14:paraId="001000B6" w14:textId="001000B7">
      <w:pPr>
        <w:spacing w:after="120"/>
      </w:pPr>
      <w:r>
        <w:rPr>
          <w:rFonts w:ascii="Times New Roman" w:hAnsi="Times New Roman"/>
          <w:b w:val="0"/>
          <w:i w:val="0"/>
          <w:sz w:val="24"/>
        </w:rPr>
        <w:t>The project follows a structured analytics pipeline implemented in a single Python script (final_project.py). The pipeline covers seven stages:</w:t>
      </w:r>
    </w:p>
    <w:p w14:paraId="001000B8" w14:textId="001000B9">
      <w:pPr>
        <w:spacing w:before="200" w:after="120"/>
        <w:jc w:val="left"/>
      </w:pPr>
      <w:r>
        <w:rPr>
          <w:rFonts w:ascii="Times New Roman" w:hAnsi="Times New Roman"/>
          <w:b/>
          <w:i w:val="0"/>
          <w:color w:val="1F2328"/>
          <w:sz w:val="26"/>
        </w:rPr>
        <w:t>6.1 Data Loading</w:t>
      </w:r>
    </w:p>
    <w:p w14:paraId="001000BA" w14:textId="001000BB">
      <w:pPr>
        <w:spacing w:after="120"/>
      </w:pPr>
      <w:r>
        <w:rPr>
          <w:rFonts w:ascii="Times New Roman" w:hAnsi="Times New Roman"/>
          <w:b w:val="0"/>
          <w:i w:val="0"/>
          <w:sz w:val="24"/>
        </w:rPr>
        <w:t>The raw CSV file (Delivery_Logistics.csv) is loaded into a Pandas DataFrame using pd.read_csv(). The file is opened in read-only mode and is never overwritten.</w:t>
      </w:r>
    </w:p>
    <w:p w14:paraId="001000BC" w14:textId="001000BD">
      <w:pPr>
        <w:spacing w:before="200" w:after="120"/>
        <w:jc w:val="left"/>
      </w:pPr>
      <w:r>
        <w:rPr>
          <w:rFonts w:ascii="Times New Roman" w:hAnsi="Times New Roman"/>
          <w:b/>
          <w:i w:val="0"/>
          <w:color w:val="1F2328"/>
          <w:sz w:val="26"/>
        </w:rPr>
        <w:t>6.2 Data Inspection</w:t>
      </w:r>
    </w:p>
    <w:p w14:paraId="001000BE" w14:textId="001000BF">
      <w:pPr>
        <w:spacing w:after="120"/>
      </w:pPr>
      <w:r>
        <w:rPr>
          <w:rFonts w:ascii="Times New Roman" w:hAnsi="Times New Roman"/>
          <w:b w:val="0"/>
          <w:i w:val="0"/>
          <w:sz w:val="24"/>
        </w:rPr>
        <w:t>The script inspects dataset shape, column data types, missing values, duplicate delivery_id values, categorical value distributions, and numerical field summaries. This step establishes data quality awareness before any analysis is performed.</w:t>
      </w:r>
    </w:p>
    <w:p w14:paraId="001000C0" w14:textId="001000C1">
      <w:pPr>
        <w:spacing w:before="200" w:after="120"/>
        <w:jc w:val="left"/>
      </w:pPr>
      <w:r>
        <w:rPr>
          <w:rFonts w:ascii="Times New Roman" w:hAnsi="Times New Roman"/>
          <w:b/>
          <w:i w:val="0"/>
          <w:color w:val="1F2328"/>
          <w:sz w:val="26"/>
        </w:rPr>
        <w:t>6.3 Data Cleaning</w:t>
      </w:r>
    </w:p>
    <w:p w14:paraId="001000C2" w14:textId="001000C3">
      <w:pPr>
        <w:spacing w:after="120"/>
      </w:pPr>
      <w:r>
        <w:rPr>
          <w:rFonts w:ascii="Times New Roman" w:hAnsi="Times New Roman"/>
          <w:b w:val="0"/>
          <w:i w:val="0"/>
          <w:sz w:val="24"/>
        </w:rPr>
        <w:t>Two fields (delivery_time_hours and expected_time_hours) are stored as encoded timestamp-like strings in the raw file. A custom parsing function extracts the nanosecond integer from each string to recover the hour value. 255 records where actual delivery time was zero are flagged (zero_hour_flag = 1) and treated as missing actual delivery time (NaN) in the cleaned working data. The original delayed column is preserved unchanged. Duplicate delivery_id rows are identified but not removed — all 25,000 records are retained.</w:t>
      </w:r>
    </w:p>
    <w:p w14:paraId="001000C4" w14:textId="001000C5">
      <w:pPr>
        <w:spacing w:before="200" w:after="120"/>
        <w:jc w:val="left"/>
      </w:pPr>
      <w:r>
        <w:rPr>
          <w:rFonts w:ascii="Times New Roman" w:hAnsi="Times New Roman"/>
          <w:b/>
          <w:i w:val="0"/>
          <w:color w:val="1F2328"/>
          <w:sz w:val="26"/>
        </w:rPr>
        <w:t>6.4 Exploratory Data Analysis</w:t>
      </w:r>
    </w:p>
    <w:p w14:paraId="001000C6" w14:textId="001000C7">
      <w:pPr>
        <w:spacing w:after="120"/>
      </w:pPr>
      <w:r>
        <w:rPr>
          <w:rFonts w:ascii="Times New Roman" w:hAnsi="Times New Roman"/>
          <w:b w:val="0"/>
          <w:i w:val="0"/>
          <w:sz w:val="24"/>
        </w:rPr>
        <w:t>The cleaned data is analysed for distributions across delivery modes, weather conditions, regions, partners, vehicle types, and package types. Pearson correlation is computed across numerical columns. SLA-tier delay rates and equal-time conflict counts are reported as data-quality observations.</w:t>
      </w:r>
    </w:p>
    <w:p w14:paraId="001000C8" w14:textId="001000C9">
      <w:pPr>
        <w:spacing w:before="200" w:after="120"/>
        <w:jc w:val="left"/>
      </w:pPr>
      <w:r>
        <w:rPr>
          <w:rFonts w:ascii="Times New Roman" w:hAnsi="Times New Roman"/>
          <w:b/>
          <w:i w:val="0"/>
          <w:color w:val="1F2328"/>
          <w:sz w:val="26"/>
        </w:rPr>
        <w:t>6.5 Business KPI Analysis</w:t>
      </w:r>
    </w:p>
    <w:p w14:paraId="001000CA" w14:textId="001000CB">
      <w:pPr>
        <w:spacing w:after="120"/>
      </w:pPr>
      <w:r>
        <w:rPr>
          <w:rFonts w:ascii="Times New Roman" w:hAnsi="Times New Roman"/>
          <w:b w:val="0"/>
          <w:i w:val="0"/>
          <w:sz w:val="24"/>
        </w:rPr>
        <w:t>Six overall KPIs are calculated: total deliveries, delay rate, average actual delivery time, average expected/SLA time, average delivery cost, and average rating. The original delayed field is used as the source of truth for all delay-rate calculations throughout the project.</w:t>
      </w:r>
    </w:p>
    <w:p w14:paraId="001000CC" w14:textId="001000CD">
      <w:pPr>
        <w:spacing w:before="200" w:after="120"/>
        <w:jc w:val="left"/>
      </w:pPr>
      <w:r>
        <w:rPr>
          <w:rFonts w:ascii="Times New Roman" w:hAnsi="Times New Roman"/>
          <w:b/>
          <w:i w:val="0"/>
          <w:color w:val="1F2328"/>
          <w:sz w:val="26"/>
        </w:rPr>
        <w:t>6.6 Visualization</w:t>
      </w:r>
    </w:p>
    <w:p w14:paraId="001000CE" w14:textId="001000CF">
      <w:pPr>
        <w:spacing w:after="120"/>
      </w:pPr>
      <w:r>
        <w:rPr>
          <w:rFonts w:ascii="Times New Roman" w:hAnsi="Times New Roman"/>
          <w:b w:val="0"/>
          <w:i w:val="0"/>
          <w:sz w:val="24"/>
        </w:rPr>
        <w:t>Nine charts are generated using Matplotlib and saved as PNG files to the business_analysis_outputs/ folder. Charts cover KPI summary, delay by mode, delay by weather, distance vs time and cost, delivery time vs rating, status distribution, and partner/region delay comparisons.</w:t>
      </w:r>
    </w:p>
    <w:p w14:paraId="001000D0" w14:textId="001000D1">
      <w:pPr>
        <w:spacing w:before="200" w:after="120"/>
        <w:jc w:val="left"/>
      </w:pPr>
      <w:r>
        <w:rPr>
          <w:rFonts w:ascii="Times New Roman" w:hAnsi="Times New Roman"/>
          <w:b/>
          <w:i w:val="0"/>
          <w:color w:val="1F2328"/>
          <w:sz w:val="26"/>
        </w:rPr>
        <w:t>6.7 Findings Generation</w:t>
      </w:r>
    </w:p>
    <w:p w14:paraId="001000D2" w14:textId="001000D3">
      <w:pPr>
        <w:spacing w:after="120"/>
      </w:pPr>
      <w:r>
        <w:rPr>
          <w:rFonts w:ascii="Times New Roman" w:hAnsi="Times New Roman"/>
          <w:b w:val="0"/>
          <w:i w:val="0"/>
          <w:sz w:val="24"/>
        </w:rPr>
        <w:t>A structured findings report (findings.json) is generated, containing metric values, group-level comparisons, plain-language interpretations, and analytical cautions for each section.</w:t>
      </w:r>
    </w:p>
    <w:p w14:paraId="001000D4" w14:textId="001000D5">
      <w:pPr>
        <w:spacing w:before="280" w:after="120"/>
        <w:jc w:val="left"/>
      </w:pPr>
      <w:r>
        <w:rPr>
          <w:rFonts w:ascii="Times New Roman" w:hAnsi="Times New Roman"/>
          <w:b/>
          <w:i w:val="0"/>
          <w:color w:val="1F2328"/>
          <w:sz w:val="32"/>
        </w:rPr>
        <w:t>7. Exploratory Data Analysis</w:t>
      </w:r>
    </w:p>
    <w:p w14:paraId="001000D6" w14:textId="001000D7">
      <w:pPr>
        <w:spacing w:after="120"/>
      </w:pPr>
      <w:r>
        <w:rPr>
          <w:rFonts w:ascii="Times New Roman" w:hAnsi="Times New Roman"/>
          <w:b w:val="0"/>
          <w:i w:val="0"/>
          <w:sz w:val="24"/>
        </w:rPr>
        <w:t>After cleaning, the working dataset has 25,000 rows and 21 columns. The raw dataset has 25,000 rows and 15 columns.</w:t>
      </w:r>
    </w:p>
    <w:p w14:paraId="001000D8" w14:textId="001000D9">
      <w:pPr>
        <w:spacing w:after="120"/>
      </w:pPr>
      <w:r>
        <w:rPr>
          <w:rFonts w:ascii="Times New Roman" w:hAnsi="Times New Roman"/>
          <w:b w:val="0"/>
          <w:i w:val="0"/>
          <w:sz w:val="24"/>
        </w:rPr>
        <w:t>Key EDA findings:</w:t>
      </w:r>
    </w:p>
    <w:p w14:paraId="001000DA" w14:textId="001000DB">
      <w:pPr>
        <w:pStyle w:val="ListBullet"/>
        <w:spacing w:after="80"/>
      </w:pPr>
      <w:r>
        <w:rPr>
          <w:rFonts w:ascii="Times New Roman" w:hAnsi="Times New Roman"/>
          <w:b w:val="0"/>
          <w:i w:val="0"/>
          <w:sz w:val="24"/>
        </w:rPr>
        <w:t>Missing values: 255 NaN values in delivery_time_hours_num (the 255 zero-hour records treated as missing). All other columns are complete.</w:t>
      </w:r>
    </w:p>
    <w:p w14:paraId="001000DC" w14:textId="001000DD">
      <w:pPr>
        <w:pStyle w:val="ListBullet"/>
        <w:spacing w:after="80"/>
      </w:pPr>
      <w:r>
        <w:rPr>
          <w:rFonts w:ascii="Times New Roman" w:hAnsi="Times New Roman"/>
          <w:b w:val="0"/>
          <w:i w:val="0"/>
          <w:sz w:val="24"/>
        </w:rPr>
        <w:t>Duplicate delivery_id: 500 records are associated with 2 delivery_id values that appear multiple times. These are preserved as data-quality observations; no records are removed.</w:t>
      </w:r>
    </w:p>
    <w:p w14:paraId="001000DE" w14:textId="001000DF">
      <w:pPr>
        <w:pStyle w:val="ListBullet"/>
        <w:spacing w:after="80"/>
      </w:pPr>
      <w:r>
        <w:rPr>
          <w:rFonts w:ascii="Times New Roman" w:hAnsi="Times New Roman"/>
          <w:b w:val="0"/>
          <w:i w:val="0"/>
          <w:sz w:val="24"/>
        </w:rPr>
        <w:t>Delivery modes: 4 modes (express: 6,233 | same day: 6,279 | standard: 6,186 | two day: 6,302).</w:t>
      </w:r>
    </w:p>
    <w:p w14:paraId="001000E0" w14:textId="001000E1">
      <w:pPr>
        <w:pStyle w:val="ListBullet"/>
        <w:spacing w:after="80"/>
      </w:pPr>
      <w:r>
        <w:rPr>
          <w:rFonts w:ascii="Times New Roman" w:hAnsi="Times New Roman"/>
          <w:b w:val="0"/>
          <w:i w:val="0"/>
          <w:sz w:val="24"/>
        </w:rPr>
        <w:t>Weather conditions: 6 conditions, each with approximately 4,100–4,220 records.</w:t>
      </w:r>
    </w:p>
    <w:p w14:paraId="001000E2" w14:textId="001000E3">
      <w:pPr>
        <w:pStyle w:val="ListBullet"/>
        <w:spacing w:after="80"/>
      </w:pPr>
      <w:r>
        <w:rPr>
          <w:rFonts w:ascii="Times New Roman" w:hAnsi="Times New Roman"/>
          <w:b w:val="0"/>
          <w:i w:val="0"/>
          <w:sz w:val="24"/>
        </w:rPr>
        <w:t>Regions: 5 regions (east: 4,919 | north: 4,949 | south: 4,977 | west: 5,095 | central: 5,060).</w:t>
      </w:r>
    </w:p>
    <w:p w14:paraId="001000E4" w14:textId="001000E5">
      <w:pPr>
        <w:pStyle w:val="ListBullet"/>
        <w:spacing w:after="80"/>
      </w:pPr>
      <w:r>
        <w:rPr>
          <w:rFonts w:ascii="Times New Roman" w:hAnsi="Times New Roman"/>
          <w:b w:val="0"/>
          <w:i w:val="0"/>
          <w:sz w:val="24"/>
        </w:rPr>
        <w:t>Delivery partners: 9 partners, each with 2,700–2,830 records.</w:t>
      </w:r>
    </w:p>
    <w:p w14:paraId="001000E6" w14:textId="001000E7">
      <w:pPr>
        <w:pStyle w:val="ListBullet"/>
        <w:spacing w:after="80"/>
      </w:pPr>
      <w:r>
        <w:rPr>
          <w:rFonts w:ascii="Times New Roman" w:hAnsi="Times New Roman"/>
          <w:b w:val="0"/>
          <w:i w:val="0"/>
          <w:sz w:val="24"/>
        </w:rPr>
        <w:t>Delivery ratings: integer scale 1–5; average 3.67.</w:t>
      </w:r>
    </w:p>
    <w:p w14:paraId="001000E8" w14:textId="001000E9">
      <w:pPr>
        <w:pStyle w:val="ListBullet"/>
        <w:spacing w:after="80"/>
      </w:pPr>
      <w:r>
        <w:rPr>
          <w:rFonts w:ascii="Times New Roman" w:hAnsi="Times New Roman"/>
          <w:b w:val="0"/>
          <w:i w:val="0"/>
          <w:sz w:val="24"/>
        </w:rPr>
        <w:t>Distance: 3.6 – 297.1 km; average ≈ 150 km.</w:t>
      </w:r>
    </w:p>
    <w:p w14:paraId="001000EA" w14:textId="001000EB">
      <w:pPr>
        <w:pStyle w:val="ListBullet"/>
        <w:spacing w:after="80"/>
      </w:pPr>
      <w:r>
        <w:rPr>
          <w:rFonts w:ascii="Times New Roman" w:hAnsi="Times New Roman"/>
          <w:b w:val="0"/>
          <w:i w:val="0"/>
          <w:sz w:val="24"/>
        </w:rPr>
        <w:t>Delivery cost: ₹95.67 – ₹1,632.72; average ≈ ₹864.94.</w:t>
      </w:r>
    </w:p>
    <w:p w14:paraId="001000EC" w14:textId="001000ED">
      <w:pPr>
        <w:pStyle w:val="ListBullet"/>
        <w:spacing w:after="80"/>
      </w:pPr>
      <w:r>
        <w:rPr>
          <w:rFonts w:ascii="Times New Roman" w:hAnsi="Times New Roman"/>
          <w:b w:val="0"/>
          <w:i w:val="0"/>
          <w:sz w:val="24"/>
        </w:rPr>
        <w:t>Delivery status: delivered 18,331 | delayed 5,341 | failed 1,328.</w:t>
      </w:r>
    </w:p>
    <w:p w14:paraId="001000EE" w14:textId="001000EF">
      <w:pPr>
        <w:pStyle w:val="ListBullet"/>
        <w:spacing w:after="80"/>
      </w:pPr>
      <w:r>
        <w:rPr>
          <w:rFonts w:ascii="Times New Roman" w:hAnsi="Times New Roman"/>
          <w:b w:val="0"/>
          <w:i w:val="0"/>
          <w:sz w:val="24"/>
        </w:rPr>
        <w:t>Original delayed field: yes: 6,669 | no: 18,331.</w:t>
      </w:r>
    </w:p>
    <w:p w14:paraId="001000F0" w14:textId="001000F1">
      <w:pPr>
        <w:pStyle w:val="ListBullet"/>
        <w:spacing w:after="80"/>
      </w:pPr>
      <w:r>
        <w:rPr>
          <w:rFonts w:ascii="Times New Roman" w:hAnsi="Times New Roman"/>
          <w:b w:val="0"/>
          <w:i w:val="0"/>
          <w:sz w:val="24"/>
        </w:rPr>
        <w:t>Data quality note: comparing the original delayed field with a strict 'actual time &gt; expected time' rule shows 1,203 records where the two definitions disagree. The original delayed field is used for all business delay-rate calculations.</w:t>
      </w:r>
    </w:p>
    <w:p w14:paraId="001000F2" w14:textId="001000F3">
      <w:pPr>
        <w:spacing w:before="280" w:after="120"/>
        <w:jc w:val="left"/>
      </w:pPr>
      <w:r>
        <w:rPr>
          <w:rFonts w:ascii="Times New Roman" w:hAnsi="Times New Roman"/>
          <w:b/>
          <w:i w:val="0"/>
          <w:color w:val="1F2328"/>
          <w:sz w:val="32"/>
        </w:rPr>
        <w:t>8. Key Performance Indicators</w:t>
      </w:r>
    </w:p>
    <w:p w14:paraId="001000F4" w14:textId="001000F5">
      <w:pPr>
        <w:spacing w:after="120"/>
      </w:pPr>
      <w:r>
        <w:rPr>
          <w:rFonts w:ascii="Times New Roman" w:hAnsi="Times New Roman"/>
          <w:b w:val="0"/>
          <w:i w:val="0"/>
          <w:sz w:val="24"/>
        </w:rPr>
        <w:t>Table 3 presents the six overall business KPIs calculated from the dataset. All values are computed from the data; delay rate uses the original delayed field.</w:t>
      </w:r>
    </w:p>
    <w:tbl>
      <w:tblPr>
        <w:tblStyle w:val="TableGrid"/>
        <w:tblW w:w="0" w:type="auto"/>
        <w:jc w:val="center"/>
        <w:tblLook w:val="04A0" w:firstRow="1" w:lastRow="0" w:firstColumn="1" w:lastColumn="0" w:noHBand="0" w:noVBand="1"/>
      </w:tblPr>
      <w:tblGrid>
        <w:gridCol w:w="4533"/>
        <w:gridCol w:w="4533"/>
      </w:tblGrid>
      <w:tr>
        <w:tc>
          <w:tcPr>
            <w:tcW w:w="4320" w:type="dxa"/>
            <w:shd w:val="clear" w:color="auto" w:fill="DCE6F1"/>
          </w:tcPr>
          <w:p w14:paraId="001000F6" w14:textId="001000F7">
            <w:pPr>
              <w:jc w:val="center"/>
            </w:pPr>
            <w:r>
              <w:rPr>
                <w:rFonts w:ascii="Times New Roman" w:hAnsi="Times New Roman"/>
                <w:b/>
                <w:i w:val="0"/>
                <w:sz w:val="22"/>
              </w:rPr>
              <w:t>KPI</w:t>
            </w:r>
          </w:p>
        </w:tc>
        <w:tc>
          <w:tcPr>
            <w:tcW w:w="4320" w:type="dxa"/>
            <w:shd w:val="clear" w:color="auto" w:fill="DCE6F1"/>
          </w:tcPr>
          <w:p w14:paraId="001000F8" w14:textId="001000F9">
            <w:pPr>
              <w:jc w:val="center"/>
            </w:pPr>
            <w:r>
              <w:rPr>
                <w:rFonts w:ascii="Times New Roman" w:hAnsi="Times New Roman"/>
                <w:b/>
                <w:i w:val="0"/>
                <w:sz w:val="22"/>
              </w:rPr>
              <w:t>Value</w:t>
            </w:r>
          </w:p>
        </w:tc>
      </w:tr>
      <w:tr>
        <w:tc>
          <w:tcPr>
            <w:tcW w:w="4320" w:type="dxa"/>
          </w:tcPr>
          <w:p w14:paraId="001000FA" w14:textId="001000FB">
            <w:pPr>
              <w:jc w:val="center"/>
            </w:pPr>
            <w:r>
              <w:rPr>
                <w:rFonts w:ascii="Times New Roman" w:hAnsi="Times New Roman"/>
                <w:b w:val="0"/>
                <w:i w:val="0"/>
                <w:sz w:val="22"/>
              </w:rPr>
              <w:t>Total deliveries</w:t>
            </w:r>
          </w:p>
        </w:tc>
        <w:tc>
          <w:tcPr>
            <w:tcW w:w="4320" w:type="dxa"/>
          </w:tcPr>
          <w:p w14:paraId="001000FC" w14:textId="001000FD">
            <w:pPr>
              <w:jc w:val="center"/>
            </w:pPr>
            <w:r>
              <w:rPr>
                <w:rFonts w:ascii="Times New Roman" w:hAnsi="Times New Roman"/>
                <w:b w:val="0"/>
                <w:i w:val="0"/>
                <w:sz w:val="22"/>
              </w:rPr>
              <w:t>25,000</w:t>
            </w:r>
          </w:p>
        </w:tc>
      </w:tr>
      <w:tr>
        <w:tc>
          <w:tcPr>
            <w:tcW w:w="4320" w:type="dxa"/>
          </w:tcPr>
          <w:p w14:paraId="001000FE" w14:textId="001000FF">
            <w:pPr>
              <w:jc w:val="center"/>
            </w:pPr>
            <w:r>
              <w:rPr>
                <w:rFonts w:ascii="Times New Roman" w:hAnsi="Times New Roman"/>
                <w:b w:val="0"/>
                <w:i w:val="0"/>
                <w:sz w:val="22"/>
              </w:rPr>
              <w:t>Overall delay rate (delayed = yes)</w:t>
            </w:r>
          </w:p>
        </w:tc>
        <w:tc>
          <w:tcPr>
            <w:tcW w:w="4320" w:type="dxa"/>
          </w:tcPr>
          <w:p w14:paraId="00100100" w14:textId="00100101">
            <w:pPr>
              <w:jc w:val="center"/>
            </w:pPr>
            <w:r>
              <w:rPr>
                <w:rFonts w:ascii="Times New Roman" w:hAnsi="Times New Roman"/>
                <w:b w:val="0"/>
                <w:i w:val="0"/>
                <w:sz w:val="22"/>
              </w:rPr>
              <w:t>26.68%</w:t>
            </w:r>
          </w:p>
        </w:tc>
      </w:tr>
      <w:tr>
        <w:tc>
          <w:tcPr>
            <w:tcW w:w="4320" w:type="dxa"/>
          </w:tcPr>
          <w:p w14:paraId="00100102" w14:textId="00100103">
            <w:pPr>
              <w:jc w:val="center"/>
            </w:pPr>
            <w:r>
              <w:rPr>
                <w:rFonts w:ascii="Times New Roman" w:hAnsi="Times New Roman"/>
                <w:b w:val="0"/>
                <w:i w:val="0"/>
                <w:sz w:val="22"/>
              </w:rPr>
              <w:t>Delivered (status)</w:t>
            </w:r>
          </w:p>
        </w:tc>
        <w:tc>
          <w:tcPr>
            <w:tcW w:w="4320" w:type="dxa"/>
          </w:tcPr>
          <w:p w14:paraId="00100104" w14:textId="00100105">
            <w:pPr>
              <w:jc w:val="center"/>
            </w:pPr>
            <w:r>
              <w:rPr>
                <w:rFonts w:ascii="Times New Roman" w:hAnsi="Times New Roman"/>
                <w:b w:val="0"/>
                <w:i w:val="0"/>
                <w:sz w:val="22"/>
              </w:rPr>
              <w:t>18,331  (73.3%)</w:t>
            </w:r>
          </w:p>
        </w:tc>
      </w:tr>
      <w:tr>
        <w:tc>
          <w:tcPr>
            <w:tcW w:w="4320" w:type="dxa"/>
          </w:tcPr>
          <w:p w14:paraId="00100106" w14:textId="00100107">
            <w:pPr>
              <w:jc w:val="center"/>
            </w:pPr>
            <w:r>
              <w:rPr>
                <w:rFonts w:ascii="Times New Roman" w:hAnsi="Times New Roman"/>
                <w:b w:val="0"/>
                <w:i w:val="0"/>
                <w:sz w:val="22"/>
              </w:rPr>
              <w:t>Delayed (status)</w:t>
            </w:r>
          </w:p>
        </w:tc>
        <w:tc>
          <w:tcPr>
            <w:tcW w:w="4320" w:type="dxa"/>
          </w:tcPr>
          <w:p w14:paraId="00100108" w14:textId="00100109">
            <w:pPr>
              <w:jc w:val="center"/>
            </w:pPr>
            <w:r>
              <w:rPr>
                <w:rFonts w:ascii="Times New Roman" w:hAnsi="Times New Roman"/>
                <w:b w:val="0"/>
                <w:i w:val="0"/>
                <w:sz w:val="22"/>
              </w:rPr>
              <w:t>5,341  (21.4%)</w:t>
            </w:r>
          </w:p>
        </w:tc>
      </w:tr>
      <w:tr>
        <w:tc>
          <w:tcPr>
            <w:tcW w:w="4320" w:type="dxa"/>
          </w:tcPr>
          <w:p w14:paraId="0010010A" w14:textId="0010010B">
            <w:pPr>
              <w:jc w:val="center"/>
            </w:pPr>
            <w:r>
              <w:rPr>
                <w:rFonts w:ascii="Times New Roman" w:hAnsi="Times New Roman"/>
                <w:b w:val="0"/>
                <w:i w:val="0"/>
                <w:sz w:val="22"/>
              </w:rPr>
              <w:t>Failed (status)</w:t>
            </w:r>
          </w:p>
        </w:tc>
        <w:tc>
          <w:tcPr>
            <w:tcW w:w="4320" w:type="dxa"/>
          </w:tcPr>
          <w:p w14:paraId="0010010C" w14:textId="0010010D">
            <w:pPr>
              <w:jc w:val="center"/>
            </w:pPr>
            <w:r>
              <w:rPr>
                <w:rFonts w:ascii="Times New Roman" w:hAnsi="Times New Roman"/>
                <w:b w:val="0"/>
                <w:i w:val="0"/>
                <w:sz w:val="22"/>
              </w:rPr>
              <w:t>1,328  (5.3%)</w:t>
            </w:r>
          </w:p>
        </w:tc>
      </w:tr>
      <w:tr>
        <w:tc>
          <w:tcPr>
            <w:tcW w:w="4320" w:type="dxa"/>
          </w:tcPr>
          <w:p w14:paraId="0010010E" w14:textId="0010010F">
            <w:pPr>
              <w:jc w:val="center"/>
            </w:pPr>
            <w:r>
              <w:rPr>
                <w:rFonts w:ascii="Times New Roman" w:hAnsi="Times New Roman"/>
                <w:b w:val="0"/>
                <w:i w:val="0"/>
                <w:sz w:val="22"/>
              </w:rPr>
              <w:t>Average actual delivery time</w:t>
            </w:r>
          </w:p>
        </w:tc>
        <w:tc>
          <w:tcPr>
            <w:tcW w:w="4320" w:type="dxa"/>
          </w:tcPr>
          <w:p w14:paraId="00100110" w14:textId="00100111">
            <w:pPr>
              <w:jc w:val="center"/>
            </w:pPr>
            <w:r>
              <w:rPr>
                <w:rFonts w:ascii="Times New Roman" w:hAnsi="Times New Roman"/>
                <w:b w:val="0"/>
                <w:i w:val="0"/>
                <w:sz w:val="22"/>
              </w:rPr>
              <w:t>6.31 hours</w:t>
            </w:r>
          </w:p>
        </w:tc>
      </w:tr>
      <w:tr>
        <w:tc>
          <w:tcPr>
            <w:tcW w:w="4320" w:type="dxa"/>
          </w:tcPr>
          <w:p w14:paraId="00100112" w14:textId="00100113">
            <w:pPr>
              <w:jc w:val="center"/>
            </w:pPr>
            <w:r>
              <w:rPr>
                <w:rFonts w:ascii="Times New Roman" w:hAnsi="Times New Roman"/>
                <w:b w:val="0"/>
                <w:i w:val="0"/>
                <w:sz w:val="22"/>
              </w:rPr>
              <w:t>Average expected / SLA time</w:t>
            </w:r>
          </w:p>
        </w:tc>
        <w:tc>
          <w:tcPr>
            <w:tcW w:w="4320" w:type="dxa"/>
          </w:tcPr>
          <w:p w14:paraId="00100114" w14:textId="00100115">
            <w:pPr>
              <w:jc w:val="center"/>
            </w:pPr>
            <w:r>
              <w:rPr>
                <w:rFonts w:ascii="Times New Roman" w:hAnsi="Times New Roman"/>
                <w:b w:val="0"/>
                <w:i w:val="0"/>
                <w:sz w:val="22"/>
              </w:rPr>
              <w:t>13.11 hours</w:t>
            </w:r>
          </w:p>
        </w:tc>
      </w:tr>
      <w:tr>
        <w:tc>
          <w:tcPr>
            <w:tcW w:w="4320" w:type="dxa"/>
          </w:tcPr>
          <w:p w14:paraId="00100116" w14:textId="00100117">
            <w:pPr>
              <w:jc w:val="center"/>
            </w:pPr>
            <w:r>
              <w:rPr>
                <w:rFonts w:ascii="Times New Roman" w:hAnsi="Times New Roman"/>
                <w:b w:val="0"/>
                <w:i w:val="0"/>
                <w:sz w:val="22"/>
              </w:rPr>
              <w:t>Average delivery cost</w:t>
            </w:r>
          </w:p>
        </w:tc>
        <w:tc>
          <w:tcPr>
            <w:tcW w:w="4320" w:type="dxa"/>
          </w:tcPr>
          <w:p w14:paraId="00100118" w14:textId="00100119">
            <w:pPr>
              <w:jc w:val="center"/>
            </w:pPr>
            <w:r>
              <w:rPr>
                <w:rFonts w:ascii="Times New Roman" w:hAnsi="Times New Roman"/>
                <w:b w:val="0"/>
                <w:i w:val="0"/>
                <w:sz w:val="22"/>
              </w:rPr>
              <w:t>₹864.94</w:t>
            </w:r>
          </w:p>
        </w:tc>
      </w:tr>
      <w:tr>
        <w:tc>
          <w:tcPr>
            <w:tcW w:w="4320" w:type="dxa"/>
          </w:tcPr>
          <w:p w14:paraId="0010011A" w14:textId="0010011B">
            <w:pPr>
              <w:jc w:val="center"/>
            </w:pPr>
            <w:r>
              <w:rPr>
                <w:rFonts w:ascii="Times New Roman" w:hAnsi="Times New Roman"/>
                <w:b w:val="0"/>
                <w:i w:val="0"/>
                <w:sz w:val="22"/>
              </w:rPr>
              <w:t>Average delivery rating</w:t>
            </w:r>
          </w:p>
        </w:tc>
        <w:tc>
          <w:tcPr>
            <w:tcW w:w="4320" w:type="dxa"/>
          </w:tcPr>
          <w:p w14:paraId="0010011C" w14:textId="0010011D">
            <w:pPr>
              <w:jc w:val="center"/>
            </w:pPr>
            <w:r>
              <w:rPr>
                <w:rFonts w:ascii="Times New Roman" w:hAnsi="Times New Roman"/>
                <w:b w:val="0"/>
                <w:i w:val="0"/>
                <w:sz w:val="22"/>
              </w:rPr>
              <w:t>3.67 / 5</w:t>
            </w:r>
          </w:p>
        </w:tc>
      </w:tr>
    </w:tbl>
    <w:p w14:paraId="0010011E" w14:textId="0010011F"/>
    <w:p w14:paraId="00100120" w14:textId="00100121">
      <w:pPr>
        <w:spacing w:after="160"/>
      </w:pPr>
      <w:r>
        <w:rPr>
          <w:rFonts w:ascii="Times New Roman" w:hAnsi="Times New Roman"/>
          <w:b w:val="0"/>
          <w:i/>
          <w:color w:val="57606A"/>
          <w:sz w:val="22"/>
        </w:rPr>
        <w:t>Table 3: Overall KPIs (source: kpis.json).</w:t>
      </w:r>
    </w:p>
    <w:p w14:paraId="00100122" w14:textId="00100123">
      <w:pPr>
        <w:jc w:val="center"/>
      </w:pPr>
      <w:r>
        <w:drawing>
          <wp:inline xmlns:a="http://schemas.openxmlformats.org/drawingml/2006/main" xmlns:pic="http://schemas.openxmlformats.org/drawingml/2006/picture">
            <wp:extent cx="5029200" cy="2231180"/>
            <wp:docPr id="1" name="Picture 1"/>
            <wp:cNvGraphicFramePr>
              <a:graphicFrameLocks noChangeAspect="1"/>
            </wp:cNvGraphicFramePr>
            <a:graphic>
              <a:graphicData uri="http://schemas.openxmlformats.org/drawingml/2006/picture">
                <pic:pic>
                  <pic:nvPicPr>
                    <pic:cNvPr id="0" name="01_kpi_summary.png"/>
                    <pic:cNvPicPr/>
                  </pic:nvPicPr>
                  <pic:blipFill>
                    <a:blip r:embed="rId10"/>
                    <a:stretch>
                      <a:fillRect/>
                    </a:stretch>
                  </pic:blipFill>
                  <pic:spPr>
                    <a:xfrm>
                      <a:off x="0" y="0"/>
                      <a:ext cx="5029200" cy="2231180"/>
                    </a:xfrm>
                    <a:prstGeom prst="rect"/>
                  </pic:spPr>
                </pic:pic>
              </a:graphicData>
            </a:graphic>
          </wp:inline>
        </w:drawing>
      </w:r>
    </w:p>
    <w:p w14:paraId="00100124" w14:textId="00100125">
      <w:pPr>
        <w:spacing w:after="240"/>
        <w:jc w:val="center"/>
      </w:pPr>
      <w:r>
        <w:rPr>
          <w:rFonts w:ascii="Times New Roman" w:hAnsi="Times New Roman"/>
          <w:b w:val="0"/>
          <w:i/>
          <w:color w:val="57606A"/>
          <w:sz w:val="20"/>
        </w:rPr>
        <w:t>Figure 1: Overall Delivery KPI Summary.</w:t>
      </w:r>
    </w:p>
    <w:p w14:paraId="00100126" w14:textId="00100127">
      <w:r>
        <w:br w:type="page"/>
      </w:r>
    </w:p>
    <w:p w14:paraId="00100128" w14:textId="00100129">
      <w:pPr>
        <w:spacing w:before="280" w:after="120"/>
        <w:jc w:val="left"/>
      </w:pPr>
      <w:r>
        <w:rPr>
          <w:rFonts w:ascii="Times New Roman" w:hAnsi="Times New Roman"/>
          <w:b/>
          <w:i w:val="0"/>
          <w:color w:val="1F2328"/>
          <w:sz w:val="32"/>
        </w:rPr>
        <w:t>9. Delivery Mode Analysis</w:t>
      </w:r>
    </w:p>
    <w:p w14:paraId="0010012A" w14:textId="0010012B">
      <w:pPr>
        <w:spacing w:after="120"/>
      </w:pPr>
      <w:r>
        <w:rPr>
          <w:rFonts w:ascii="Times New Roman" w:hAnsi="Times New Roman"/>
          <w:b w:val="0"/>
          <w:i w:val="0"/>
          <w:sz w:val="24"/>
        </w:rPr>
        <w:t>Table 4 shows the delay rate and average delivery times for each of the four delivery modes.</w:t>
      </w:r>
    </w:p>
    <w:tbl>
      <w:tblPr>
        <w:tblStyle w:val="TableGrid"/>
        <w:tblW w:w="0" w:type="auto"/>
        <w:jc w:val="center"/>
        <w:tblLook w:val="04A0" w:firstRow="1" w:lastRow="0" w:firstColumn="1" w:lastColumn="0" w:noHBand="0" w:noVBand="1"/>
      </w:tblPr>
      <w:tblGrid>
        <w:gridCol w:w="1511"/>
        <w:gridCol w:w="1511"/>
        <w:gridCol w:w="1511"/>
        <w:gridCol w:w="1511"/>
        <w:gridCol w:w="1511"/>
        <w:gridCol w:w="1511"/>
      </w:tblGrid>
      <w:tr>
        <w:tc>
          <w:tcPr>
            <w:tcW w:w="1584" w:type="dxa"/>
            <w:shd w:val="clear" w:color="auto" w:fill="DCE6F1"/>
          </w:tcPr>
          <w:p w14:paraId="0010012C" w14:textId="0010012D">
            <w:pPr>
              <w:jc w:val="center"/>
            </w:pPr>
            <w:r>
              <w:rPr>
                <w:rFonts w:ascii="Times New Roman" w:hAnsi="Times New Roman"/>
                <w:b/>
                <w:i w:val="0"/>
                <w:sz w:val="22"/>
              </w:rPr>
              <w:t>Mode</w:t>
            </w:r>
          </w:p>
        </w:tc>
        <w:tc>
          <w:tcPr>
            <w:tcW w:w="1152" w:type="dxa"/>
            <w:shd w:val="clear" w:color="auto" w:fill="DCE6F1"/>
          </w:tcPr>
          <w:p w14:paraId="0010012E" w14:textId="0010012F">
            <w:pPr>
              <w:jc w:val="center"/>
            </w:pPr>
            <w:r>
              <w:rPr>
                <w:rFonts w:ascii="Times New Roman" w:hAnsi="Times New Roman"/>
                <w:b/>
                <w:i w:val="0"/>
                <w:sz w:val="22"/>
              </w:rPr>
              <w:t>Total</w:t>
            </w:r>
          </w:p>
        </w:tc>
        <w:tc>
          <w:tcPr>
            <w:tcW w:w="1152" w:type="dxa"/>
            <w:shd w:val="clear" w:color="auto" w:fill="DCE6F1"/>
          </w:tcPr>
          <w:p w14:paraId="00100130" w14:textId="00100131">
            <w:pPr>
              <w:jc w:val="center"/>
            </w:pPr>
            <w:r>
              <w:rPr>
                <w:rFonts w:ascii="Times New Roman" w:hAnsi="Times New Roman"/>
                <w:b/>
                <w:i w:val="0"/>
                <w:sz w:val="22"/>
              </w:rPr>
              <w:t>Delayed</w:t>
            </w:r>
          </w:p>
        </w:tc>
        <w:tc>
          <w:tcPr>
            <w:tcW w:w="1584" w:type="dxa"/>
            <w:shd w:val="clear" w:color="auto" w:fill="DCE6F1"/>
          </w:tcPr>
          <w:p w14:paraId="00100132" w14:textId="00100133">
            <w:pPr>
              <w:jc w:val="center"/>
            </w:pPr>
            <w:r>
              <w:rPr>
                <w:rFonts w:ascii="Times New Roman" w:hAnsi="Times New Roman"/>
                <w:b/>
                <w:i w:val="0"/>
                <w:sz w:val="22"/>
              </w:rPr>
              <w:t>Delay Rate</w:t>
            </w:r>
          </w:p>
        </w:tc>
        <w:tc>
          <w:tcPr>
            <w:tcW w:w="2016" w:type="dxa"/>
            <w:shd w:val="clear" w:color="auto" w:fill="DCE6F1"/>
          </w:tcPr>
          <w:p w14:paraId="00100134" w14:textId="00100135">
            <w:pPr>
              <w:jc w:val="center"/>
            </w:pPr>
            <w:r>
              <w:rPr>
                <w:rFonts w:ascii="Times New Roman" w:hAnsi="Times New Roman"/>
                <w:b/>
                <w:i w:val="0"/>
                <w:sz w:val="22"/>
              </w:rPr>
              <w:t>Avg Actual Time</w:t>
            </w:r>
          </w:p>
        </w:tc>
        <w:tc>
          <w:tcPr>
            <w:tcW w:w="2016" w:type="dxa"/>
            <w:shd w:val="clear" w:color="auto" w:fill="DCE6F1"/>
          </w:tcPr>
          <w:p w14:paraId="00100136" w14:textId="00100137">
            <w:pPr>
              <w:jc w:val="center"/>
            </w:pPr>
            <w:r>
              <w:rPr>
                <w:rFonts w:ascii="Times New Roman" w:hAnsi="Times New Roman"/>
                <w:b/>
                <w:i w:val="0"/>
                <w:sz w:val="22"/>
              </w:rPr>
              <w:t>Avg SLA Time</w:t>
            </w:r>
          </w:p>
        </w:tc>
      </w:tr>
      <w:tr>
        <w:tc>
          <w:tcPr>
            <w:tcW w:w="1584" w:type="dxa"/>
          </w:tcPr>
          <w:p w14:paraId="00100138" w14:textId="00100139">
            <w:pPr>
              <w:jc w:val="center"/>
            </w:pPr>
            <w:r>
              <w:rPr>
                <w:rFonts w:ascii="Times New Roman" w:hAnsi="Times New Roman"/>
                <w:b w:val="0"/>
                <w:i w:val="0"/>
                <w:sz w:val="22"/>
              </w:rPr>
              <w:t>Express</w:t>
            </w:r>
          </w:p>
        </w:tc>
        <w:tc>
          <w:tcPr>
            <w:tcW w:w="1152" w:type="dxa"/>
          </w:tcPr>
          <w:p w14:paraId="0010013A" w14:textId="0010013B">
            <w:pPr>
              <w:jc w:val="center"/>
            </w:pPr>
            <w:r>
              <w:rPr>
                <w:rFonts w:ascii="Times New Roman" w:hAnsi="Times New Roman"/>
                <w:b w:val="0"/>
                <w:i w:val="0"/>
                <w:sz w:val="22"/>
              </w:rPr>
              <w:t>6,233</w:t>
            </w:r>
          </w:p>
        </w:tc>
        <w:tc>
          <w:tcPr>
            <w:tcW w:w="1152" w:type="dxa"/>
          </w:tcPr>
          <w:p w14:paraId="0010013C" w14:textId="0010013D">
            <w:pPr>
              <w:jc w:val="center"/>
            </w:pPr>
            <w:r>
              <w:rPr>
                <w:rFonts w:ascii="Times New Roman" w:hAnsi="Times New Roman"/>
                <w:b w:val="0"/>
                <w:i w:val="0"/>
                <w:sz w:val="22"/>
              </w:rPr>
              <w:t>4,599</w:t>
            </w:r>
          </w:p>
        </w:tc>
        <w:tc>
          <w:tcPr>
            <w:tcW w:w="1584" w:type="dxa"/>
          </w:tcPr>
          <w:p w14:paraId="0010013E" w14:textId="0010013F">
            <w:pPr>
              <w:jc w:val="center"/>
            </w:pPr>
            <w:r>
              <w:rPr>
                <w:rFonts w:ascii="Times New Roman" w:hAnsi="Times New Roman"/>
                <w:b w:val="0"/>
                <w:i w:val="0"/>
                <w:sz w:val="22"/>
              </w:rPr>
              <w:t>73.78%</w:t>
            </w:r>
          </w:p>
        </w:tc>
        <w:tc>
          <w:tcPr>
            <w:tcW w:w="2016" w:type="dxa"/>
          </w:tcPr>
          <w:p w14:paraId="00100140" w14:textId="00100141">
            <w:pPr>
              <w:jc w:val="center"/>
            </w:pPr>
            <w:r>
              <w:rPr>
                <w:rFonts w:ascii="Times New Roman" w:hAnsi="Times New Roman"/>
                <w:b w:val="0"/>
                <w:i w:val="0"/>
                <w:sz w:val="22"/>
              </w:rPr>
              <w:t>6.28 h</w:t>
            </w:r>
          </w:p>
        </w:tc>
        <w:tc>
          <w:tcPr>
            <w:tcW w:w="2016" w:type="dxa"/>
          </w:tcPr>
          <w:p w14:paraId="00100142" w14:textId="00100143">
            <w:pPr>
              <w:jc w:val="center"/>
            </w:pPr>
            <w:r>
              <w:rPr>
                <w:rFonts w:ascii="Times New Roman" w:hAnsi="Times New Roman"/>
                <w:b w:val="0"/>
                <w:i w:val="0"/>
                <w:sz w:val="22"/>
              </w:rPr>
              <w:t>4.52 h</w:t>
            </w:r>
          </w:p>
        </w:tc>
      </w:tr>
      <w:tr>
        <w:tc>
          <w:tcPr>
            <w:tcW w:w="1584" w:type="dxa"/>
          </w:tcPr>
          <w:p w14:paraId="00100144" w14:textId="00100145">
            <w:pPr>
              <w:jc w:val="center"/>
            </w:pPr>
            <w:r>
              <w:rPr>
                <w:rFonts w:ascii="Times New Roman" w:hAnsi="Times New Roman"/>
                <w:b w:val="0"/>
                <w:i w:val="0"/>
                <w:sz w:val="22"/>
              </w:rPr>
              <w:t>Same Day</w:t>
            </w:r>
          </w:p>
        </w:tc>
        <w:tc>
          <w:tcPr>
            <w:tcW w:w="1152" w:type="dxa"/>
          </w:tcPr>
          <w:p w14:paraId="00100146" w14:textId="00100147">
            <w:pPr>
              <w:jc w:val="center"/>
            </w:pPr>
            <w:r>
              <w:rPr>
                <w:rFonts w:ascii="Times New Roman" w:hAnsi="Times New Roman"/>
                <w:b w:val="0"/>
                <w:i w:val="0"/>
                <w:sz w:val="22"/>
              </w:rPr>
              <w:t>6,279</w:t>
            </w:r>
          </w:p>
        </w:tc>
        <w:tc>
          <w:tcPr>
            <w:tcW w:w="1152" w:type="dxa"/>
          </w:tcPr>
          <w:p w14:paraId="00100148" w14:textId="00100149">
            <w:pPr>
              <w:jc w:val="center"/>
            </w:pPr>
            <w:r>
              <w:rPr>
                <w:rFonts w:ascii="Times New Roman" w:hAnsi="Times New Roman"/>
                <w:b w:val="0"/>
                <w:i w:val="0"/>
                <w:sz w:val="22"/>
              </w:rPr>
              <w:t>2,043</w:t>
            </w:r>
          </w:p>
        </w:tc>
        <w:tc>
          <w:tcPr>
            <w:tcW w:w="1584" w:type="dxa"/>
          </w:tcPr>
          <w:p w14:paraId="0010014A" w14:textId="0010014B">
            <w:pPr>
              <w:jc w:val="center"/>
            </w:pPr>
            <w:r>
              <w:rPr>
                <w:rFonts w:ascii="Times New Roman" w:hAnsi="Times New Roman"/>
                <w:b w:val="0"/>
                <w:i w:val="0"/>
                <w:sz w:val="22"/>
              </w:rPr>
              <w:t>32.54%</w:t>
            </w:r>
          </w:p>
        </w:tc>
        <w:tc>
          <w:tcPr>
            <w:tcW w:w="2016" w:type="dxa"/>
          </w:tcPr>
          <w:p w14:paraId="0010014C" w14:textId="0010014D">
            <w:pPr>
              <w:jc w:val="center"/>
            </w:pPr>
            <w:r>
              <w:rPr>
                <w:rFonts w:ascii="Times New Roman" w:hAnsi="Times New Roman"/>
                <w:b w:val="0"/>
                <w:i w:val="0"/>
                <w:sz w:val="22"/>
              </w:rPr>
              <w:t>6.33 h</w:t>
            </w:r>
          </w:p>
        </w:tc>
        <w:tc>
          <w:tcPr>
            <w:tcW w:w="2016" w:type="dxa"/>
          </w:tcPr>
          <w:p w14:paraId="0010014E" w14:textId="0010014F">
            <w:pPr>
              <w:jc w:val="center"/>
            </w:pPr>
            <w:r>
              <w:rPr>
                <w:rFonts w:ascii="Times New Roman" w:hAnsi="Times New Roman"/>
                <w:b w:val="0"/>
                <w:i w:val="0"/>
                <w:sz w:val="22"/>
              </w:rPr>
              <w:t>8.00 h</w:t>
            </w:r>
          </w:p>
        </w:tc>
      </w:tr>
      <w:tr>
        <w:tc>
          <w:tcPr>
            <w:tcW w:w="1584" w:type="dxa"/>
          </w:tcPr>
          <w:p w14:paraId="00100150" w14:textId="00100151">
            <w:pPr>
              <w:jc w:val="center"/>
            </w:pPr>
            <w:r>
              <w:rPr>
                <w:rFonts w:ascii="Times New Roman" w:hAnsi="Times New Roman"/>
                <w:b w:val="0"/>
                <w:i w:val="0"/>
                <w:sz w:val="22"/>
              </w:rPr>
              <w:t>Two Day</w:t>
            </w:r>
          </w:p>
        </w:tc>
        <w:tc>
          <w:tcPr>
            <w:tcW w:w="1152" w:type="dxa"/>
          </w:tcPr>
          <w:p w14:paraId="00100152" w14:textId="00100153">
            <w:pPr>
              <w:jc w:val="center"/>
            </w:pPr>
            <w:r>
              <w:rPr>
                <w:rFonts w:ascii="Times New Roman" w:hAnsi="Times New Roman"/>
                <w:b w:val="0"/>
                <w:i w:val="0"/>
                <w:sz w:val="22"/>
              </w:rPr>
              <w:t>6,302</w:t>
            </w:r>
          </w:p>
        </w:tc>
        <w:tc>
          <w:tcPr>
            <w:tcW w:w="1152" w:type="dxa"/>
          </w:tcPr>
          <w:p w14:paraId="00100154" w14:textId="00100155">
            <w:pPr>
              <w:jc w:val="center"/>
            </w:pPr>
            <w:r>
              <w:rPr>
                <w:rFonts w:ascii="Times New Roman" w:hAnsi="Times New Roman"/>
                <w:b w:val="0"/>
                <w:i w:val="0"/>
                <w:sz w:val="22"/>
              </w:rPr>
              <w:t>27</w:t>
            </w:r>
          </w:p>
        </w:tc>
        <w:tc>
          <w:tcPr>
            <w:tcW w:w="1584" w:type="dxa"/>
          </w:tcPr>
          <w:p w14:paraId="00100156" w14:textId="00100157">
            <w:pPr>
              <w:jc w:val="center"/>
            </w:pPr>
            <w:r>
              <w:rPr>
                <w:rFonts w:ascii="Times New Roman" w:hAnsi="Times New Roman"/>
                <w:b w:val="0"/>
                <w:i w:val="0"/>
                <w:sz w:val="22"/>
              </w:rPr>
              <w:t>0.43%</w:t>
            </w:r>
          </w:p>
        </w:tc>
        <w:tc>
          <w:tcPr>
            <w:tcW w:w="2016" w:type="dxa"/>
          </w:tcPr>
          <w:p w14:paraId="00100158" w14:textId="00100159">
            <w:pPr>
              <w:jc w:val="center"/>
            </w:pPr>
            <w:r>
              <w:rPr>
                <w:rFonts w:ascii="Times New Roman" w:hAnsi="Times New Roman"/>
                <w:b w:val="0"/>
                <w:i w:val="0"/>
                <w:sz w:val="22"/>
              </w:rPr>
              <w:t>6.34 h</w:t>
            </w:r>
          </w:p>
        </w:tc>
        <w:tc>
          <w:tcPr>
            <w:tcW w:w="2016" w:type="dxa"/>
          </w:tcPr>
          <w:p w14:paraId="0010015A" w14:textId="0010015B">
            <w:pPr>
              <w:jc w:val="center"/>
            </w:pPr>
            <w:r>
              <w:rPr>
                <w:rFonts w:ascii="Times New Roman" w:hAnsi="Times New Roman"/>
                <w:b w:val="0"/>
                <w:i w:val="0"/>
                <w:sz w:val="22"/>
              </w:rPr>
              <w:t>16.00 h</w:t>
            </w:r>
          </w:p>
        </w:tc>
      </w:tr>
      <w:tr>
        <w:tc>
          <w:tcPr>
            <w:tcW w:w="1584" w:type="dxa"/>
          </w:tcPr>
          <w:p w14:paraId="0010015C" w14:textId="0010015D">
            <w:pPr>
              <w:jc w:val="center"/>
            </w:pPr>
            <w:r>
              <w:rPr>
                <w:rFonts w:ascii="Times New Roman" w:hAnsi="Times New Roman"/>
                <w:b w:val="0"/>
                <w:i w:val="0"/>
                <w:sz w:val="22"/>
              </w:rPr>
              <w:t>Standard</w:t>
            </w:r>
          </w:p>
        </w:tc>
        <w:tc>
          <w:tcPr>
            <w:tcW w:w="1152" w:type="dxa"/>
          </w:tcPr>
          <w:p w14:paraId="0010015E" w14:textId="0010015F">
            <w:pPr>
              <w:jc w:val="center"/>
            </w:pPr>
            <w:r>
              <w:rPr>
                <w:rFonts w:ascii="Times New Roman" w:hAnsi="Times New Roman"/>
                <w:b w:val="0"/>
                <w:i w:val="0"/>
                <w:sz w:val="22"/>
              </w:rPr>
              <w:t>6,186</w:t>
            </w:r>
          </w:p>
        </w:tc>
        <w:tc>
          <w:tcPr>
            <w:tcW w:w="1152" w:type="dxa"/>
          </w:tcPr>
          <w:p w14:paraId="00100160" w14:textId="00100161">
            <w:pPr>
              <w:jc w:val="center"/>
            </w:pPr>
            <w:r>
              <w:rPr>
                <w:rFonts w:ascii="Times New Roman" w:hAnsi="Times New Roman"/>
                <w:b w:val="0"/>
                <w:i w:val="0"/>
                <w:sz w:val="22"/>
              </w:rPr>
              <w:t>0</w:t>
            </w:r>
          </w:p>
        </w:tc>
        <w:tc>
          <w:tcPr>
            <w:tcW w:w="1584" w:type="dxa"/>
          </w:tcPr>
          <w:p w14:paraId="00100162" w14:textId="00100163">
            <w:pPr>
              <w:jc w:val="center"/>
            </w:pPr>
            <w:r>
              <w:rPr>
                <w:rFonts w:ascii="Times New Roman" w:hAnsi="Times New Roman"/>
                <w:b w:val="0"/>
                <w:i w:val="0"/>
                <w:sz w:val="22"/>
              </w:rPr>
              <w:t>0.00%</w:t>
            </w:r>
          </w:p>
        </w:tc>
        <w:tc>
          <w:tcPr>
            <w:tcW w:w="2016" w:type="dxa"/>
          </w:tcPr>
          <w:p w14:paraId="00100164" w14:textId="00100165">
            <w:pPr>
              <w:jc w:val="center"/>
            </w:pPr>
            <w:r>
              <w:rPr>
                <w:rFonts w:ascii="Times New Roman" w:hAnsi="Times New Roman"/>
                <w:b w:val="0"/>
                <w:i w:val="0"/>
                <w:sz w:val="22"/>
              </w:rPr>
              <w:t>6.30 h</w:t>
            </w:r>
          </w:p>
        </w:tc>
        <w:tc>
          <w:tcPr>
            <w:tcW w:w="2016" w:type="dxa"/>
          </w:tcPr>
          <w:p w14:paraId="00100166" w14:textId="00100167">
            <w:pPr>
              <w:jc w:val="center"/>
            </w:pPr>
            <w:r>
              <w:rPr>
                <w:rFonts w:ascii="Times New Roman" w:hAnsi="Times New Roman"/>
                <w:b w:val="0"/>
                <w:i w:val="0"/>
                <w:sz w:val="22"/>
              </w:rPr>
              <w:t>24.00 h</w:t>
            </w:r>
          </w:p>
        </w:tc>
      </w:tr>
    </w:tbl>
    <w:p w14:paraId="00100168" w14:textId="00100169"/>
    <w:p w14:paraId="0010016A" w14:textId="0010016B">
      <w:pPr>
        <w:spacing w:after="160"/>
      </w:pPr>
      <w:r>
        <w:rPr>
          <w:rFonts w:ascii="Times New Roman" w:hAnsi="Times New Roman"/>
          <w:b w:val="0"/>
          <w:i/>
          <w:color w:val="57606A"/>
          <w:sz w:val="22"/>
        </w:rPr>
        <w:t>Table 4: Delivery mode analysis (source: mode_analysis.csv).</w:t>
      </w:r>
    </w:p>
    <w:p w14:paraId="0010016C" w14:textId="0010016D">
      <w:pPr>
        <w:spacing w:after="120"/>
      </w:pPr>
      <w:r>
        <w:rPr>
          <w:rFonts w:ascii="Times New Roman" w:hAnsi="Times New Roman"/>
          <w:b w:val="0"/>
          <w:i w:val="0"/>
          <w:sz w:val="24"/>
        </w:rPr>
        <w:t>The analysis observes that express mode is associated with the highest delay rate in this dataset (73.78%), while standard mode shows 0%. The wide spread of 73.78 percentage points across modes is a notable pattern. However, delivery modes differ in their SLA windows — express mode has a tighter SLA (average 4.52 hours) compared to standard mode (24 hours). This difference in SLA threshold likely contributes to the higher observed delay rate for express deliveries in this dataset. This is an association; the analysis does not conclude that the mode itself causes delays.</w:t>
      </w:r>
    </w:p>
    <w:p w14:paraId="0010016E" w14:textId="0010016F">
      <w:pPr>
        <w:jc w:val="center"/>
      </w:pPr>
      <w:r>
        <w:drawing>
          <wp:inline xmlns:a="http://schemas.openxmlformats.org/drawingml/2006/main" xmlns:pic="http://schemas.openxmlformats.org/drawingml/2006/picture">
            <wp:extent cx="5029200" cy="2477322"/>
            <wp:docPr id="2" name="Picture 2"/>
            <wp:cNvGraphicFramePr>
              <a:graphicFrameLocks noChangeAspect="1"/>
            </wp:cNvGraphicFramePr>
            <a:graphic>
              <a:graphicData uri="http://schemas.openxmlformats.org/drawingml/2006/picture">
                <pic:pic>
                  <pic:nvPicPr>
                    <pic:cNvPr id="0" name="02_delay_rate_by_mode.png"/>
                    <pic:cNvPicPr/>
                  </pic:nvPicPr>
                  <pic:blipFill>
                    <a:blip r:embed="rId11"/>
                    <a:stretch>
                      <a:fillRect/>
                    </a:stretch>
                  </pic:blipFill>
                  <pic:spPr>
                    <a:xfrm>
                      <a:off x="0" y="0"/>
                      <a:ext cx="5029200" cy="2477322"/>
                    </a:xfrm>
                    <a:prstGeom prst="rect"/>
                  </pic:spPr>
                </pic:pic>
              </a:graphicData>
            </a:graphic>
          </wp:inline>
        </w:drawing>
      </w:r>
    </w:p>
    <w:p w14:paraId="00100170" w14:textId="00100171">
      <w:pPr>
        <w:spacing w:after="240"/>
        <w:jc w:val="center"/>
      </w:pPr>
      <w:r>
        <w:rPr>
          <w:rFonts w:ascii="Times New Roman" w:hAnsi="Times New Roman"/>
          <w:b w:val="0"/>
          <w:i/>
          <w:color w:val="57606A"/>
          <w:sz w:val="20"/>
        </w:rPr>
        <w:t>Figure 2: Delay Rate by Delivery Mode.</w:t>
      </w:r>
    </w:p>
    <w:p w14:paraId="00100172" w14:textId="00100173">
      <w:pPr>
        <w:spacing w:before="280" w:after="120"/>
        <w:jc w:val="left"/>
      </w:pPr>
      <w:r>
        <w:rPr>
          <w:rFonts w:ascii="Times New Roman" w:hAnsi="Times New Roman"/>
          <w:b/>
          <w:i w:val="0"/>
          <w:color w:val="1F2328"/>
          <w:sz w:val="32"/>
        </w:rPr>
        <w:t>10. Weather Analysis</w:t>
      </w:r>
    </w:p>
    <w:p w14:paraId="00100174" w14:textId="00100175">
      <w:pPr>
        <w:spacing w:after="120"/>
      </w:pPr>
      <w:r>
        <w:rPr>
          <w:rFonts w:ascii="Times New Roman" w:hAnsi="Times New Roman"/>
          <w:b w:val="0"/>
          <w:i w:val="0"/>
          <w:sz w:val="24"/>
        </w:rPr>
        <w:t>Table 5 presents delay rates and average delivery times across six weather conditions.</w:t>
      </w:r>
    </w:p>
    <w:tbl>
      <w:tblPr>
        <w:tblStyle w:val="TableGrid"/>
        <w:tblW w:w="0" w:type="auto"/>
        <w:jc w:val="center"/>
        <w:tblLook w:val="04A0" w:firstRow="1" w:lastRow="0" w:firstColumn="1" w:lastColumn="0" w:noHBand="0" w:noVBand="1"/>
      </w:tblPr>
      <w:tblGrid>
        <w:gridCol w:w="1813"/>
        <w:gridCol w:w="1813"/>
        <w:gridCol w:w="1813"/>
        <w:gridCol w:w="1813"/>
        <w:gridCol w:w="1813"/>
      </w:tblGrid>
      <w:tr>
        <w:tc>
          <w:tcPr>
            <w:tcW w:w="1584" w:type="dxa"/>
            <w:shd w:val="clear" w:color="auto" w:fill="DCE6F1"/>
          </w:tcPr>
          <w:p w14:paraId="00100176" w14:textId="00100177">
            <w:pPr>
              <w:jc w:val="center"/>
            </w:pPr>
            <w:r>
              <w:rPr>
                <w:rFonts w:ascii="Times New Roman" w:hAnsi="Times New Roman"/>
                <w:b/>
                <w:i w:val="0"/>
                <w:sz w:val="22"/>
              </w:rPr>
              <w:t>Condition</w:t>
            </w:r>
          </w:p>
        </w:tc>
        <w:tc>
          <w:tcPr>
            <w:tcW w:w="1152" w:type="dxa"/>
            <w:shd w:val="clear" w:color="auto" w:fill="DCE6F1"/>
          </w:tcPr>
          <w:p w14:paraId="00100178" w14:textId="00100179">
            <w:pPr>
              <w:jc w:val="center"/>
            </w:pPr>
            <w:r>
              <w:rPr>
                <w:rFonts w:ascii="Times New Roman" w:hAnsi="Times New Roman"/>
                <w:b/>
                <w:i w:val="0"/>
                <w:sz w:val="22"/>
              </w:rPr>
              <w:t>Total</w:t>
            </w:r>
          </w:p>
        </w:tc>
        <w:tc>
          <w:tcPr>
            <w:tcW w:w="1152" w:type="dxa"/>
            <w:shd w:val="clear" w:color="auto" w:fill="DCE6F1"/>
          </w:tcPr>
          <w:p w14:paraId="0010017A" w14:textId="0010017B">
            <w:pPr>
              <w:jc w:val="center"/>
            </w:pPr>
            <w:r>
              <w:rPr>
                <w:rFonts w:ascii="Times New Roman" w:hAnsi="Times New Roman"/>
                <w:b/>
                <w:i w:val="0"/>
                <w:sz w:val="22"/>
              </w:rPr>
              <w:t>Delayed</w:t>
            </w:r>
          </w:p>
        </w:tc>
        <w:tc>
          <w:tcPr>
            <w:tcW w:w="1584" w:type="dxa"/>
            <w:shd w:val="clear" w:color="auto" w:fill="DCE6F1"/>
          </w:tcPr>
          <w:p w14:paraId="0010017C" w14:textId="0010017D">
            <w:pPr>
              <w:jc w:val="center"/>
            </w:pPr>
            <w:r>
              <w:rPr>
                <w:rFonts w:ascii="Times New Roman" w:hAnsi="Times New Roman"/>
                <w:b/>
                <w:i w:val="0"/>
                <w:sz w:val="22"/>
              </w:rPr>
              <w:t>Delay Rate</w:t>
            </w:r>
          </w:p>
        </w:tc>
        <w:tc>
          <w:tcPr>
            <w:tcW w:w="1440" w:type="dxa"/>
            <w:shd w:val="clear" w:color="auto" w:fill="DCE6F1"/>
          </w:tcPr>
          <w:p w14:paraId="0010017E" w14:textId="0010017F">
            <w:pPr>
              <w:jc w:val="center"/>
            </w:pPr>
            <w:r>
              <w:rPr>
                <w:rFonts w:ascii="Times New Roman" w:hAnsi="Times New Roman"/>
                <w:b/>
                <w:i w:val="0"/>
                <w:sz w:val="22"/>
              </w:rPr>
              <w:t>Avg Time</w:t>
            </w:r>
          </w:p>
        </w:tc>
      </w:tr>
      <w:tr>
        <w:tc>
          <w:tcPr>
            <w:tcW w:w="1584" w:type="dxa"/>
          </w:tcPr>
          <w:p w14:paraId="00100180" w14:textId="00100181">
            <w:pPr>
              <w:jc w:val="center"/>
            </w:pPr>
            <w:r>
              <w:rPr>
                <w:rFonts w:ascii="Times New Roman" w:hAnsi="Times New Roman"/>
                <w:b w:val="0"/>
                <w:i w:val="0"/>
                <w:sz w:val="22"/>
              </w:rPr>
              <w:t>Stormy</w:t>
            </w:r>
          </w:p>
        </w:tc>
        <w:tc>
          <w:tcPr>
            <w:tcW w:w="1152" w:type="dxa"/>
          </w:tcPr>
          <w:p w14:paraId="00100182" w14:textId="00100183">
            <w:pPr>
              <w:jc w:val="center"/>
            </w:pPr>
            <w:r>
              <w:rPr>
                <w:rFonts w:ascii="Times New Roman" w:hAnsi="Times New Roman"/>
                <w:b w:val="0"/>
                <w:i w:val="0"/>
                <w:sz w:val="22"/>
              </w:rPr>
              <w:t>4,198</w:t>
            </w:r>
          </w:p>
        </w:tc>
        <w:tc>
          <w:tcPr>
            <w:tcW w:w="1152" w:type="dxa"/>
          </w:tcPr>
          <w:p w14:paraId="00100184" w14:textId="00100185">
            <w:pPr>
              <w:jc w:val="center"/>
            </w:pPr>
            <w:r>
              <w:rPr>
                <w:rFonts w:ascii="Times New Roman" w:hAnsi="Times New Roman"/>
                <w:b w:val="0"/>
                <w:i w:val="0"/>
                <w:sz w:val="22"/>
              </w:rPr>
              <w:t>1,740</w:t>
            </w:r>
          </w:p>
        </w:tc>
        <w:tc>
          <w:tcPr>
            <w:tcW w:w="1584" w:type="dxa"/>
          </w:tcPr>
          <w:p w14:paraId="00100186" w14:textId="00100187">
            <w:pPr>
              <w:jc w:val="center"/>
            </w:pPr>
            <w:r>
              <w:rPr>
                <w:rFonts w:ascii="Times New Roman" w:hAnsi="Times New Roman"/>
                <w:b w:val="0"/>
                <w:i w:val="0"/>
                <w:sz w:val="22"/>
              </w:rPr>
              <w:t>41.45%</w:t>
            </w:r>
          </w:p>
        </w:tc>
        <w:tc>
          <w:tcPr>
            <w:tcW w:w="1440" w:type="dxa"/>
          </w:tcPr>
          <w:p w14:paraId="00100188" w14:textId="00100189">
            <w:pPr>
              <w:jc w:val="center"/>
            </w:pPr>
            <w:r>
              <w:rPr>
                <w:rFonts w:ascii="Times New Roman" w:hAnsi="Times New Roman"/>
                <w:b w:val="0"/>
                <w:i w:val="0"/>
                <w:sz w:val="22"/>
              </w:rPr>
              <w:t>8.81 h</w:t>
            </w:r>
          </w:p>
        </w:tc>
      </w:tr>
      <w:tr>
        <w:tc>
          <w:tcPr>
            <w:tcW w:w="1584" w:type="dxa"/>
          </w:tcPr>
          <w:p w14:paraId="0010018A" w14:textId="0010018B">
            <w:pPr>
              <w:jc w:val="center"/>
            </w:pPr>
            <w:r>
              <w:rPr>
                <w:rFonts w:ascii="Times New Roman" w:hAnsi="Times New Roman"/>
                <w:b w:val="0"/>
                <w:i w:val="0"/>
                <w:sz w:val="22"/>
              </w:rPr>
              <w:t>Rainy</w:t>
            </w:r>
          </w:p>
        </w:tc>
        <w:tc>
          <w:tcPr>
            <w:tcW w:w="1152" w:type="dxa"/>
          </w:tcPr>
          <w:p w14:paraId="0010018C" w14:textId="0010018D">
            <w:pPr>
              <w:jc w:val="center"/>
            </w:pPr>
            <w:r>
              <w:rPr>
                <w:rFonts w:ascii="Times New Roman" w:hAnsi="Times New Roman"/>
                <w:b w:val="0"/>
                <w:i w:val="0"/>
                <w:sz w:val="22"/>
              </w:rPr>
              <w:t>4,171</w:t>
            </w:r>
          </w:p>
        </w:tc>
        <w:tc>
          <w:tcPr>
            <w:tcW w:w="1152" w:type="dxa"/>
          </w:tcPr>
          <w:p w14:paraId="0010018E" w14:textId="0010018F">
            <w:pPr>
              <w:jc w:val="center"/>
            </w:pPr>
            <w:r>
              <w:rPr>
                <w:rFonts w:ascii="Times New Roman" w:hAnsi="Times New Roman"/>
                <w:b w:val="0"/>
                <w:i w:val="0"/>
                <w:sz w:val="22"/>
              </w:rPr>
              <w:t>1,558</w:t>
            </w:r>
          </w:p>
        </w:tc>
        <w:tc>
          <w:tcPr>
            <w:tcW w:w="1584" w:type="dxa"/>
          </w:tcPr>
          <w:p w14:paraId="00100190" w14:textId="00100191">
            <w:pPr>
              <w:jc w:val="center"/>
            </w:pPr>
            <w:r>
              <w:rPr>
                <w:rFonts w:ascii="Times New Roman" w:hAnsi="Times New Roman"/>
                <w:b w:val="0"/>
                <w:i w:val="0"/>
                <w:sz w:val="22"/>
              </w:rPr>
              <w:t>37.35%</w:t>
            </w:r>
          </w:p>
        </w:tc>
        <w:tc>
          <w:tcPr>
            <w:tcW w:w="1440" w:type="dxa"/>
          </w:tcPr>
          <w:p w14:paraId="00100192" w14:textId="00100193">
            <w:pPr>
              <w:jc w:val="center"/>
            </w:pPr>
            <w:r>
              <w:rPr>
                <w:rFonts w:ascii="Times New Roman" w:hAnsi="Times New Roman"/>
                <w:b w:val="0"/>
                <w:i w:val="0"/>
                <w:sz w:val="22"/>
              </w:rPr>
              <w:t>7.80 h</w:t>
            </w:r>
          </w:p>
        </w:tc>
      </w:tr>
      <w:tr>
        <w:tc>
          <w:tcPr>
            <w:tcW w:w="1584" w:type="dxa"/>
          </w:tcPr>
          <w:p w14:paraId="00100194" w14:textId="00100195">
            <w:pPr>
              <w:jc w:val="center"/>
            </w:pPr>
            <w:r>
              <w:rPr>
                <w:rFonts w:ascii="Times New Roman" w:hAnsi="Times New Roman"/>
                <w:b w:val="0"/>
                <w:i w:val="0"/>
                <w:sz w:val="22"/>
              </w:rPr>
              <w:t>Foggy</w:t>
            </w:r>
          </w:p>
        </w:tc>
        <w:tc>
          <w:tcPr>
            <w:tcW w:w="1152" w:type="dxa"/>
          </w:tcPr>
          <w:p w14:paraId="00100196" w14:textId="00100197">
            <w:pPr>
              <w:jc w:val="center"/>
            </w:pPr>
            <w:r>
              <w:rPr>
                <w:rFonts w:ascii="Times New Roman" w:hAnsi="Times New Roman"/>
                <w:b w:val="0"/>
                <w:i w:val="0"/>
                <w:sz w:val="22"/>
              </w:rPr>
              <w:t>4,219</w:t>
            </w:r>
          </w:p>
        </w:tc>
        <w:tc>
          <w:tcPr>
            <w:tcW w:w="1152" w:type="dxa"/>
          </w:tcPr>
          <w:p w14:paraId="00100198" w14:textId="00100199">
            <w:pPr>
              <w:jc w:val="center"/>
            </w:pPr>
            <w:r>
              <w:rPr>
                <w:rFonts w:ascii="Times New Roman" w:hAnsi="Times New Roman"/>
                <w:b w:val="0"/>
                <w:i w:val="0"/>
                <w:sz w:val="22"/>
              </w:rPr>
              <w:t>1,279</w:t>
            </w:r>
          </w:p>
        </w:tc>
        <w:tc>
          <w:tcPr>
            <w:tcW w:w="1584" w:type="dxa"/>
          </w:tcPr>
          <w:p w14:paraId="0010019A" w14:textId="0010019B">
            <w:pPr>
              <w:jc w:val="center"/>
            </w:pPr>
            <w:r>
              <w:rPr>
                <w:rFonts w:ascii="Times New Roman" w:hAnsi="Times New Roman"/>
                <w:b w:val="0"/>
                <w:i w:val="0"/>
                <w:sz w:val="22"/>
              </w:rPr>
              <w:t>30.32%</w:t>
            </w:r>
          </w:p>
        </w:tc>
        <w:tc>
          <w:tcPr>
            <w:tcW w:w="1440" w:type="dxa"/>
          </w:tcPr>
          <w:p w14:paraId="0010019C" w14:textId="0010019D">
            <w:pPr>
              <w:jc w:val="center"/>
            </w:pPr>
            <w:r>
              <w:rPr>
                <w:rFonts w:ascii="Times New Roman" w:hAnsi="Times New Roman"/>
                <w:b w:val="0"/>
                <w:i w:val="0"/>
                <w:sz w:val="22"/>
              </w:rPr>
              <w:t>6.49 h</w:t>
            </w:r>
          </w:p>
        </w:tc>
      </w:tr>
      <w:tr>
        <w:tc>
          <w:tcPr>
            <w:tcW w:w="1584" w:type="dxa"/>
          </w:tcPr>
          <w:p w14:paraId="0010019E" w14:textId="0010019F">
            <w:pPr>
              <w:jc w:val="center"/>
            </w:pPr>
            <w:r>
              <w:rPr>
                <w:rFonts w:ascii="Times New Roman" w:hAnsi="Times New Roman"/>
                <w:b w:val="0"/>
                <w:i w:val="0"/>
                <w:sz w:val="22"/>
              </w:rPr>
              <w:t>Clear</w:t>
            </w:r>
          </w:p>
        </w:tc>
        <w:tc>
          <w:tcPr>
            <w:tcW w:w="1152" w:type="dxa"/>
          </w:tcPr>
          <w:p w14:paraId="001001A0" w14:textId="001001A1">
            <w:pPr>
              <w:jc w:val="center"/>
            </w:pPr>
            <w:r>
              <w:rPr>
                <w:rFonts w:ascii="Times New Roman" w:hAnsi="Times New Roman"/>
                <w:b w:val="0"/>
                <w:i w:val="0"/>
                <w:sz w:val="22"/>
              </w:rPr>
              <w:t>4,124</w:t>
            </w:r>
          </w:p>
        </w:tc>
        <w:tc>
          <w:tcPr>
            <w:tcW w:w="1152" w:type="dxa"/>
          </w:tcPr>
          <w:p w14:paraId="001001A2" w14:textId="001001A3">
            <w:pPr>
              <w:jc w:val="center"/>
            </w:pPr>
            <w:r>
              <w:rPr>
                <w:rFonts w:ascii="Times New Roman" w:hAnsi="Times New Roman"/>
                <w:b w:val="0"/>
                <w:i w:val="0"/>
                <w:sz w:val="22"/>
              </w:rPr>
              <w:t>719</w:t>
            </w:r>
          </w:p>
        </w:tc>
        <w:tc>
          <w:tcPr>
            <w:tcW w:w="1584" w:type="dxa"/>
          </w:tcPr>
          <w:p w14:paraId="001001A4" w14:textId="001001A5">
            <w:pPr>
              <w:jc w:val="center"/>
            </w:pPr>
            <w:r>
              <w:rPr>
                <w:rFonts w:ascii="Times New Roman" w:hAnsi="Times New Roman"/>
                <w:b w:val="0"/>
                <w:i w:val="0"/>
                <w:sz w:val="22"/>
              </w:rPr>
              <w:t>17.43%</w:t>
            </w:r>
          </w:p>
        </w:tc>
        <w:tc>
          <w:tcPr>
            <w:tcW w:w="1440" w:type="dxa"/>
          </w:tcPr>
          <w:p w14:paraId="001001A6" w14:textId="001001A7">
            <w:pPr>
              <w:jc w:val="center"/>
            </w:pPr>
            <w:r>
              <w:rPr>
                <w:rFonts w:ascii="Times New Roman" w:hAnsi="Times New Roman"/>
                <w:b w:val="0"/>
                <w:i w:val="0"/>
                <w:sz w:val="22"/>
              </w:rPr>
              <w:t>4.89 h</w:t>
            </w:r>
          </w:p>
        </w:tc>
      </w:tr>
      <w:tr>
        <w:tc>
          <w:tcPr>
            <w:tcW w:w="1584" w:type="dxa"/>
          </w:tcPr>
          <w:p w14:paraId="001001A8" w14:textId="001001A9">
            <w:pPr>
              <w:jc w:val="center"/>
            </w:pPr>
            <w:r>
              <w:rPr>
                <w:rFonts w:ascii="Times New Roman" w:hAnsi="Times New Roman"/>
                <w:b w:val="0"/>
                <w:i w:val="0"/>
                <w:sz w:val="22"/>
              </w:rPr>
              <w:t>Hot</w:t>
            </w:r>
          </w:p>
        </w:tc>
        <w:tc>
          <w:tcPr>
            <w:tcW w:w="1152" w:type="dxa"/>
          </w:tcPr>
          <w:p w14:paraId="001001AA" w14:textId="001001AB">
            <w:pPr>
              <w:jc w:val="center"/>
            </w:pPr>
            <w:r>
              <w:rPr>
                <w:rFonts w:ascii="Times New Roman" w:hAnsi="Times New Roman"/>
                <w:b w:val="0"/>
                <w:i w:val="0"/>
                <w:sz w:val="22"/>
              </w:rPr>
              <w:t>4,130</w:t>
            </w:r>
          </w:p>
        </w:tc>
        <w:tc>
          <w:tcPr>
            <w:tcW w:w="1152" w:type="dxa"/>
          </w:tcPr>
          <w:p w14:paraId="001001AC" w14:textId="001001AD">
            <w:pPr>
              <w:jc w:val="center"/>
            </w:pPr>
            <w:r>
              <w:rPr>
                <w:rFonts w:ascii="Times New Roman" w:hAnsi="Times New Roman"/>
                <w:b w:val="0"/>
                <w:i w:val="0"/>
                <w:sz w:val="22"/>
              </w:rPr>
              <w:t>707</w:t>
            </w:r>
          </w:p>
        </w:tc>
        <w:tc>
          <w:tcPr>
            <w:tcW w:w="1584" w:type="dxa"/>
          </w:tcPr>
          <w:p w14:paraId="001001AE" w14:textId="001001AF">
            <w:pPr>
              <w:jc w:val="center"/>
            </w:pPr>
            <w:r>
              <w:rPr>
                <w:rFonts w:ascii="Times New Roman" w:hAnsi="Times New Roman"/>
                <w:b w:val="0"/>
                <w:i w:val="0"/>
                <w:sz w:val="22"/>
              </w:rPr>
              <w:t>17.12%</w:t>
            </w:r>
          </w:p>
        </w:tc>
        <w:tc>
          <w:tcPr>
            <w:tcW w:w="1440" w:type="dxa"/>
          </w:tcPr>
          <w:p w14:paraId="001001B0" w14:textId="001001B1">
            <w:pPr>
              <w:jc w:val="center"/>
            </w:pPr>
            <w:r>
              <w:rPr>
                <w:rFonts w:ascii="Times New Roman" w:hAnsi="Times New Roman"/>
                <w:b w:val="0"/>
                <w:i w:val="0"/>
                <w:sz w:val="22"/>
              </w:rPr>
              <w:t>4.87 h</w:t>
            </w:r>
          </w:p>
        </w:tc>
      </w:tr>
      <w:tr>
        <w:tc>
          <w:tcPr>
            <w:tcW w:w="1584" w:type="dxa"/>
          </w:tcPr>
          <w:p w14:paraId="001001B2" w14:textId="001001B3">
            <w:pPr>
              <w:jc w:val="center"/>
            </w:pPr>
            <w:r>
              <w:rPr>
                <w:rFonts w:ascii="Times New Roman" w:hAnsi="Times New Roman"/>
                <w:b w:val="0"/>
                <w:i w:val="0"/>
                <w:sz w:val="22"/>
              </w:rPr>
              <w:t>Cold</w:t>
            </w:r>
          </w:p>
        </w:tc>
        <w:tc>
          <w:tcPr>
            <w:tcW w:w="1152" w:type="dxa"/>
          </w:tcPr>
          <w:p w14:paraId="001001B4" w14:textId="001001B5">
            <w:pPr>
              <w:jc w:val="center"/>
            </w:pPr>
            <w:r>
              <w:rPr>
                <w:rFonts w:ascii="Times New Roman" w:hAnsi="Times New Roman"/>
                <w:b w:val="0"/>
                <w:i w:val="0"/>
                <w:sz w:val="22"/>
              </w:rPr>
              <w:t>4,158</w:t>
            </w:r>
          </w:p>
        </w:tc>
        <w:tc>
          <w:tcPr>
            <w:tcW w:w="1152" w:type="dxa"/>
          </w:tcPr>
          <w:p w14:paraId="001001B6" w14:textId="001001B7">
            <w:pPr>
              <w:jc w:val="center"/>
            </w:pPr>
            <w:r>
              <w:rPr>
                <w:rFonts w:ascii="Times New Roman" w:hAnsi="Times New Roman"/>
                <w:b w:val="0"/>
                <w:i w:val="0"/>
                <w:sz w:val="22"/>
              </w:rPr>
              <w:t>666</w:t>
            </w:r>
          </w:p>
        </w:tc>
        <w:tc>
          <w:tcPr>
            <w:tcW w:w="1584" w:type="dxa"/>
          </w:tcPr>
          <w:p w14:paraId="001001B8" w14:textId="001001B9">
            <w:pPr>
              <w:jc w:val="center"/>
            </w:pPr>
            <w:r>
              <w:rPr>
                <w:rFonts w:ascii="Times New Roman" w:hAnsi="Times New Roman"/>
                <w:b w:val="0"/>
                <w:i w:val="0"/>
                <w:sz w:val="22"/>
              </w:rPr>
              <w:t>16.02%</w:t>
            </w:r>
          </w:p>
        </w:tc>
        <w:tc>
          <w:tcPr>
            <w:tcW w:w="1440" w:type="dxa"/>
          </w:tcPr>
          <w:p w14:paraId="001001BA" w14:textId="001001BB">
            <w:pPr>
              <w:jc w:val="center"/>
            </w:pPr>
            <w:r>
              <w:rPr>
                <w:rFonts w:ascii="Times New Roman" w:hAnsi="Times New Roman"/>
                <w:b w:val="0"/>
                <w:i w:val="0"/>
                <w:sz w:val="22"/>
              </w:rPr>
              <w:t>4.87 h</w:t>
            </w:r>
          </w:p>
        </w:tc>
      </w:tr>
    </w:tbl>
    <w:p w14:paraId="001001BC" w14:textId="001001BD"/>
    <w:p w14:paraId="001001BE" w14:textId="001001BF">
      <w:pPr>
        <w:spacing w:after="160"/>
      </w:pPr>
      <w:r>
        <w:rPr>
          <w:rFonts w:ascii="Times New Roman" w:hAnsi="Times New Roman"/>
          <w:b w:val="0"/>
          <w:i/>
          <w:color w:val="57606A"/>
          <w:sz w:val="22"/>
        </w:rPr>
        <w:t>Table 5: Weather condition analysis (source: weather_analysis.csv).</w:t>
      </w:r>
    </w:p>
    <w:p w14:paraId="001001C0" w14:textId="001001C1">
      <w:pPr>
        <w:spacing w:after="120"/>
      </w:pPr>
      <w:r>
        <w:rPr>
          <w:rFonts w:ascii="Times New Roman" w:hAnsi="Times New Roman"/>
          <w:b w:val="0"/>
          <w:i w:val="0"/>
          <w:sz w:val="24"/>
        </w:rPr>
        <w:t>Adverse weather conditions — stormy (41.45%), rainy (37.35%), and foggy (30.32%) — are associated with higher delay rates and longer average delivery times in this dataset. Milder conditions (clear, hot, cold) show delay rates in the range of 16–17%. The spread across conditions is 25.43 percentage points. This is an observed association in synthetic data and does not establish a causal relationship.</w:t>
      </w:r>
    </w:p>
    <w:p w14:paraId="001001C2" w14:textId="001001C3">
      <w:pPr>
        <w:jc w:val="center"/>
      </w:pPr>
      <w:r>
        <w:drawing>
          <wp:inline xmlns:a="http://schemas.openxmlformats.org/drawingml/2006/main" xmlns:pic="http://schemas.openxmlformats.org/drawingml/2006/picture">
            <wp:extent cx="5029200" cy="2475653"/>
            <wp:docPr id="3" name="Picture 3"/>
            <wp:cNvGraphicFramePr>
              <a:graphicFrameLocks noChangeAspect="1"/>
            </wp:cNvGraphicFramePr>
            <a:graphic>
              <a:graphicData uri="http://schemas.openxmlformats.org/drawingml/2006/picture">
                <pic:pic>
                  <pic:nvPicPr>
                    <pic:cNvPr id="0" name="03_delay_rate_by_weather.png"/>
                    <pic:cNvPicPr/>
                  </pic:nvPicPr>
                  <pic:blipFill>
                    <a:blip r:embed="rId12"/>
                    <a:stretch>
                      <a:fillRect/>
                    </a:stretch>
                  </pic:blipFill>
                  <pic:spPr>
                    <a:xfrm>
                      <a:off x="0" y="0"/>
                      <a:ext cx="5029200" cy="2475653"/>
                    </a:xfrm>
                    <a:prstGeom prst="rect"/>
                  </pic:spPr>
                </pic:pic>
              </a:graphicData>
            </a:graphic>
          </wp:inline>
        </w:drawing>
      </w:r>
    </w:p>
    <w:p w14:paraId="001001C4" w14:textId="001001C5">
      <w:pPr>
        <w:spacing w:after="240"/>
        <w:jc w:val="center"/>
      </w:pPr>
      <w:r>
        <w:rPr>
          <w:rFonts w:ascii="Times New Roman" w:hAnsi="Times New Roman"/>
          <w:b w:val="0"/>
          <w:i/>
          <w:color w:val="57606A"/>
          <w:sz w:val="20"/>
        </w:rPr>
        <w:t>Figure 3: Delay Rate by Weather Condition.</w:t>
      </w:r>
    </w:p>
    <w:p w14:paraId="001001C6" w14:textId="001001C7">
      <w:r>
        <w:br w:type="page"/>
      </w:r>
    </w:p>
    <w:p w14:paraId="001001C8" w14:textId="001001C9">
      <w:pPr>
        <w:spacing w:before="280" w:after="120"/>
        <w:jc w:val="left"/>
      </w:pPr>
      <w:r>
        <w:rPr>
          <w:rFonts w:ascii="Times New Roman" w:hAnsi="Times New Roman"/>
          <w:b/>
          <w:i w:val="0"/>
          <w:color w:val="1F2328"/>
          <w:sz w:val="32"/>
        </w:rPr>
        <w:t>11. Distance Analysis</w:t>
      </w:r>
    </w:p>
    <w:p w14:paraId="001001CA" w14:textId="001001CB">
      <w:pPr>
        <w:spacing w:after="120"/>
      </w:pPr>
      <w:r>
        <w:rPr>
          <w:rFonts w:ascii="Times New Roman" w:hAnsi="Times New Roman"/>
          <w:b w:val="0"/>
          <w:i w:val="0"/>
          <w:sz w:val="24"/>
        </w:rPr>
        <w:t>Table 6 presents delay rate, average delivery time, and average cost across five distance bands.</w:t>
      </w:r>
    </w:p>
    <w:tbl>
      <w:tblPr>
        <w:tblStyle w:val="TableGrid"/>
        <w:tblW w:w="0" w:type="auto"/>
        <w:jc w:val="center"/>
        <w:tblLook w:val="04A0" w:firstRow="1" w:lastRow="0" w:firstColumn="1" w:lastColumn="0" w:noHBand="0" w:noVBand="1"/>
      </w:tblPr>
      <w:tblGrid>
        <w:gridCol w:w="1813"/>
        <w:gridCol w:w="1813"/>
        <w:gridCol w:w="1813"/>
        <w:gridCol w:w="1813"/>
        <w:gridCol w:w="1813"/>
      </w:tblGrid>
      <w:tr>
        <w:tc>
          <w:tcPr>
            <w:tcW w:w="2016" w:type="dxa"/>
            <w:shd w:val="clear" w:color="auto" w:fill="DCE6F1"/>
          </w:tcPr>
          <w:p w14:paraId="001001CC" w14:textId="001001CD">
            <w:pPr>
              <w:jc w:val="center"/>
            </w:pPr>
            <w:r>
              <w:rPr>
                <w:rFonts w:ascii="Times New Roman" w:hAnsi="Times New Roman"/>
                <w:b/>
                <w:i w:val="0"/>
                <w:sz w:val="22"/>
              </w:rPr>
              <w:t>Distance Band</w:t>
            </w:r>
          </w:p>
        </w:tc>
        <w:tc>
          <w:tcPr>
            <w:tcW w:w="1152" w:type="dxa"/>
            <w:shd w:val="clear" w:color="auto" w:fill="DCE6F1"/>
          </w:tcPr>
          <w:p w14:paraId="001001CE" w14:textId="001001CF">
            <w:pPr>
              <w:jc w:val="center"/>
            </w:pPr>
            <w:r>
              <w:rPr>
                <w:rFonts w:ascii="Times New Roman" w:hAnsi="Times New Roman"/>
                <w:b/>
                <w:i w:val="0"/>
                <w:sz w:val="22"/>
              </w:rPr>
              <w:t>Count</w:t>
            </w:r>
          </w:p>
        </w:tc>
        <w:tc>
          <w:tcPr>
            <w:tcW w:w="1584" w:type="dxa"/>
            <w:shd w:val="clear" w:color="auto" w:fill="DCE6F1"/>
          </w:tcPr>
          <w:p w14:paraId="001001D0" w14:textId="001001D1">
            <w:pPr>
              <w:jc w:val="center"/>
            </w:pPr>
            <w:r>
              <w:rPr>
                <w:rFonts w:ascii="Times New Roman" w:hAnsi="Times New Roman"/>
                <w:b/>
                <w:i w:val="0"/>
                <w:sz w:val="22"/>
              </w:rPr>
              <w:t>Delay Rate</w:t>
            </w:r>
          </w:p>
        </w:tc>
        <w:tc>
          <w:tcPr>
            <w:tcW w:w="1440" w:type="dxa"/>
            <w:shd w:val="clear" w:color="auto" w:fill="DCE6F1"/>
          </w:tcPr>
          <w:p w14:paraId="001001D2" w14:textId="001001D3">
            <w:pPr>
              <w:jc w:val="center"/>
            </w:pPr>
            <w:r>
              <w:rPr>
                <w:rFonts w:ascii="Times New Roman" w:hAnsi="Times New Roman"/>
                <w:b/>
                <w:i w:val="0"/>
                <w:sz w:val="22"/>
              </w:rPr>
              <w:t>Avg Time</w:t>
            </w:r>
          </w:p>
        </w:tc>
        <w:tc>
          <w:tcPr>
            <w:tcW w:w="1728" w:type="dxa"/>
            <w:shd w:val="clear" w:color="auto" w:fill="DCE6F1"/>
          </w:tcPr>
          <w:p w14:paraId="001001D4" w14:textId="001001D5">
            <w:pPr>
              <w:jc w:val="center"/>
            </w:pPr>
            <w:r>
              <w:rPr>
                <w:rFonts w:ascii="Times New Roman" w:hAnsi="Times New Roman"/>
                <w:b/>
                <w:i w:val="0"/>
                <w:sz w:val="22"/>
              </w:rPr>
              <w:t>Avg Cost</w:t>
            </w:r>
          </w:p>
        </w:tc>
      </w:tr>
      <w:tr>
        <w:tc>
          <w:tcPr>
            <w:tcW w:w="2016" w:type="dxa"/>
          </w:tcPr>
          <w:p w14:paraId="001001D6" w14:textId="001001D7">
            <w:pPr>
              <w:jc w:val="center"/>
            </w:pPr>
            <w:r>
              <w:rPr>
                <w:rFonts w:ascii="Times New Roman" w:hAnsi="Times New Roman"/>
                <w:b w:val="0"/>
                <w:i w:val="0"/>
                <w:sz w:val="22"/>
              </w:rPr>
              <w:t>0–60 km</w:t>
            </w:r>
          </w:p>
        </w:tc>
        <w:tc>
          <w:tcPr>
            <w:tcW w:w="1152" w:type="dxa"/>
          </w:tcPr>
          <w:p w14:paraId="001001D8" w14:textId="001001D9">
            <w:pPr>
              <w:jc w:val="center"/>
            </w:pPr>
            <w:r>
              <w:rPr>
                <w:rFonts w:ascii="Times New Roman" w:hAnsi="Times New Roman"/>
                <w:b w:val="0"/>
                <w:i w:val="0"/>
                <w:sz w:val="22"/>
              </w:rPr>
              <w:t>4,920</w:t>
            </w:r>
          </w:p>
        </w:tc>
        <w:tc>
          <w:tcPr>
            <w:tcW w:w="1584" w:type="dxa"/>
          </w:tcPr>
          <w:p w14:paraId="001001DA" w14:textId="001001DB">
            <w:pPr>
              <w:jc w:val="center"/>
            </w:pPr>
            <w:r>
              <w:rPr>
                <w:rFonts w:ascii="Times New Roman" w:hAnsi="Times New Roman"/>
                <w:b w:val="0"/>
                <w:i w:val="0"/>
                <w:sz w:val="22"/>
              </w:rPr>
              <w:t>17.36%</w:t>
            </w:r>
          </w:p>
        </w:tc>
        <w:tc>
          <w:tcPr>
            <w:tcW w:w="1440" w:type="dxa"/>
          </w:tcPr>
          <w:p w14:paraId="001001DC" w14:textId="001001DD">
            <w:pPr>
              <w:jc w:val="center"/>
            </w:pPr>
            <w:r>
              <w:rPr>
                <w:rFonts w:ascii="Times New Roman" w:hAnsi="Times New Roman"/>
                <w:b w:val="0"/>
                <w:i w:val="0"/>
                <w:sz w:val="22"/>
              </w:rPr>
              <w:t>3.42 h</w:t>
            </w:r>
          </w:p>
        </w:tc>
        <w:tc>
          <w:tcPr>
            <w:tcW w:w="1728" w:type="dxa"/>
          </w:tcPr>
          <w:p w14:paraId="001001DE" w14:textId="001001DF">
            <w:pPr>
              <w:jc w:val="center"/>
            </w:pPr>
            <w:r>
              <w:rPr>
                <w:rFonts w:ascii="Times New Roman" w:hAnsi="Times New Roman"/>
                <w:b w:val="0"/>
                <w:i w:val="0"/>
                <w:sz w:val="22"/>
              </w:rPr>
              <w:t>₹264.36</w:t>
            </w:r>
          </w:p>
        </w:tc>
      </w:tr>
      <w:tr>
        <w:tc>
          <w:tcPr>
            <w:tcW w:w="2016" w:type="dxa"/>
          </w:tcPr>
          <w:p w14:paraId="001001E0" w14:textId="001001E1">
            <w:pPr>
              <w:jc w:val="center"/>
            </w:pPr>
            <w:r>
              <w:rPr>
                <w:rFonts w:ascii="Times New Roman" w:hAnsi="Times New Roman"/>
                <w:b w:val="0"/>
                <w:i w:val="0"/>
                <w:sz w:val="22"/>
              </w:rPr>
              <w:t>61–120 km</w:t>
            </w:r>
          </w:p>
        </w:tc>
        <w:tc>
          <w:tcPr>
            <w:tcW w:w="1152" w:type="dxa"/>
          </w:tcPr>
          <w:p w14:paraId="001001E2" w14:textId="001001E3">
            <w:pPr>
              <w:jc w:val="center"/>
            </w:pPr>
            <w:r>
              <w:rPr>
                <w:rFonts w:ascii="Times New Roman" w:hAnsi="Times New Roman"/>
                <w:b w:val="0"/>
                <w:i w:val="0"/>
                <w:sz w:val="22"/>
              </w:rPr>
              <w:t>5,044</w:t>
            </w:r>
          </w:p>
        </w:tc>
        <w:tc>
          <w:tcPr>
            <w:tcW w:w="1584" w:type="dxa"/>
          </w:tcPr>
          <w:p w14:paraId="001001E4" w14:textId="001001E5">
            <w:pPr>
              <w:jc w:val="center"/>
            </w:pPr>
            <w:r>
              <w:rPr>
                <w:rFonts w:ascii="Times New Roman" w:hAnsi="Times New Roman"/>
                <w:b w:val="0"/>
                <w:i w:val="0"/>
                <w:sz w:val="22"/>
              </w:rPr>
              <w:t>19.85%</w:t>
            </w:r>
          </w:p>
        </w:tc>
        <w:tc>
          <w:tcPr>
            <w:tcW w:w="1440" w:type="dxa"/>
          </w:tcPr>
          <w:p w14:paraId="001001E6" w14:textId="001001E7">
            <w:pPr>
              <w:jc w:val="center"/>
            </w:pPr>
            <w:r>
              <w:rPr>
                <w:rFonts w:ascii="Times New Roman" w:hAnsi="Times New Roman"/>
                <w:b w:val="0"/>
                <w:i w:val="0"/>
                <w:sz w:val="22"/>
              </w:rPr>
              <w:t>4.74 h</w:t>
            </w:r>
          </w:p>
        </w:tc>
        <w:tc>
          <w:tcPr>
            <w:tcW w:w="1728" w:type="dxa"/>
          </w:tcPr>
          <w:p w14:paraId="001001E8" w14:textId="001001E9">
            <w:pPr>
              <w:jc w:val="center"/>
            </w:pPr>
            <w:r>
              <w:rPr>
                <w:rFonts w:ascii="Times New Roman" w:hAnsi="Times New Roman"/>
                <w:b w:val="0"/>
                <w:i w:val="0"/>
                <w:sz w:val="22"/>
              </w:rPr>
              <w:t>₹560.62</w:t>
            </w:r>
          </w:p>
        </w:tc>
      </w:tr>
      <w:tr>
        <w:tc>
          <w:tcPr>
            <w:tcW w:w="2016" w:type="dxa"/>
          </w:tcPr>
          <w:p w14:paraId="001001EA" w14:textId="001001EB">
            <w:pPr>
              <w:jc w:val="center"/>
            </w:pPr>
            <w:r>
              <w:rPr>
                <w:rFonts w:ascii="Times New Roman" w:hAnsi="Times New Roman"/>
                <w:b w:val="0"/>
                <w:i w:val="0"/>
                <w:sz w:val="22"/>
              </w:rPr>
              <w:t>121–180 km</w:t>
            </w:r>
          </w:p>
        </w:tc>
        <w:tc>
          <w:tcPr>
            <w:tcW w:w="1152" w:type="dxa"/>
          </w:tcPr>
          <w:p w14:paraId="001001EC" w14:textId="001001ED">
            <w:pPr>
              <w:jc w:val="center"/>
            </w:pPr>
            <w:r>
              <w:rPr>
                <w:rFonts w:ascii="Times New Roman" w:hAnsi="Times New Roman"/>
                <w:b w:val="0"/>
                <w:i w:val="0"/>
                <w:sz w:val="22"/>
              </w:rPr>
              <w:t>5,053</w:t>
            </w:r>
          </w:p>
        </w:tc>
        <w:tc>
          <w:tcPr>
            <w:tcW w:w="1584" w:type="dxa"/>
          </w:tcPr>
          <w:p w14:paraId="001001EE" w14:textId="001001EF">
            <w:pPr>
              <w:jc w:val="center"/>
            </w:pPr>
            <w:r>
              <w:rPr>
                <w:rFonts w:ascii="Times New Roman" w:hAnsi="Times New Roman"/>
                <w:b w:val="0"/>
                <w:i w:val="0"/>
                <w:sz w:val="22"/>
              </w:rPr>
              <w:t>26.04%</w:t>
            </w:r>
          </w:p>
        </w:tc>
        <w:tc>
          <w:tcPr>
            <w:tcW w:w="1440" w:type="dxa"/>
          </w:tcPr>
          <w:p w14:paraId="001001F0" w14:textId="001001F1">
            <w:pPr>
              <w:jc w:val="center"/>
            </w:pPr>
            <w:r>
              <w:rPr>
                <w:rFonts w:ascii="Times New Roman" w:hAnsi="Times New Roman"/>
                <w:b w:val="0"/>
                <w:i w:val="0"/>
                <w:sz w:val="22"/>
              </w:rPr>
              <w:t>6.29 h</w:t>
            </w:r>
          </w:p>
        </w:tc>
        <w:tc>
          <w:tcPr>
            <w:tcW w:w="1728" w:type="dxa"/>
          </w:tcPr>
          <w:p w14:paraId="001001F2" w14:textId="001001F3">
            <w:pPr>
              <w:jc w:val="center"/>
            </w:pPr>
            <w:r>
              <w:rPr>
                <w:rFonts w:ascii="Times New Roman" w:hAnsi="Times New Roman"/>
                <w:b w:val="0"/>
                <w:i w:val="0"/>
                <w:sz w:val="22"/>
              </w:rPr>
              <w:t>₹866.35</w:t>
            </w:r>
          </w:p>
        </w:tc>
      </w:tr>
      <w:tr>
        <w:tc>
          <w:tcPr>
            <w:tcW w:w="2016" w:type="dxa"/>
          </w:tcPr>
          <w:p w14:paraId="001001F4" w14:textId="001001F5">
            <w:pPr>
              <w:jc w:val="center"/>
            </w:pPr>
            <w:r>
              <w:rPr>
                <w:rFonts w:ascii="Times New Roman" w:hAnsi="Times New Roman"/>
                <w:b w:val="0"/>
                <w:i w:val="0"/>
                <w:sz w:val="22"/>
              </w:rPr>
              <w:t>181–240 km</w:t>
            </w:r>
          </w:p>
        </w:tc>
        <w:tc>
          <w:tcPr>
            <w:tcW w:w="1152" w:type="dxa"/>
          </w:tcPr>
          <w:p w14:paraId="001001F6" w14:textId="001001F7">
            <w:pPr>
              <w:jc w:val="center"/>
            </w:pPr>
            <w:r>
              <w:rPr>
                <w:rFonts w:ascii="Times New Roman" w:hAnsi="Times New Roman"/>
                <w:b w:val="0"/>
                <w:i w:val="0"/>
                <w:sz w:val="22"/>
              </w:rPr>
              <w:t>4,960</w:t>
            </w:r>
          </w:p>
        </w:tc>
        <w:tc>
          <w:tcPr>
            <w:tcW w:w="1584" w:type="dxa"/>
          </w:tcPr>
          <w:p w14:paraId="001001F8" w14:textId="001001F9">
            <w:pPr>
              <w:jc w:val="center"/>
            </w:pPr>
            <w:r>
              <w:rPr>
                <w:rFonts w:ascii="Times New Roman" w:hAnsi="Times New Roman"/>
                <w:b w:val="0"/>
                <w:i w:val="0"/>
                <w:sz w:val="22"/>
              </w:rPr>
              <w:t>31.75%</w:t>
            </w:r>
          </w:p>
        </w:tc>
        <w:tc>
          <w:tcPr>
            <w:tcW w:w="1440" w:type="dxa"/>
          </w:tcPr>
          <w:p w14:paraId="001001FA" w14:textId="001001FB">
            <w:pPr>
              <w:jc w:val="center"/>
            </w:pPr>
            <w:r>
              <w:rPr>
                <w:rFonts w:ascii="Times New Roman" w:hAnsi="Times New Roman"/>
                <w:b w:val="0"/>
                <w:i w:val="0"/>
                <w:sz w:val="22"/>
              </w:rPr>
              <w:t>7.69 h</w:t>
            </w:r>
          </w:p>
        </w:tc>
        <w:tc>
          <w:tcPr>
            <w:tcW w:w="1728" w:type="dxa"/>
          </w:tcPr>
          <w:p w14:paraId="001001FC" w14:textId="001001FD">
            <w:pPr>
              <w:jc w:val="center"/>
            </w:pPr>
            <w:r>
              <w:rPr>
                <w:rFonts w:ascii="Times New Roman" w:hAnsi="Times New Roman"/>
                <w:b w:val="0"/>
                <w:i w:val="0"/>
                <w:sz w:val="22"/>
              </w:rPr>
              <w:t>₹1,162.78</w:t>
            </w:r>
          </w:p>
        </w:tc>
      </w:tr>
      <w:tr>
        <w:tc>
          <w:tcPr>
            <w:tcW w:w="2016" w:type="dxa"/>
          </w:tcPr>
          <w:p w14:paraId="001001FE" w14:textId="001001FF">
            <w:pPr>
              <w:jc w:val="center"/>
            </w:pPr>
            <w:r>
              <w:rPr>
                <w:rFonts w:ascii="Times New Roman" w:hAnsi="Times New Roman"/>
                <w:b w:val="0"/>
                <w:i w:val="0"/>
                <w:sz w:val="22"/>
              </w:rPr>
              <w:t>241–300 km</w:t>
            </w:r>
          </w:p>
        </w:tc>
        <w:tc>
          <w:tcPr>
            <w:tcW w:w="1152" w:type="dxa"/>
          </w:tcPr>
          <w:p w14:paraId="00100200" w14:textId="00100201">
            <w:pPr>
              <w:jc w:val="center"/>
            </w:pPr>
            <w:r>
              <w:rPr>
                <w:rFonts w:ascii="Times New Roman" w:hAnsi="Times New Roman"/>
                <w:b w:val="0"/>
                <w:i w:val="0"/>
                <w:sz w:val="22"/>
              </w:rPr>
              <w:t>5,023</w:t>
            </w:r>
          </w:p>
        </w:tc>
        <w:tc>
          <w:tcPr>
            <w:tcW w:w="1584" w:type="dxa"/>
          </w:tcPr>
          <w:p w14:paraId="00100202" w14:textId="00100203">
            <w:pPr>
              <w:jc w:val="center"/>
            </w:pPr>
            <w:r>
              <w:rPr>
                <w:rFonts w:ascii="Times New Roman" w:hAnsi="Times New Roman"/>
                <w:b w:val="0"/>
                <w:i w:val="0"/>
                <w:sz w:val="22"/>
              </w:rPr>
              <w:t>38.28%</w:t>
            </w:r>
          </w:p>
        </w:tc>
        <w:tc>
          <w:tcPr>
            <w:tcW w:w="1440" w:type="dxa"/>
          </w:tcPr>
          <w:p w14:paraId="00100204" w14:textId="00100205">
            <w:pPr>
              <w:jc w:val="center"/>
            </w:pPr>
            <w:r>
              <w:rPr>
                <w:rFonts w:ascii="Times New Roman" w:hAnsi="Times New Roman"/>
                <w:b w:val="0"/>
                <w:i w:val="0"/>
                <w:sz w:val="22"/>
              </w:rPr>
              <w:t>9.25 h</w:t>
            </w:r>
          </w:p>
        </w:tc>
        <w:tc>
          <w:tcPr>
            <w:tcW w:w="1728" w:type="dxa"/>
          </w:tcPr>
          <w:p w14:paraId="00100206" w14:textId="00100207">
            <w:pPr>
              <w:jc w:val="center"/>
            </w:pPr>
            <w:r>
              <w:rPr>
                <w:rFonts w:ascii="Times New Roman" w:hAnsi="Times New Roman"/>
                <w:b w:val="0"/>
                <w:i w:val="0"/>
                <w:sz w:val="22"/>
              </w:rPr>
              <w:t>₹1,463.31</w:t>
            </w:r>
          </w:p>
        </w:tc>
      </w:tr>
    </w:tbl>
    <w:p w14:paraId="00100208" w14:textId="00100209"/>
    <w:p w14:paraId="0010020A" w14:textId="0010020B">
      <w:pPr>
        <w:spacing w:after="160"/>
      </w:pPr>
      <w:r>
        <w:rPr>
          <w:rFonts w:ascii="Times New Roman" w:hAnsi="Times New Roman"/>
          <w:b w:val="0"/>
          <w:i/>
          <w:color w:val="57606A"/>
          <w:sz w:val="22"/>
        </w:rPr>
        <w:t>Table 6: Distance band analysis (source: distance_analysis.csv).</w:t>
      </w:r>
    </w:p>
    <w:p w14:paraId="0010020C" w14:textId="0010020D">
      <w:pPr>
        <w:spacing w:after="120"/>
      </w:pPr>
      <w:r>
        <w:rPr>
          <w:rFonts w:ascii="Times New Roman" w:hAnsi="Times New Roman"/>
          <w:b w:val="0"/>
          <w:i w:val="0"/>
          <w:sz w:val="24"/>
        </w:rPr>
        <w:t>Both average delivery time and average delivery cost increase consistently with distance in this dataset. Delay rate also increases across distance bands, from 17.36% for the 0–60 km band to 38.28% for the 241–300 km band. The cost rises from ₹264.36 to ₹1,463.31 across the same bands. These are clear positive associations between distance and each of these metrics. Distance alone does not explain all delay variation, as other variables (mode, weather) are not controlled for in this analysis.</w:t>
      </w:r>
    </w:p>
    <w:p w14:paraId="0010020E" w14:textId="0010020F">
      <w:pPr>
        <w:jc w:val="center"/>
      </w:pPr>
      <w:r>
        <w:drawing>
          <wp:inline xmlns:a="http://schemas.openxmlformats.org/drawingml/2006/main" xmlns:pic="http://schemas.openxmlformats.org/drawingml/2006/picture">
            <wp:extent cx="5029200" cy="2463766"/>
            <wp:docPr id="4" name="Picture 4"/>
            <wp:cNvGraphicFramePr>
              <a:graphicFrameLocks noChangeAspect="1"/>
            </wp:cNvGraphicFramePr>
            <a:graphic>
              <a:graphicData uri="http://schemas.openxmlformats.org/drawingml/2006/picture">
                <pic:pic>
                  <pic:nvPicPr>
                    <pic:cNvPr id="0" name="04_distance_vs_delivery_time.png"/>
                    <pic:cNvPicPr/>
                  </pic:nvPicPr>
                  <pic:blipFill>
                    <a:blip r:embed="rId13"/>
                    <a:stretch>
                      <a:fillRect/>
                    </a:stretch>
                  </pic:blipFill>
                  <pic:spPr>
                    <a:xfrm>
                      <a:off x="0" y="0"/>
                      <a:ext cx="5029200" cy="2463766"/>
                    </a:xfrm>
                    <a:prstGeom prst="rect"/>
                  </pic:spPr>
                </pic:pic>
              </a:graphicData>
            </a:graphic>
          </wp:inline>
        </w:drawing>
      </w:r>
    </w:p>
    <w:p w14:paraId="00100210" w14:textId="00100211">
      <w:pPr>
        <w:spacing w:after="240"/>
        <w:jc w:val="center"/>
      </w:pPr>
      <w:r>
        <w:rPr>
          <w:rFonts w:ascii="Times New Roman" w:hAnsi="Times New Roman"/>
          <w:b w:val="0"/>
          <w:i/>
          <w:color w:val="57606A"/>
          <w:sz w:val="20"/>
        </w:rPr>
        <w:t>Figure 4: Distance Group vs Average Delivery Time (delay rate annotated).</w:t>
      </w:r>
    </w:p>
    <w:p w14:paraId="00100212" w14:textId="00100213">
      <w:pPr>
        <w:jc w:val="center"/>
      </w:pPr>
      <w:r>
        <w:drawing>
          <wp:inline xmlns:a="http://schemas.openxmlformats.org/drawingml/2006/main" xmlns:pic="http://schemas.openxmlformats.org/drawingml/2006/picture">
            <wp:extent cx="5029200" cy="2477322"/>
            <wp:docPr id="5" name="Picture 5"/>
            <wp:cNvGraphicFramePr>
              <a:graphicFrameLocks noChangeAspect="1"/>
            </wp:cNvGraphicFramePr>
            <a:graphic>
              <a:graphicData uri="http://schemas.openxmlformats.org/drawingml/2006/picture">
                <pic:pic>
                  <pic:nvPicPr>
                    <pic:cNvPr id="0" name="05_distance_vs_delivery_cost.png"/>
                    <pic:cNvPicPr/>
                  </pic:nvPicPr>
                  <pic:blipFill>
                    <a:blip r:embed="rId14"/>
                    <a:stretch>
                      <a:fillRect/>
                    </a:stretch>
                  </pic:blipFill>
                  <pic:spPr>
                    <a:xfrm>
                      <a:off x="0" y="0"/>
                      <a:ext cx="5029200" cy="2477322"/>
                    </a:xfrm>
                    <a:prstGeom prst="rect"/>
                  </pic:spPr>
                </pic:pic>
              </a:graphicData>
            </a:graphic>
          </wp:inline>
        </w:drawing>
      </w:r>
    </w:p>
    <w:p w14:paraId="00100214" w14:textId="00100215">
      <w:pPr>
        <w:spacing w:after="240"/>
        <w:jc w:val="center"/>
      </w:pPr>
      <w:r>
        <w:rPr>
          <w:rFonts w:ascii="Times New Roman" w:hAnsi="Times New Roman"/>
          <w:b w:val="0"/>
          <w:i/>
          <w:color w:val="57606A"/>
          <w:sz w:val="20"/>
        </w:rPr>
        <w:t>Figure 5: Distance Group vs Average Delivery Cost.</w:t>
      </w:r>
    </w:p>
    <w:p w14:paraId="00100216" w14:textId="00100217">
      <w:pPr>
        <w:spacing w:before="280" w:after="120"/>
        <w:jc w:val="left"/>
      </w:pPr>
      <w:r>
        <w:rPr>
          <w:rFonts w:ascii="Times New Roman" w:hAnsi="Times New Roman"/>
          <w:b/>
          <w:i w:val="0"/>
          <w:color w:val="1F2328"/>
          <w:sz w:val="32"/>
        </w:rPr>
        <w:t>12. Customer Experience Analysis</w:t>
      </w:r>
    </w:p>
    <w:p w14:paraId="00100218" w14:textId="00100219">
      <w:pPr>
        <w:spacing w:after="120"/>
      </w:pPr>
      <w:r>
        <w:rPr>
          <w:rFonts w:ascii="Times New Roman" w:hAnsi="Times New Roman"/>
          <w:b w:val="0"/>
          <w:i w:val="0"/>
          <w:sz w:val="24"/>
        </w:rPr>
        <w:t>The Pearson correlation between actual delivery time and customer rating is r = −0.2693, indicating a weak negative association. Table 7 shows average delivery time, average cost, and delay rate for each rating level.</w:t>
      </w:r>
    </w:p>
    <w:tbl>
      <w:tblPr>
        <w:tblStyle w:val="TableGrid"/>
        <w:tblW w:w="0" w:type="auto"/>
        <w:jc w:val="center"/>
        <w:tblLook w:val="04A0" w:firstRow="1" w:lastRow="0" w:firstColumn="1" w:lastColumn="0" w:noHBand="0" w:noVBand="1"/>
      </w:tblPr>
      <w:tblGrid>
        <w:gridCol w:w="1813"/>
        <w:gridCol w:w="1813"/>
        <w:gridCol w:w="1813"/>
        <w:gridCol w:w="1813"/>
        <w:gridCol w:w="1813"/>
      </w:tblGrid>
      <w:tr>
        <w:tc>
          <w:tcPr>
            <w:tcW w:w="1584" w:type="dxa"/>
            <w:shd w:val="clear" w:color="auto" w:fill="DCE6F1"/>
          </w:tcPr>
          <w:p w14:paraId="0010021A" w14:textId="0010021B">
            <w:pPr>
              <w:jc w:val="center"/>
            </w:pPr>
            <w:r>
              <w:rPr>
                <w:rFonts w:ascii="Times New Roman" w:hAnsi="Times New Roman"/>
                <w:b/>
                <w:i w:val="0"/>
                <w:sz w:val="22"/>
              </w:rPr>
              <w:t>Rating</w:t>
            </w:r>
          </w:p>
        </w:tc>
        <w:tc>
          <w:tcPr>
            <w:tcW w:w="1296" w:type="dxa"/>
            <w:shd w:val="clear" w:color="auto" w:fill="DCE6F1"/>
          </w:tcPr>
          <w:p w14:paraId="0010021C" w14:textId="0010021D">
            <w:pPr>
              <w:jc w:val="center"/>
            </w:pPr>
            <w:r>
              <w:rPr>
                <w:rFonts w:ascii="Times New Roman" w:hAnsi="Times New Roman"/>
                <w:b/>
                <w:i w:val="0"/>
                <w:sz w:val="22"/>
              </w:rPr>
              <w:t>Count</w:t>
            </w:r>
          </w:p>
        </w:tc>
        <w:tc>
          <w:tcPr>
            <w:tcW w:w="2160" w:type="dxa"/>
            <w:shd w:val="clear" w:color="auto" w:fill="DCE6F1"/>
          </w:tcPr>
          <w:p w14:paraId="0010021E" w14:textId="0010021F">
            <w:pPr>
              <w:jc w:val="center"/>
            </w:pPr>
            <w:r>
              <w:rPr>
                <w:rFonts w:ascii="Times New Roman" w:hAnsi="Times New Roman"/>
                <w:b/>
                <w:i w:val="0"/>
                <w:sz w:val="22"/>
              </w:rPr>
              <w:t>Avg Delivery Time</w:t>
            </w:r>
          </w:p>
        </w:tc>
        <w:tc>
          <w:tcPr>
            <w:tcW w:w="1728" w:type="dxa"/>
            <w:shd w:val="clear" w:color="auto" w:fill="DCE6F1"/>
          </w:tcPr>
          <w:p w14:paraId="00100220" w14:textId="00100221">
            <w:pPr>
              <w:jc w:val="center"/>
            </w:pPr>
            <w:r>
              <w:rPr>
                <w:rFonts w:ascii="Times New Roman" w:hAnsi="Times New Roman"/>
                <w:b/>
                <w:i w:val="0"/>
                <w:sz w:val="22"/>
              </w:rPr>
              <w:t>Avg Cost</w:t>
            </w:r>
          </w:p>
        </w:tc>
        <w:tc>
          <w:tcPr>
            <w:tcW w:w="1440" w:type="dxa"/>
            <w:shd w:val="clear" w:color="auto" w:fill="DCE6F1"/>
          </w:tcPr>
          <w:p w14:paraId="00100222" w14:textId="00100223">
            <w:pPr>
              <w:jc w:val="center"/>
            </w:pPr>
            <w:r>
              <w:rPr>
                <w:rFonts w:ascii="Times New Roman" w:hAnsi="Times New Roman"/>
                <w:b/>
                <w:i w:val="0"/>
                <w:sz w:val="22"/>
              </w:rPr>
              <w:t>Delay Rate</w:t>
            </w:r>
          </w:p>
        </w:tc>
      </w:tr>
      <w:tr>
        <w:tc>
          <w:tcPr>
            <w:tcW w:w="1584" w:type="dxa"/>
          </w:tcPr>
          <w:p w14:paraId="00100224" w14:textId="00100225">
            <w:pPr>
              <w:jc w:val="center"/>
            </w:pPr>
            <w:r>
              <w:rPr>
                <w:rFonts w:ascii="Times New Roman" w:hAnsi="Times New Roman"/>
                <w:b w:val="0"/>
                <w:i w:val="0"/>
                <w:sz w:val="22"/>
              </w:rPr>
              <w:t>1 (lowest)</w:t>
            </w:r>
          </w:p>
        </w:tc>
        <w:tc>
          <w:tcPr>
            <w:tcW w:w="1296" w:type="dxa"/>
          </w:tcPr>
          <w:p w14:paraId="00100226" w14:textId="00100227">
            <w:pPr>
              <w:jc w:val="center"/>
            </w:pPr>
            <w:r>
              <w:rPr>
                <w:rFonts w:ascii="Times New Roman" w:hAnsi="Times New Roman"/>
                <w:b w:val="0"/>
                <w:i w:val="0"/>
                <w:sz w:val="22"/>
              </w:rPr>
              <w:t>920</w:t>
            </w:r>
          </w:p>
        </w:tc>
        <w:tc>
          <w:tcPr>
            <w:tcW w:w="2160" w:type="dxa"/>
          </w:tcPr>
          <w:p w14:paraId="00100228" w14:textId="00100229">
            <w:pPr>
              <w:jc w:val="center"/>
            </w:pPr>
            <w:r>
              <w:rPr>
                <w:rFonts w:ascii="Times New Roman" w:hAnsi="Times New Roman"/>
                <w:b w:val="0"/>
                <w:i w:val="0"/>
                <w:sz w:val="22"/>
              </w:rPr>
              <w:t>8.13 h</w:t>
            </w:r>
          </w:p>
        </w:tc>
        <w:tc>
          <w:tcPr>
            <w:tcW w:w="1728" w:type="dxa"/>
          </w:tcPr>
          <w:p w14:paraId="0010022A" w14:textId="0010022B">
            <w:pPr>
              <w:jc w:val="center"/>
            </w:pPr>
            <w:r>
              <w:rPr>
                <w:rFonts w:ascii="Times New Roman" w:hAnsi="Times New Roman"/>
                <w:b w:val="0"/>
                <w:i w:val="0"/>
                <w:sz w:val="22"/>
              </w:rPr>
              <w:t>₹993.76</w:t>
            </w:r>
          </w:p>
        </w:tc>
        <w:tc>
          <w:tcPr>
            <w:tcW w:w="1440" w:type="dxa"/>
          </w:tcPr>
          <w:p w14:paraId="0010022C" w14:textId="0010022D">
            <w:pPr>
              <w:jc w:val="center"/>
            </w:pPr>
            <w:r>
              <w:rPr>
                <w:rFonts w:ascii="Times New Roman" w:hAnsi="Times New Roman"/>
                <w:b w:val="0"/>
                <w:i w:val="0"/>
                <w:sz w:val="22"/>
              </w:rPr>
              <w:t>100.00%</w:t>
            </w:r>
          </w:p>
        </w:tc>
      </w:tr>
      <w:tr>
        <w:tc>
          <w:tcPr>
            <w:tcW w:w="1584" w:type="dxa"/>
          </w:tcPr>
          <w:p w14:paraId="0010022E" w14:textId="0010022F">
            <w:pPr>
              <w:jc w:val="center"/>
            </w:pPr>
            <w:r>
              <w:rPr>
                <w:rFonts w:ascii="Times New Roman" w:hAnsi="Times New Roman"/>
                <w:b w:val="0"/>
                <w:i w:val="0"/>
                <w:sz w:val="22"/>
              </w:rPr>
              <w:t>2</w:t>
            </w:r>
          </w:p>
        </w:tc>
        <w:tc>
          <w:tcPr>
            <w:tcW w:w="1296" w:type="dxa"/>
          </w:tcPr>
          <w:p w14:paraId="00100230" w14:textId="00100231">
            <w:pPr>
              <w:jc w:val="center"/>
            </w:pPr>
            <w:r>
              <w:rPr>
                <w:rFonts w:ascii="Times New Roman" w:hAnsi="Times New Roman"/>
                <w:b w:val="0"/>
                <w:i w:val="0"/>
                <w:sz w:val="22"/>
              </w:rPr>
              <w:t>3,602</w:t>
            </w:r>
          </w:p>
        </w:tc>
        <w:tc>
          <w:tcPr>
            <w:tcW w:w="2160" w:type="dxa"/>
          </w:tcPr>
          <w:p w14:paraId="00100232" w14:textId="00100233">
            <w:pPr>
              <w:jc w:val="center"/>
            </w:pPr>
            <w:r>
              <w:rPr>
                <w:rFonts w:ascii="Times New Roman" w:hAnsi="Times New Roman"/>
                <w:b w:val="0"/>
                <w:i w:val="0"/>
                <w:sz w:val="22"/>
              </w:rPr>
              <w:t>8.11 h</w:t>
            </w:r>
          </w:p>
        </w:tc>
        <w:tc>
          <w:tcPr>
            <w:tcW w:w="1728" w:type="dxa"/>
          </w:tcPr>
          <w:p w14:paraId="00100234" w14:textId="00100235">
            <w:pPr>
              <w:jc w:val="center"/>
            </w:pPr>
            <w:r>
              <w:rPr>
                <w:rFonts w:ascii="Times New Roman" w:hAnsi="Times New Roman"/>
                <w:b w:val="0"/>
                <w:i w:val="0"/>
                <w:sz w:val="22"/>
              </w:rPr>
              <w:t>₹1,023.27</w:t>
            </w:r>
          </w:p>
        </w:tc>
        <w:tc>
          <w:tcPr>
            <w:tcW w:w="1440" w:type="dxa"/>
          </w:tcPr>
          <w:p w14:paraId="00100236" w14:textId="00100237">
            <w:pPr>
              <w:jc w:val="center"/>
            </w:pPr>
            <w:r>
              <w:rPr>
                <w:rFonts w:ascii="Times New Roman" w:hAnsi="Times New Roman"/>
                <w:b w:val="0"/>
                <w:i w:val="0"/>
                <w:sz w:val="22"/>
              </w:rPr>
              <w:t>100.00%</w:t>
            </w:r>
          </w:p>
        </w:tc>
      </w:tr>
      <w:tr>
        <w:tc>
          <w:tcPr>
            <w:tcW w:w="1584" w:type="dxa"/>
          </w:tcPr>
          <w:p w14:paraId="00100238" w14:textId="00100239">
            <w:pPr>
              <w:jc w:val="center"/>
            </w:pPr>
            <w:r>
              <w:rPr>
                <w:rFonts w:ascii="Times New Roman" w:hAnsi="Times New Roman"/>
                <w:b w:val="0"/>
                <w:i w:val="0"/>
                <w:sz w:val="22"/>
              </w:rPr>
              <w:t>3</w:t>
            </w:r>
          </w:p>
        </w:tc>
        <w:tc>
          <w:tcPr>
            <w:tcW w:w="1296" w:type="dxa"/>
          </w:tcPr>
          <w:p w14:paraId="0010023A" w14:textId="0010023B">
            <w:pPr>
              <w:jc w:val="center"/>
            </w:pPr>
            <w:r>
              <w:rPr>
                <w:rFonts w:ascii="Times New Roman" w:hAnsi="Times New Roman"/>
                <w:b w:val="0"/>
                <w:i w:val="0"/>
                <w:sz w:val="22"/>
              </w:rPr>
              <w:t>5,773</w:t>
            </w:r>
          </w:p>
        </w:tc>
        <w:tc>
          <w:tcPr>
            <w:tcW w:w="2160" w:type="dxa"/>
          </w:tcPr>
          <w:p w14:paraId="0010023C" w14:textId="0010023D">
            <w:pPr>
              <w:jc w:val="center"/>
            </w:pPr>
            <w:r>
              <w:rPr>
                <w:rFonts w:ascii="Times New Roman" w:hAnsi="Times New Roman"/>
                <w:b w:val="0"/>
                <w:i w:val="0"/>
                <w:sz w:val="22"/>
              </w:rPr>
              <w:t>6.53 h</w:t>
            </w:r>
          </w:p>
        </w:tc>
        <w:tc>
          <w:tcPr>
            <w:tcW w:w="1728" w:type="dxa"/>
          </w:tcPr>
          <w:p w14:paraId="0010023E" w14:textId="0010023F">
            <w:pPr>
              <w:jc w:val="center"/>
            </w:pPr>
            <w:r>
              <w:rPr>
                <w:rFonts w:ascii="Times New Roman" w:hAnsi="Times New Roman"/>
                <w:b w:val="0"/>
                <w:i w:val="0"/>
                <w:sz w:val="22"/>
              </w:rPr>
              <w:t>₹886.64</w:t>
            </w:r>
          </w:p>
        </w:tc>
        <w:tc>
          <w:tcPr>
            <w:tcW w:w="1440" w:type="dxa"/>
          </w:tcPr>
          <w:p w14:paraId="00100240" w14:textId="00100241">
            <w:pPr>
              <w:jc w:val="center"/>
            </w:pPr>
            <w:r>
              <w:rPr>
                <w:rFonts w:ascii="Times New Roman" w:hAnsi="Times New Roman"/>
                <w:b w:val="0"/>
                <w:i w:val="0"/>
                <w:sz w:val="22"/>
              </w:rPr>
              <w:t>37.19%</w:t>
            </w:r>
          </w:p>
        </w:tc>
      </w:tr>
      <w:tr>
        <w:tc>
          <w:tcPr>
            <w:tcW w:w="1584" w:type="dxa"/>
          </w:tcPr>
          <w:p w14:paraId="00100242" w14:textId="00100243">
            <w:pPr>
              <w:jc w:val="center"/>
            </w:pPr>
            <w:r>
              <w:rPr>
                <w:rFonts w:ascii="Times New Roman" w:hAnsi="Times New Roman"/>
                <w:b w:val="0"/>
                <w:i w:val="0"/>
                <w:sz w:val="22"/>
              </w:rPr>
              <w:t>4</w:t>
            </w:r>
          </w:p>
        </w:tc>
        <w:tc>
          <w:tcPr>
            <w:tcW w:w="1296" w:type="dxa"/>
          </w:tcPr>
          <w:p w14:paraId="00100244" w14:textId="00100245">
            <w:pPr>
              <w:jc w:val="center"/>
            </w:pPr>
            <w:r>
              <w:rPr>
                <w:rFonts w:ascii="Times New Roman" w:hAnsi="Times New Roman"/>
                <w:b w:val="0"/>
                <w:i w:val="0"/>
                <w:sz w:val="22"/>
              </w:rPr>
              <w:t>7,318</w:t>
            </w:r>
          </w:p>
        </w:tc>
        <w:tc>
          <w:tcPr>
            <w:tcW w:w="2160" w:type="dxa"/>
          </w:tcPr>
          <w:p w14:paraId="00100246" w14:textId="00100247">
            <w:pPr>
              <w:jc w:val="center"/>
            </w:pPr>
            <w:r>
              <w:rPr>
                <w:rFonts w:ascii="Times New Roman" w:hAnsi="Times New Roman"/>
                <w:b w:val="0"/>
                <w:i w:val="0"/>
                <w:sz w:val="22"/>
              </w:rPr>
              <w:t>5.64 h</w:t>
            </w:r>
          </w:p>
        </w:tc>
        <w:tc>
          <w:tcPr>
            <w:tcW w:w="1728" w:type="dxa"/>
          </w:tcPr>
          <w:p w14:paraId="00100248" w14:textId="00100249">
            <w:pPr>
              <w:jc w:val="center"/>
            </w:pPr>
            <w:r>
              <w:rPr>
                <w:rFonts w:ascii="Times New Roman" w:hAnsi="Times New Roman"/>
                <w:b w:val="0"/>
                <w:i w:val="0"/>
                <w:sz w:val="22"/>
              </w:rPr>
              <w:t>₹807.18</w:t>
            </w:r>
          </w:p>
        </w:tc>
        <w:tc>
          <w:tcPr>
            <w:tcW w:w="1440" w:type="dxa"/>
          </w:tcPr>
          <w:p w14:paraId="0010024A" w14:textId="0010024B">
            <w:pPr>
              <w:jc w:val="center"/>
            </w:pPr>
            <w:r>
              <w:rPr>
                <w:rFonts w:ascii="Times New Roman" w:hAnsi="Times New Roman"/>
                <w:b w:val="0"/>
                <w:i w:val="0"/>
                <w:sz w:val="22"/>
              </w:rPr>
              <w:t>0.00%</w:t>
            </w:r>
          </w:p>
        </w:tc>
      </w:tr>
      <w:tr>
        <w:tc>
          <w:tcPr>
            <w:tcW w:w="1584" w:type="dxa"/>
          </w:tcPr>
          <w:p w14:paraId="0010024C" w14:textId="0010024D">
            <w:pPr>
              <w:jc w:val="center"/>
            </w:pPr>
            <w:r>
              <w:rPr>
                <w:rFonts w:ascii="Times New Roman" w:hAnsi="Times New Roman"/>
                <w:b w:val="0"/>
                <w:i w:val="0"/>
                <w:sz w:val="22"/>
              </w:rPr>
              <w:t>5 (highest)</w:t>
            </w:r>
          </w:p>
        </w:tc>
        <w:tc>
          <w:tcPr>
            <w:tcW w:w="1296" w:type="dxa"/>
          </w:tcPr>
          <w:p w14:paraId="0010024E" w14:textId="0010024F">
            <w:pPr>
              <w:jc w:val="center"/>
            </w:pPr>
            <w:r>
              <w:rPr>
                <w:rFonts w:ascii="Times New Roman" w:hAnsi="Times New Roman"/>
                <w:b w:val="0"/>
                <w:i w:val="0"/>
                <w:sz w:val="22"/>
              </w:rPr>
              <w:t>7,387</w:t>
            </w:r>
          </w:p>
        </w:tc>
        <w:tc>
          <w:tcPr>
            <w:tcW w:w="2160" w:type="dxa"/>
          </w:tcPr>
          <w:p w14:paraId="00100250" w14:textId="00100251">
            <w:pPr>
              <w:jc w:val="center"/>
            </w:pPr>
            <w:r>
              <w:rPr>
                <w:rFonts w:ascii="Times New Roman" w:hAnsi="Times New Roman"/>
                <w:b w:val="0"/>
                <w:i w:val="0"/>
                <w:sz w:val="22"/>
              </w:rPr>
              <w:t>5.69 h</w:t>
            </w:r>
          </w:p>
        </w:tc>
        <w:tc>
          <w:tcPr>
            <w:tcW w:w="1728" w:type="dxa"/>
          </w:tcPr>
          <w:p w14:paraId="00100252" w14:textId="00100253">
            <w:pPr>
              <w:jc w:val="center"/>
            </w:pPr>
            <w:r>
              <w:rPr>
                <w:rFonts w:ascii="Times New Roman" w:hAnsi="Times New Roman"/>
                <w:b w:val="0"/>
                <w:i w:val="0"/>
                <w:sz w:val="22"/>
              </w:rPr>
              <w:t>₹811.97</w:t>
            </w:r>
          </w:p>
        </w:tc>
        <w:tc>
          <w:tcPr>
            <w:tcW w:w="1440" w:type="dxa"/>
          </w:tcPr>
          <w:p w14:paraId="00100254" w14:textId="00100255">
            <w:pPr>
              <w:jc w:val="center"/>
            </w:pPr>
            <w:r>
              <w:rPr>
                <w:rFonts w:ascii="Times New Roman" w:hAnsi="Times New Roman"/>
                <w:b w:val="0"/>
                <w:i w:val="0"/>
                <w:sz w:val="22"/>
              </w:rPr>
              <w:t>0.00%</w:t>
            </w:r>
          </w:p>
        </w:tc>
      </w:tr>
    </w:tbl>
    <w:p w14:paraId="00100256" w14:textId="00100257"/>
    <w:p w14:paraId="00100258" w14:textId="00100259">
      <w:pPr>
        <w:spacing w:after="160"/>
      </w:pPr>
      <w:r>
        <w:rPr>
          <w:rFonts w:ascii="Times New Roman" w:hAnsi="Times New Roman"/>
          <w:b w:val="0"/>
          <w:i/>
          <w:color w:val="57606A"/>
          <w:sz w:val="22"/>
        </w:rPr>
        <w:t>Table 7: Delivery rating analysis (source: rating_analysis.csv).</w:t>
      </w:r>
    </w:p>
    <w:p w14:paraId="0010025A" w14:textId="0010025B">
      <w:pPr>
        <w:spacing w:after="120"/>
      </w:pPr>
      <w:r>
        <w:rPr>
          <w:rFonts w:ascii="Times New Roman" w:hAnsi="Times New Roman"/>
          <w:b w:val="0"/>
          <w:i w:val="0"/>
          <w:sz w:val="24"/>
        </w:rPr>
        <w:t>Ratings 1 and 2 correspond to 100% delay rates in this dataset, while ratings 4 and 5 show 0% delay rates. This strong alignment between delay status and rating is a pattern in the data. The Pearson r = −0.2693 represents a weak negative association across all records. Correlation does not establish causation — other factors such as package condition, communication quality, and delivery cost also influence customer satisfaction but are not fully captured in this dataset.</w:t>
      </w:r>
    </w:p>
    <w:p w14:paraId="0010025C" w14:textId="0010025D">
      <w:pPr>
        <w:jc w:val="center"/>
      </w:pPr>
      <w:r>
        <w:drawing>
          <wp:inline xmlns:a="http://schemas.openxmlformats.org/drawingml/2006/main" xmlns:pic="http://schemas.openxmlformats.org/drawingml/2006/picture">
            <wp:extent cx="5029200" cy="2477322"/>
            <wp:docPr id="6" name="Picture 6"/>
            <wp:cNvGraphicFramePr>
              <a:graphicFrameLocks noChangeAspect="1"/>
            </wp:cNvGraphicFramePr>
            <a:graphic>
              <a:graphicData uri="http://schemas.openxmlformats.org/drawingml/2006/picture">
                <pic:pic>
                  <pic:nvPicPr>
                    <pic:cNvPr id="0" name="06_delivery_time_vs_rating.png"/>
                    <pic:cNvPicPr/>
                  </pic:nvPicPr>
                  <pic:blipFill>
                    <a:blip r:embed="rId15"/>
                    <a:stretch>
                      <a:fillRect/>
                    </a:stretch>
                  </pic:blipFill>
                  <pic:spPr>
                    <a:xfrm>
                      <a:off x="0" y="0"/>
                      <a:ext cx="5029200" cy="2477322"/>
                    </a:xfrm>
                    <a:prstGeom prst="rect"/>
                  </pic:spPr>
                </pic:pic>
              </a:graphicData>
            </a:graphic>
          </wp:inline>
        </w:drawing>
      </w:r>
    </w:p>
    <w:p w14:paraId="0010025E" w14:textId="0010025F">
      <w:pPr>
        <w:spacing w:after="240"/>
        <w:jc w:val="center"/>
      </w:pPr>
      <w:r>
        <w:rPr>
          <w:rFonts w:ascii="Times New Roman" w:hAnsi="Times New Roman"/>
          <w:b w:val="0"/>
          <w:i/>
          <w:color w:val="57606A"/>
          <w:sz w:val="20"/>
        </w:rPr>
        <w:t>Figure 6: Delivery Time vs Customer Rating (Pearson r = −0.2693).</w:t>
      </w:r>
    </w:p>
    <w:p w14:paraId="00100260" w14:textId="00100261">
      <w:r>
        <w:br w:type="page"/>
      </w:r>
    </w:p>
    <w:p w14:paraId="00100262" w14:textId="00100263">
      <w:pPr>
        <w:spacing w:before="280" w:after="120"/>
        <w:jc w:val="left"/>
      </w:pPr>
      <w:r>
        <w:rPr>
          <w:rFonts w:ascii="Times New Roman" w:hAnsi="Times New Roman"/>
          <w:b/>
          <w:i w:val="0"/>
          <w:color w:val="1F2328"/>
          <w:sz w:val="32"/>
        </w:rPr>
        <w:t>13. Delivery Status Analysis</w:t>
      </w:r>
    </w:p>
    <w:p w14:paraId="00100264" w14:textId="00100265">
      <w:pPr>
        <w:spacing w:after="120"/>
      </w:pPr>
      <w:r>
        <w:rPr>
          <w:rFonts w:ascii="Times New Roman" w:hAnsi="Times New Roman"/>
          <w:b w:val="0"/>
          <w:i w:val="0"/>
          <w:sz w:val="24"/>
        </w:rPr>
        <w:t>The dataset records three delivery outcomes: delivered, delayed, and failed. Table 8 shows the distribution.</w:t>
      </w:r>
    </w:p>
    <w:tbl>
      <w:tblPr>
        <w:tblStyle w:val="TableGrid"/>
        <w:tblW w:w="0" w:type="auto"/>
        <w:jc w:val="center"/>
        <w:tblLook w:val="04A0" w:firstRow="1" w:lastRow="0" w:firstColumn="1" w:lastColumn="0" w:noHBand="0" w:noVBand="1"/>
      </w:tblPr>
      <w:tblGrid>
        <w:gridCol w:w="3022"/>
        <w:gridCol w:w="3022"/>
        <w:gridCol w:w="3022"/>
      </w:tblGrid>
      <w:tr>
        <w:tc>
          <w:tcPr>
            <w:tcW w:w="2160" w:type="dxa"/>
            <w:shd w:val="clear" w:color="auto" w:fill="DCE6F1"/>
          </w:tcPr>
          <w:p w14:paraId="00100266" w14:textId="00100267">
            <w:pPr>
              <w:jc w:val="center"/>
            </w:pPr>
            <w:r>
              <w:rPr>
                <w:rFonts w:ascii="Times New Roman" w:hAnsi="Times New Roman"/>
                <w:b/>
                <w:i w:val="0"/>
                <w:sz w:val="22"/>
              </w:rPr>
              <w:t>Status</w:t>
            </w:r>
          </w:p>
        </w:tc>
        <w:tc>
          <w:tcPr>
            <w:tcW w:w="1728" w:type="dxa"/>
            <w:shd w:val="clear" w:color="auto" w:fill="DCE6F1"/>
          </w:tcPr>
          <w:p w14:paraId="00100268" w14:textId="00100269">
            <w:pPr>
              <w:jc w:val="center"/>
            </w:pPr>
            <w:r>
              <w:rPr>
                <w:rFonts w:ascii="Times New Roman" w:hAnsi="Times New Roman"/>
                <w:b/>
                <w:i w:val="0"/>
                <w:sz w:val="22"/>
              </w:rPr>
              <w:t>Count</w:t>
            </w:r>
          </w:p>
        </w:tc>
        <w:tc>
          <w:tcPr>
            <w:tcW w:w="1728" w:type="dxa"/>
            <w:shd w:val="clear" w:color="auto" w:fill="DCE6F1"/>
          </w:tcPr>
          <w:p w14:paraId="0010026A" w14:textId="0010026B">
            <w:pPr>
              <w:jc w:val="center"/>
            </w:pPr>
            <w:r>
              <w:rPr>
                <w:rFonts w:ascii="Times New Roman" w:hAnsi="Times New Roman"/>
                <w:b/>
                <w:i w:val="0"/>
                <w:sz w:val="22"/>
              </w:rPr>
              <w:t>Percentage</w:t>
            </w:r>
          </w:p>
        </w:tc>
      </w:tr>
      <w:tr>
        <w:tc>
          <w:tcPr>
            <w:tcW w:w="2160" w:type="dxa"/>
          </w:tcPr>
          <w:p w14:paraId="0010026C" w14:textId="0010026D">
            <w:pPr>
              <w:jc w:val="center"/>
            </w:pPr>
            <w:r>
              <w:rPr>
                <w:rFonts w:ascii="Times New Roman" w:hAnsi="Times New Roman"/>
                <w:b w:val="0"/>
                <w:i w:val="0"/>
                <w:sz w:val="22"/>
              </w:rPr>
              <w:t>Delivered</w:t>
            </w:r>
          </w:p>
        </w:tc>
        <w:tc>
          <w:tcPr>
            <w:tcW w:w="1728" w:type="dxa"/>
          </w:tcPr>
          <w:p w14:paraId="0010026E" w14:textId="0010026F">
            <w:pPr>
              <w:jc w:val="center"/>
            </w:pPr>
            <w:r>
              <w:rPr>
                <w:rFonts w:ascii="Times New Roman" w:hAnsi="Times New Roman"/>
                <w:b w:val="0"/>
                <w:i w:val="0"/>
                <w:sz w:val="22"/>
              </w:rPr>
              <w:t>18,331</w:t>
            </w:r>
          </w:p>
        </w:tc>
        <w:tc>
          <w:tcPr>
            <w:tcW w:w="1728" w:type="dxa"/>
          </w:tcPr>
          <w:p w14:paraId="00100270" w14:textId="00100271">
            <w:pPr>
              <w:jc w:val="center"/>
            </w:pPr>
            <w:r>
              <w:rPr>
                <w:rFonts w:ascii="Times New Roman" w:hAnsi="Times New Roman"/>
                <w:b w:val="0"/>
                <w:i w:val="0"/>
                <w:sz w:val="22"/>
              </w:rPr>
              <w:t>73.3%</w:t>
            </w:r>
          </w:p>
        </w:tc>
      </w:tr>
      <w:tr>
        <w:tc>
          <w:tcPr>
            <w:tcW w:w="2160" w:type="dxa"/>
          </w:tcPr>
          <w:p w14:paraId="00100272" w14:textId="00100273">
            <w:pPr>
              <w:jc w:val="center"/>
            </w:pPr>
            <w:r>
              <w:rPr>
                <w:rFonts w:ascii="Times New Roman" w:hAnsi="Times New Roman"/>
                <w:b w:val="0"/>
                <w:i w:val="0"/>
                <w:sz w:val="22"/>
              </w:rPr>
              <w:t>Delayed</w:t>
            </w:r>
          </w:p>
        </w:tc>
        <w:tc>
          <w:tcPr>
            <w:tcW w:w="1728" w:type="dxa"/>
          </w:tcPr>
          <w:p w14:paraId="00100274" w14:textId="00100275">
            <w:pPr>
              <w:jc w:val="center"/>
            </w:pPr>
            <w:r>
              <w:rPr>
                <w:rFonts w:ascii="Times New Roman" w:hAnsi="Times New Roman"/>
                <w:b w:val="0"/>
                <w:i w:val="0"/>
                <w:sz w:val="22"/>
              </w:rPr>
              <w:t>5,341</w:t>
            </w:r>
          </w:p>
        </w:tc>
        <w:tc>
          <w:tcPr>
            <w:tcW w:w="1728" w:type="dxa"/>
          </w:tcPr>
          <w:p w14:paraId="00100276" w14:textId="00100277">
            <w:pPr>
              <w:jc w:val="center"/>
            </w:pPr>
            <w:r>
              <w:rPr>
                <w:rFonts w:ascii="Times New Roman" w:hAnsi="Times New Roman"/>
                <w:b w:val="0"/>
                <w:i w:val="0"/>
                <w:sz w:val="22"/>
              </w:rPr>
              <w:t>21.4%</w:t>
            </w:r>
          </w:p>
        </w:tc>
      </w:tr>
      <w:tr>
        <w:tc>
          <w:tcPr>
            <w:tcW w:w="2160" w:type="dxa"/>
          </w:tcPr>
          <w:p w14:paraId="00100278" w14:textId="00100279">
            <w:pPr>
              <w:jc w:val="center"/>
            </w:pPr>
            <w:r>
              <w:rPr>
                <w:rFonts w:ascii="Times New Roman" w:hAnsi="Times New Roman"/>
                <w:b w:val="0"/>
                <w:i w:val="0"/>
                <w:sz w:val="22"/>
              </w:rPr>
              <w:t>Failed</w:t>
            </w:r>
          </w:p>
        </w:tc>
        <w:tc>
          <w:tcPr>
            <w:tcW w:w="1728" w:type="dxa"/>
          </w:tcPr>
          <w:p w14:paraId="0010027A" w14:textId="0010027B">
            <w:pPr>
              <w:jc w:val="center"/>
            </w:pPr>
            <w:r>
              <w:rPr>
                <w:rFonts w:ascii="Times New Roman" w:hAnsi="Times New Roman"/>
                <w:b w:val="0"/>
                <w:i w:val="0"/>
                <w:sz w:val="22"/>
              </w:rPr>
              <w:t>1,328</w:t>
            </w:r>
          </w:p>
        </w:tc>
        <w:tc>
          <w:tcPr>
            <w:tcW w:w="1728" w:type="dxa"/>
          </w:tcPr>
          <w:p w14:paraId="0010027C" w14:textId="0010027D">
            <w:pPr>
              <w:jc w:val="center"/>
            </w:pPr>
            <w:r>
              <w:rPr>
                <w:rFonts w:ascii="Times New Roman" w:hAnsi="Times New Roman"/>
                <w:b w:val="0"/>
                <w:i w:val="0"/>
                <w:sz w:val="22"/>
              </w:rPr>
              <w:t>5.3%</w:t>
            </w:r>
          </w:p>
        </w:tc>
      </w:tr>
      <w:tr>
        <w:tc>
          <w:tcPr>
            <w:tcW w:w="2160" w:type="dxa"/>
          </w:tcPr>
          <w:p w14:paraId="0010027E" w14:textId="0010027F">
            <w:pPr>
              <w:jc w:val="center"/>
            </w:pPr>
            <w:r>
              <w:rPr>
                <w:rFonts w:ascii="Times New Roman" w:hAnsi="Times New Roman"/>
                <w:b w:val="0"/>
                <w:i w:val="0"/>
                <w:sz w:val="22"/>
              </w:rPr>
              <w:t>Total</w:t>
            </w:r>
          </w:p>
        </w:tc>
        <w:tc>
          <w:tcPr>
            <w:tcW w:w="1728" w:type="dxa"/>
          </w:tcPr>
          <w:p w14:paraId="00100280" w14:textId="00100281">
            <w:pPr>
              <w:jc w:val="center"/>
            </w:pPr>
            <w:r>
              <w:rPr>
                <w:rFonts w:ascii="Times New Roman" w:hAnsi="Times New Roman"/>
                <w:b w:val="0"/>
                <w:i w:val="0"/>
                <w:sz w:val="22"/>
              </w:rPr>
              <w:t>25,000</w:t>
            </w:r>
          </w:p>
        </w:tc>
        <w:tc>
          <w:tcPr>
            <w:tcW w:w="1728" w:type="dxa"/>
          </w:tcPr>
          <w:p w14:paraId="00100282" w14:textId="00100283">
            <w:pPr>
              <w:jc w:val="center"/>
            </w:pPr>
            <w:r>
              <w:rPr>
                <w:rFonts w:ascii="Times New Roman" w:hAnsi="Times New Roman"/>
                <w:b w:val="0"/>
                <w:i w:val="0"/>
                <w:sz w:val="22"/>
              </w:rPr>
              <w:t>100.0%</w:t>
            </w:r>
          </w:p>
        </w:tc>
      </w:tr>
    </w:tbl>
    <w:p w14:paraId="00100284" w14:textId="00100285"/>
    <w:p w14:paraId="00100286" w14:textId="00100287">
      <w:pPr>
        <w:spacing w:after="160"/>
      </w:pPr>
      <w:r>
        <w:rPr>
          <w:rFonts w:ascii="Times New Roman" w:hAnsi="Times New Roman"/>
          <w:b w:val="0"/>
          <w:i/>
          <w:color w:val="57606A"/>
          <w:sz w:val="22"/>
        </w:rPr>
        <w:t>Table 8: Delivery status distribution.</w:t>
      </w:r>
    </w:p>
    <w:p w14:paraId="00100288" w14:textId="00100289">
      <w:pPr>
        <w:jc w:val="center"/>
      </w:pPr>
      <w:r>
        <w:drawing>
          <wp:inline xmlns:a="http://schemas.openxmlformats.org/drawingml/2006/main" xmlns:pic="http://schemas.openxmlformats.org/drawingml/2006/picture">
            <wp:extent cx="5029200" cy="5258778"/>
            <wp:docPr id="7" name="Picture 7"/>
            <wp:cNvGraphicFramePr>
              <a:graphicFrameLocks noChangeAspect="1"/>
            </wp:cNvGraphicFramePr>
            <a:graphic>
              <a:graphicData uri="http://schemas.openxmlformats.org/drawingml/2006/picture">
                <pic:pic>
                  <pic:nvPicPr>
                    <pic:cNvPr id="0" name="07_delivery_status_distribution.png"/>
                    <pic:cNvPicPr/>
                  </pic:nvPicPr>
                  <pic:blipFill>
                    <a:blip r:embed="rId16"/>
                    <a:stretch>
                      <a:fillRect/>
                    </a:stretch>
                  </pic:blipFill>
                  <pic:spPr>
                    <a:xfrm>
                      <a:off x="0" y="0"/>
                      <a:ext cx="5029200" cy="5258778"/>
                    </a:xfrm>
                    <a:prstGeom prst="rect"/>
                  </pic:spPr>
                </pic:pic>
              </a:graphicData>
            </a:graphic>
          </wp:inline>
        </w:drawing>
      </w:r>
    </w:p>
    <w:p w14:paraId="0010028A" w14:textId="0010028B">
      <w:pPr>
        <w:spacing w:after="240"/>
        <w:jc w:val="center"/>
      </w:pPr>
      <w:r>
        <w:rPr>
          <w:rFonts w:ascii="Times New Roman" w:hAnsi="Times New Roman"/>
          <w:b w:val="0"/>
          <w:i/>
          <w:color w:val="57606A"/>
          <w:sz w:val="20"/>
        </w:rPr>
        <w:t>Figure 7: Delivery Status Distribution (Pie Chart).</w:t>
      </w:r>
    </w:p>
    <w:p w14:paraId="0010028C" w14:textId="0010028D">
      <w:pPr>
        <w:spacing w:before="280" w:after="120"/>
        <w:jc w:val="left"/>
      </w:pPr>
      <w:r>
        <w:rPr>
          <w:rFonts w:ascii="Times New Roman" w:hAnsi="Times New Roman"/>
          <w:b/>
          <w:i w:val="0"/>
          <w:color w:val="1F2328"/>
          <w:sz w:val="32"/>
        </w:rPr>
        <w:t>14. Delivery Partner Analysis</w:t>
      </w:r>
    </w:p>
    <w:p w14:paraId="0010028E" w14:textId="0010028F">
      <w:pPr>
        <w:spacing w:after="120"/>
      </w:pPr>
      <w:r>
        <w:rPr>
          <w:rFonts w:ascii="Times New Roman" w:hAnsi="Times New Roman"/>
          <w:b w:val="0"/>
          <w:i w:val="0"/>
          <w:sz w:val="24"/>
        </w:rPr>
        <w:t>Table 9 presents the observed delay rate and average customer rating for each of the nine delivery partners. Partners are listed in ascending order of delay rate.</w:t>
      </w:r>
    </w:p>
    <w:tbl>
      <w:tblPr>
        <w:tblStyle w:val="TableGrid"/>
        <w:tblW w:w="0" w:type="auto"/>
        <w:jc w:val="center"/>
        <w:tblLook w:val="04A0" w:firstRow="1" w:lastRow="0" w:firstColumn="1" w:lastColumn="0" w:noHBand="0" w:noVBand="1"/>
      </w:tblPr>
      <w:tblGrid>
        <w:gridCol w:w="1813"/>
        <w:gridCol w:w="1813"/>
        <w:gridCol w:w="1813"/>
        <w:gridCol w:w="1813"/>
        <w:gridCol w:w="1813"/>
      </w:tblGrid>
      <w:tr>
        <w:tc>
          <w:tcPr>
            <w:tcW w:w="2160" w:type="dxa"/>
            <w:shd w:val="clear" w:color="auto" w:fill="DCE6F1"/>
          </w:tcPr>
          <w:p w14:paraId="00100290" w14:textId="00100291">
            <w:pPr>
              <w:jc w:val="center"/>
            </w:pPr>
            <w:r>
              <w:rPr>
                <w:rFonts w:ascii="Times New Roman" w:hAnsi="Times New Roman"/>
                <w:b/>
                <w:i w:val="0"/>
                <w:sz w:val="22"/>
              </w:rPr>
              <w:t>Partner</w:t>
            </w:r>
          </w:p>
        </w:tc>
        <w:tc>
          <w:tcPr>
            <w:tcW w:w="1152" w:type="dxa"/>
            <w:shd w:val="clear" w:color="auto" w:fill="DCE6F1"/>
          </w:tcPr>
          <w:p w14:paraId="00100292" w14:textId="00100293">
            <w:pPr>
              <w:jc w:val="center"/>
            </w:pPr>
            <w:r>
              <w:rPr>
                <w:rFonts w:ascii="Times New Roman" w:hAnsi="Times New Roman"/>
                <w:b/>
                <w:i w:val="0"/>
                <w:sz w:val="22"/>
              </w:rPr>
              <w:t>Total</w:t>
            </w:r>
          </w:p>
        </w:tc>
        <w:tc>
          <w:tcPr>
            <w:tcW w:w="1152" w:type="dxa"/>
            <w:shd w:val="clear" w:color="auto" w:fill="DCE6F1"/>
          </w:tcPr>
          <w:p w14:paraId="00100294" w14:textId="00100295">
            <w:pPr>
              <w:jc w:val="center"/>
            </w:pPr>
            <w:r>
              <w:rPr>
                <w:rFonts w:ascii="Times New Roman" w:hAnsi="Times New Roman"/>
                <w:b/>
                <w:i w:val="0"/>
                <w:sz w:val="22"/>
              </w:rPr>
              <w:t>Delayed</w:t>
            </w:r>
          </w:p>
        </w:tc>
        <w:tc>
          <w:tcPr>
            <w:tcW w:w="1584" w:type="dxa"/>
            <w:shd w:val="clear" w:color="auto" w:fill="DCE6F1"/>
          </w:tcPr>
          <w:p w14:paraId="00100296" w14:textId="00100297">
            <w:pPr>
              <w:jc w:val="center"/>
            </w:pPr>
            <w:r>
              <w:rPr>
                <w:rFonts w:ascii="Times New Roman" w:hAnsi="Times New Roman"/>
                <w:b/>
                <w:i w:val="0"/>
                <w:sz w:val="22"/>
              </w:rPr>
              <w:t>Delay Rate</w:t>
            </w:r>
          </w:p>
        </w:tc>
        <w:tc>
          <w:tcPr>
            <w:tcW w:w="1440" w:type="dxa"/>
            <w:shd w:val="clear" w:color="auto" w:fill="DCE6F1"/>
          </w:tcPr>
          <w:p w14:paraId="00100298" w14:textId="00100299">
            <w:pPr>
              <w:jc w:val="center"/>
            </w:pPr>
            <w:r>
              <w:rPr>
                <w:rFonts w:ascii="Times New Roman" w:hAnsi="Times New Roman"/>
                <w:b/>
                <w:i w:val="0"/>
                <w:sz w:val="22"/>
              </w:rPr>
              <w:t>Avg Rating</w:t>
            </w:r>
          </w:p>
        </w:tc>
      </w:tr>
      <w:tr>
        <w:tc>
          <w:tcPr>
            <w:tcW w:w="2160" w:type="dxa"/>
          </w:tcPr>
          <w:p w14:paraId="0010029A" w14:textId="0010029B">
            <w:pPr>
              <w:jc w:val="center"/>
            </w:pPr>
            <w:r>
              <w:rPr>
                <w:rFonts w:ascii="Times New Roman" w:hAnsi="Times New Roman"/>
                <w:b w:val="0"/>
                <w:i w:val="0"/>
                <w:sz w:val="22"/>
              </w:rPr>
              <w:t>Delhivery</w:t>
            </w:r>
          </w:p>
        </w:tc>
        <w:tc>
          <w:tcPr>
            <w:tcW w:w="1152" w:type="dxa"/>
          </w:tcPr>
          <w:p w14:paraId="0010029C" w14:textId="0010029D">
            <w:pPr>
              <w:jc w:val="center"/>
            </w:pPr>
            <w:r>
              <w:rPr>
                <w:rFonts w:ascii="Times New Roman" w:hAnsi="Times New Roman"/>
                <w:b w:val="0"/>
                <w:i w:val="0"/>
                <w:sz w:val="22"/>
              </w:rPr>
              <w:t>2,786</w:t>
            </w:r>
          </w:p>
        </w:tc>
        <w:tc>
          <w:tcPr>
            <w:tcW w:w="1152" w:type="dxa"/>
          </w:tcPr>
          <w:p w14:paraId="0010029E" w14:textId="0010029F">
            <w:pPr>
              <w:jc w:val="center"/>
            </w:pPr>
            <w:r>
              <w:rPr>
                <w:rFonts w:ascii="Times New Roman" w:hAnsi="Times New Roman"/>
                <w:b w:val="0"/>
                <w:i w:val="0"/>
                <w:sz w:val="22"/>
              </w:rPr>
              <w:t>691</w:t>
            </w:r>
          </w:p>
        </w:tc>
        <w:tc>
          <w:tcPr>
            <w:tcW w:w="1584" w:type="dxa"/>
          </w:tcPr>
          <w:p w14:paraId="001002A0" w14:textId="001002A1">
            <w:pPr>
              <w:jc w:val="center"/>
            </w:pPr>
            <w:r>
              <w:rPr>
                <w:rFonts w:ascii="Times New Roman" w:hAnsi="Times New Roman"/>
                <w:b w:val="0"/>
                <w:i w:val="0"/>
                <w:sz w:val="22"/>
              </w:rPr>
              <w:t>24.80%</w:t>
            </w:r>
          </w:p>
        </w:tc>
        <w:tc>
          <w:tcPr>
            <w:tcW w:w="1440" w:type="dxa"/>
          </w:tcPr>
          <w:p w14:paraId="001002A2" w14:textId="001002A3">
            <w:pPr>
              <w:jc w:val="center"/>
            </w:pPr>
            <w:r>
              <w:rPr>
                <w:rFonts w:ascii="Times New Roman" w:hAnsi="Times New Roman"/>
                <w:b w:val="0"/>
                <w:i w:val="0"/>
                <w:sz w:val="22"/>
              </w:rPr>
              <w:t>3.69</w:t>
            </w:r>
          </w:p>
        </w:tc>
      </w:tr>
      <w:tr>
        <w:tc>
          <w:tcPr>
            <w:tcW w:w="2160" w:type="dxa"/>
          </w:tcPr>
          <w:p w14:paraId="001002A4" w14:textId="001002A5">
            <w:pPr>
              <w:jc w:val="center"/>
            </w:pPr>
            <w:r>
              <w:rPr>
                <w:rFonts w:ascii="Times New Roman" w:hAnsi="Times New Roman"/>
                <w:b w:val="0"/>
                <w:i w:val="0"/>
                <w:sz w:val="22"/>
              </w:rPr>
              <w:t>FedEx</w:t>
            </w:r>
          </w:p>
        </w:tc>
        <w:tc>
          <w:tcPr>
            <w:tcW w:w="1152" w:type="dxa"/>
          </w:tcPr>
          <w:p w14:paraId="001002A6" w14:textId="001002A7">
            <w:pPr>
              <w:jc w:val="center"/>
            </w:pPr>
            <w:r>
              <w:rPr>
                <w:rFonts w:ascii="Times New Roman" w:hAnsi="Times New Roman"/>
                <w:b w:val="0"/>
                <w:i w:val="0"/>
                <w:sz w:val="22"/>
              </w:rPr>
              <w:t>2,818</w:t>
            </w:r>
          </w:p>
        </w:tc>
        <w:tc>
          <w:tcPr>
            <w:tcW w:w="1152" w:type="dxa"/>
          </w:tcPr>
          <w:p w14:paraId="001002A8" w14:textId="001002A9">
            <w:pPr>
              <w:jc w:val="center"/>
            </w:pPr>
            <w:r>
              <w:rPr>
                <w:rFonts w:ascii="Times New Roman" w:hAnsi="Times New Roman"/>
                <w:b w:val="0"/>
                <w:i w:val="0"/>
                <w:sz w:val="22"/>
              </w:rPr>
              <w:t>709</w:t>
            </w:r>
          </w:p>
        </w:tc>
        <w:tc>
          <w:tcPr>
            <w:tcW w:w="1584" w:type="dxa"/>
          </w:tcPr>
          <w:p w14:paraId="001002AA" w14:textId="001002AB">
            <w:pPr>
              <w:jc w:val="center"/>
            </w:pPr>
            <w:r>
              <w:rPr>
                <w:rFonts w:ascii="Times New Roman" w:hAnsi="Times New Roman"/>
                <w:b w:val="0"/>
                <w:i w:val="0"/>
                <w:sz w:val="22"/>
              </w:rPr>
              <w:t>25.16%</w:t>
            </w:r>
          </w:p>
        </w:tc>
        <w:tc>
          <w:tcPr>
            <w:tcW w:w="1440" w:type="dxa"/>
          </w:tcPr>
          <w:p w14:paraId="001002AC" w14:textId="001002AD">
            <w:pPr>
              <w:jc w:val="center"/>
            </w:pPr>
            <w:r>
              <w:rPr>
                <w:rFonts w:ascii="Times New Roman" w:hAnsi="Times New Roman"/>
                <w:b w:val="0"/>
                <w:i w:val="0"/>
                <w:sz w:val="22"/>
              </w:rPr>
              <w:t>3.70</w:t>
            </w:r>
          </w:p>
        </w:tc>
      </w:tr>
      <w:tr>
        <w:tc>
          <w:tcPr>
            <w:tcW w:w="2160" w:type="dxa"/>
          </w:tcPr>
          <w:p w14:paraId="001002AE" w14:textId="001002AF">
            <w:pPr>
              <w:jc w:val="center"/>
            </w:pPr>
            <w:r>
              <w:rPr>
                <w:rFonts w:ascii="Times New Roman" w:hAnsi="Times New Roman"/>
                <w:b w:val="0"/>
                <w:i w:val="0"/>
                <w:sz w:val="22"/>
              </w:rPr>
              <w:t>DHL</w:t>
            </w:r>
          </w:p>
        </w:tc>
        <w:tc>
          <w:tcPr>
            <w:tcW w:w="1152" w:type="dxa"/>
          </w:tcPr>
          <w:p w14:paraId="001002B0" w14:textId="001002B1">
            <w:pPr>
              <w:jc w:val="center"/>
            </w:pPr>
            <w:r>
              <w:rPr>
                <w:rFonts w:ascii="Times New Roman" w:hAnsi="Times New Roman"/>
                <w:b w:val="0"/>
                <w:i w:val="0"/>
                <w:sz w:val="22"/>
              </w:rPr>
              <w:t>2,802</w:t>
            </w:r>
          </w:p>
        </w:tc>
        <w:tc>
          <w:tcPr>
            <w:tcW w:w="1152" w:type="dxa"/>
          </w:tcPr>
          <w:p w14:paraId="001002B2" w14:textId="001002B3">
            <w:pPr>
              <w:jc w:val="center"/>
            </w:pPr>
            <w:r>
              <w:rPr>
                <w:rFonts w:ascii="Times New Roman" w:hAnsi="Times New Roman"/>
                <w:b w:val="0"/>
                <w:i w:val="0"/>
                <w:sz w:val="22"/>
              </w:rPr>
              <w:t>738</w:t>
            </w:r>
          </w:p>
        </w:tc>
        <w:tc>
          <w:tcPr>
            <w:tcW w:w="1584" w:type="dxa"/>
          </w:tcPr>
          <w:p w14:paraId="001002B4" w14:textId="001002B5">
            <w:pPr>
              <w:jc w:val="center"/>
            </w:pPr>
            <w:r>
              <w:rPr>
                <w:rFonts w:ascii="Times New Roman" w:hAnsi="Times New Roman"/>
                <w:b w:val="0"/>
                <w:i w:val="0"/>
                <w:sz w:val="22"/>
              </w:rPr>
              <w:t>26.34%</w:t>
            </w:r>
          </w:p>
        </w:tc>
        <w:tc>
          <w:tcPr>
            <w:tcW w:w="1440" w:type="dxa"/>
          </w:tcPr>
          <w:p w14:paraId="001002B6" w14:textId="001002B7">
            <w:pPr>
              <w:jc w:val="center"/>
            </w:pPr>
            <w:r>
              <w:rPr>
                <w:rFonts w:ascii="Times New Roman" w:hAnsi="Times New Roman"/>
                <w:b w:val="0"/>
                <w:i w:val="0"/>
                <w:sz w:val="22"/>
              </w:rPr>
              <w:t>3.69</w:t>
            </w:r>
          </w:p>
        </w:tc>
      </w:tr>
      <w:tr>
        <w:tc>
          <w:tcPr>
            <w:tcW w:w="2160" w:type="dxa"/>
          </w:tcPr>
          <w:p w14:paraId="001002B8" w14:textId="001002B9">
            <w:pPr>
              <w:jc w:val="center"/>
            </w:pPr>
            <w:r>
              <w:rPr>
                <w:rFonts w:ascii="Times New Roman" w:hAnsi="Times New Roman"/>
                <w:b w:val="0"/>
                <w:i w:val="0"/>
                <w:sz w:val="22"/>
              </w:rPr>
              <w:t>Ecom Express</w:t>
            </w:r>
          </w:p>
        </w:tc>
        <w:tc>
          <w:tcPr>
            <w:tcW w:w="1152" w:type="dxa"/>
          </w:tcPr>
          <w:p w14:paraId="001002BA" w14:textId="001002BB">
            <w:pPr>
              <w:jc w:val="center"/>
            </w:pPr>
            <w:r>
              <w:rPr>
                <w:rFonts w:ascii="Times New Roman" w:hAnsi="Times New Roman"/>
                <w:b w:val="0"/>
                <w:i w:val="0"/>
                <w:sz w:val="22"/>
              </w:rPr>
              <w:t>2,722</w:t>
            </w:r>
          </w:p>
        </w:tc>
        <w:tc>
          <w:tcPr>
            <w:tcW w:w="1152" w:type="dxa"/>
          </w:tcPr>
          <w:p w14:paraId="001002BC" w14:textId="001002BD">
            <w:pPr>
              <w:jc w:val="center"/>
            </w:pPr>
            <w:r>
              <w:rPr>
                <w:rFonts w:ascii="Times New Roman" w:hAnsi="Times New Roman"/>
                <w:b w:val="0"/>
                <w:i w:val="0"/>
                <w:sz w:val="22"/>
              </w:rPr>
              <w:t>725</w:t>
            </w:r>
          </w:p>
        </w:tc>
        <w:tc>
          <w:tcPr>
            <w:tcW w:w="1584" w:type="dxa"/>
          </w:tcPr>
          <w:p w14:paraId="001002BE" w14:textId="001002BF">
            <w:pPr>
              <w:jc w:val="center"/>
            </w:pPr>
            <w:r>
              <w:rPr>
                <w:rFonts w:ascii="Times New Roman" w:hAnsi="Times New Roman"/>
                <w:b w:val="0"/>
                <w:i w:val="0"/>
                <w:sz w:val="22"/>
              </w:rPr>
              <w:t>26.63%</w:t>
            </w:r>
          </w:p>
        </w:tc>
        <w:tc>
          <w:tcPr>
            <w:tcW w:w="1440" w:type="dxa"/>
          </w:tcPr>
          <w:p w14:paraId="001002C0" w14:textId="001002C1">
            <w:pPr>
              <w:jc w:val="center"/>
            </w:pPr>
            <w:r>
              <w:rPr>
                <w:rFonts w:ascii="Times New Roman" w:hAnsi="Times New Roman"/>
                <w:b w:val="0"/>
                <w:i w:val="0"/>
                <w:sz w:val="22"/>
              </w:rPr>
              <w:t>3.67</w:t>
            </w:r>
          </w:p>
        </w:tc>
      </w:tr>
      <w:tr>
        <w:tc>
          <w:tcPr>
            <w:tcW w:w="2160" w:type="dxa"/>
          </w:tcPr>
          <w:p w14:paraId="001002C2" w14:textId="001002C3">
            <w:pPr>
              <w:jc w:val="center"/>
            </w:pPr>
            <w:r>
              <w:rPr>
                <w:rFonts w:ascii="Times New Roman" w:hAnsi="Times New Roman"/>
                <w:b w:val="0"/>
                <w:i w:val="0"/>
                <w:sz w:val="22"/>
              </w:rPr>
              <w:t>Blue Dart</w:t>
            </w:r>
          </w:p>
        </w:tc>
        <w:tc>
          <w:tcPr>
            <w:tcW w:w="1152" w:type="dxa"/>
          </w:tcPr>
          <w:p w14:paraId="001002C4" w14:textId="001002C5">
            <w:pPr>
              <w:jc w:val="center"/>
            </w:pPr>
            <w:r>
              <w:rPr>
                <w:rFonts w:ascii="Times New Roman" w:hAnsi="Times New Roman"/>
                <w:b w:val="0"/>
                <w:i w:val="0"/>
                <w:sz w:val="22"/>
              </w:rPr>
              <w:t>2,798</w:t>
            </w:r>
          </w:p>
        </w:tc>
        <w:tc>
          <w:tcPr>
            <w:tcW w:w="1152" w:type="dxa"/>
          </w:tcPr>
          <w:p w14:paraId="001002C6" w14:textId="001002C7">
            <w:pPr>
              <w:jc w:val="center"/>
            </w:pPr>
            <w:r>
              <w:rPr>
                <w:rFonts w:ascii="Times New Roman" w:hAnsi="Times New Roman"/>
                <w:b w:val="0"/>
                <w:i w:val="0"/>
                <w:sz w:val="22"/>
              </w:rPr>
              <w:t>754</w:t>
            </w:r>
          </w:p>
        </w:tc>
        <w:tc>
          <w:tcPr>
            <w:tcW w:w="1584" w:type="dxa"/>
          </w:tcPr>
          <w:p w14:paraId="001002C8" w14:textId="001002C9">
            <w:pPr>
              <w:jc w:val="center"/>
            </w:pPr>
            <w:r>
              <w:rPr>
                <w:rFonts w:ascii="Times New Roman" w:hAnsi="Times New Roman"/>
                <w:b w:val="0"/>
                <w:i w:val="0"/>
                <w:sz w:val="22"/>
              </w:rPr>
              <w:t>26.95%</w:t>
            </w:r>
          </w:p>
        </w:tc>
        <w:tc>
          <w:tcPr>
            <w:tcW w:w="1440" w:type="dxa"/>
          </w:tcPr>
          <w:p w14:paraId="001002CA" w14:textId="001002CB">
            <w:pPr>
              <w:jc w:val="center"/>
            </w:pPr>
            <w:r>
              <w:rPr>
                <w:rFonts w:ascii="Times New Roman" w:hAnsi="Times New Roman"/>
                <w:b w:val="0"/>
                <w:i w:val="0"/>
                <w:sz w:val="22"/>
              </w:rPr>
              <w:t>3.68</w:t>
            </w:r>
          </w:p>
        </w:tc>
      </w:tr>
      <w:tr>
        <w:tc>
          <w:tcPr>
            <w:tcW w:w="2160" w:type="dxa"/>
          </w:tcPr>
          <w:p w14:paraId="001002CC" w14:textId="001002CD">
            <w:pPr>
              <w:jc w:val="center"/>
            </w:pPr>
            <w:r>
              <w:rPr>
                <w:rFonts w:ascii="Times New Roman" w:hAnsi="Times New Roman"/>
                <w:b w:val="0"/>
                <w:i w:val="0"/>
                <w:sz w:val="22"/>
              </w:rPr>
              <w:t>Amazon Logistics</w:t>
            </w:r>
          </w:p>
        </w:tc>
        <w:tc>
          <w:tcPr>
            <w:tcW w:w="1152" w:type="dxa"/>
          </w:tcPr>
          <w:p w14:paraId="001002CE" w14:textId="001002CF">
            <w:pPr>
              <w:jc w:val="center"/>
            </w:pPr>
            <w:r>
              <w:rPr>
                <w:rFonts w:ascii="Times New Roman" w:hAnsi="Times New Roman"/>
                <w:b w:val="0"/>
                <w:i w:val="0"/>
                <w:sz w:val="22"/>
              </w:rPr>
              <w:t>2,711</w:t>
            </w:r>
          </w:p>
        </w:tc>
        <w:tc>
          <w:tcPr>
            <w:tcW w:w="1152" w:type="dxa"/>
          </w:tcPr>
          <w:p w14:paraId="001002D0" w14:textId="001002D1">
            <w:pPr>
              <w:jc w:val="center"/>
            </w:pPr>
            <w:r>
              <w:rPr>
                <w:rFonts w:ascii="Times New Roman" w:hAnsi="Times New Roman"/>
                <w:b w:val="0"/>
                <w:i w:val="0"/>
                <w:sz w:val="22"/>
              </w:rPr>
              <w:t>738</w:t>
            </w:r>
          </w:p>
        </w:tc>
        <w:tc>
          <w:tcPr>
            <w:tcW w:w="1584" w:type="dxa"/>
          </w:tcPr>
          <w:p w14:paraId="001002D2" w14:textId="001002D3">
            <w:pPr>
              <w:jc w:val="center"/>
            </w:pPr>
            <w:r>
              <w:rPr>
                <w:rFonts w:ascii="Times New Roman" w:hAnsi="Times New Roman"/>
                <w:b w:val="0"/>
                <w:i w:val="0"/>
                <w:sz w:val="22"/>
              </w:rPr>
              <w:t>27.22%</w:t>
            </w:r>
          </w:p>
        </w:tc>
        <w:tc>
          <w:tcPr>
            <w:tcW w:w="1440" w:type="dxa"/>
          </w:tcPr>
          <w:p w14:paraId="001002D4" w14:textId="001002D5">
            <w:pPr>
              <w:jc w:val="center"/>
            </w:pPr>
            <w:r>
              <w:rPr>
                <w:rFonts w:ascii="Times New Roman" w:hAnsi="Times New Roman"/>
                <w:b w:val="0"/>
                <w:i w:val="0"/>
                <w:sz w:val="22"/>
              </w:rPr>
              <w:t>3.64</w:t>
            </w:r>
          </w:p>
        </w:tc>
      </w:tr>
      <w:tr>
        <w:tc>
          <w:tcPr>
            <w:tcW w:w="2160" w:type="dxa"/>
          </w:tcPr>
          <w:p w14:paraId="001002D6" w14:textId="001002D7">
            <w:pPr>
              <w:jc w:val="center"/>
            </w:pPr>
            <w:r>
              <w:rPr>
                <w:rFonts w:ascii="Times New Roman" w:hAnsi="Times New Roman"/>
                <w:b w:val="0"/>
                <w:i w:val="0"/>
                <w:sz w:val="22"/>
              </w:rPr>
              <w:t>Shadowfax</w:t>
            </w:r>
          </w:p>
        </w:tc>
        <w:tc>
          <w:tcPr>
            <w:tcW w:w="1152" w:type="dxa"/>
          </w:tcPr>
          <w:p w14:paraId="001002D8" w14:textId="001002D9">
            <w:pPr>
              <w:jc w:val="center"/>
            </w:pPr>
            <w:r>
              <w:rPr>
                <w:rFonts w:ascii="Times New Roman" w:hAnsi="Times New Roman"/>
                <w:b w:val="0"/>
                <w:i w:val="0"/>
                <w:sz w:val="22"/>
              </w:rPr>
              <w:t>2,736</w:t>
            </w:r>
          </w:p>
        </w:tc>
        <w:tc>
          <w:tcPr>
            <w:tcW w:w="1152" w:type="dxa"/>
          </w:tcPr>
          <w:p w14:paraId="001002DA" w14:textId="001002DB">
            <w:pPr>
              <w:jc w:val="center"/>
            </w:pPr>
            <w:r>
              <w:rPr>
                <w:rFonts w:ascii="Times New Roman" w:hAnsi="Times New Roman"/>
                <w:b w:val="0"/>
                <w:i w:val="0"/>
                <w:sz w:val="22"/>
              </w:rPr>
              <w:t>747</w:t>
            </w:r>
          </w:p>
        </w:tc>
        <w:tc>
          <w:tcPr>
            <w:tcW w:w="1584" w:type="dxa"/>
          </w:tcPr>
          <w:p w14:paraId="001002DC" w14:textId="001002DD">
            <w:pPr>
              <w:jc w:val="center"/>
            </w:pPr>
            <w:r>
              <w:rPr>
                <w:rFonts w:ascii="Times New Roman" w:hAnsi="Times New Roman"/>
                <w:b w:val="0"/>
                <w:i w:val="0"/>
                <w:sz w:val="22"/>
              </w:rPr>
              <w:t>27.30%</w:t>
            </w:r>
          </w:p>
        </w:tc>
        <w:tc>
          <w:tcPr>
            <w:tcW w:w="1440" w:type="dxa"/>
          </w:tcPr>
          <w:p w14:paraId="001002DE" w14:textId="001002DF">
            <w:pPr>
              <w:jc w:val="center"/>
            </w:pPr>
            <w:r>
              <w:rPr>
                <w:rFonts w:ascii="Times New Roman" w:hAnsi="Times New Roman"/>
                <w:b w:val="0"/>
                <w:i w:val="0"/>
                <w:sz w:val="22"/>
              </w:rPr>
              <w:t>3.66</w:t>
            </w:r>
          </w:p>
        </w:tc>
      </w:tr>
      <w:tr>
        <w:tc>
          <w:tcPr>
            <w:tcW w:w="2160" w:type="dxa"/>
          </w:tcPr>
          <w:p w14:paraId="001002E0" w14:textId="001002E1">
            <w:pPr>
              <w:jc w:val="center"/>
            </w:pPr>
            <w:r>
              <w:rPr>
                <w:rFonts w:ascii="Times New Roman" w:hAnsi="Times New Roman"/>
                <w:b w:val="0"/>
                <w:i w:val="0"/>
                <w:sz w:val="22"/>
              </w:rPr>
              <w:t>Ekart</w:t>
            </w:r>
          </w:p>
        </w:tc>
        <w:tc>
          <w:tcPr>
            <w:tcW w:w="1152" w:type="dxa"/>
          </w:tcPr>
          <w:p w14:paraId="001002E2" w14:textId="001002E3">
            <w:pPr>
              <w:jc w:val="center"/>
            </w:pPr>
            <w:r>
              <w:rPr>
                <w:rFonts w:ascii="Times New Roman" w:hAnsi="Times New Roman"/>
                <w:b w:val="0"/>
                <w:i w:val="0"/>
                <w:sz w:val="22"/>
              </w:rPr>
              <w:t>2,801</w:t>
            </w:r>
          </w:p>
        </w:tc>
        <w:tc>
          <w:tcPr>
            <w:tcW w:w="1152" w:type="dxa"/>
          </w:tcPr>
          <w:p w14:paraId="001002E4" w14:textId="001002E5">
            <w:pPr>
              <w:jc w:val="center"/>
            </w:pPr>
            <w:r>
              <w:rPr>
                <w:rFonts w:ascii="Times New Roman" w:hAnsi="Times New Roman"/>
                <w:b w:val="0"/>
                <w:i w:val="0"/>
                <w:sz w:val="22"/>
              </w:rPr>
              <w:t>768</w:t>
            </w:r>
          </w:p>
        </w:tc>
        <w:tc>
          <w:tcPr>
            <w:tcW w:w="1584" w:type="dxa"/>
          </w:tcPr>
          <w:p w14:paraId="001002E6" w14:textId="001002E7">
            <w:pPr>
              <w:jc w:val="center"/>
            </w:pPr>
            <w:r>
              <w:rPr>
                <w:rFonts w:ascii="Times New Roman" w:hAnsi="Times New Roman"/>
                <w:b w:val="0"/>
                <w:i w:val="0"/>
                <w:sz w:val="22"/>
              </w:rPr>
              <w:t>27.42%</w:t>
            </w:r>
          </w:p>
        </w:tc>
        <w:tc>
          <w:tcPr>
            <w:tcW w:w="1440" w:type="dxa"/>
          </w:tcPr>
          <w:p w14:paraId="001002E8" w14:textId="001002E9">
            <w:pPr>
              <w:jc w:val="center"/>
            </w:pPr>
            <w:r>
              <w:rPr>
                <w:rFonts w:ascii="Times New Roman" w:hAnsi="Times New Roman"/>
                <w:b w:val="0"/>
                <w:i w:val="0"/>
                <w:sz w:val="22"/>
              </w:rPr>
              <w:t>3.66</w:t>
            </w:r>
          </w:p>
        </w:tc>
      </w:tr>
      <w:tr>
        <w:tc>
          <w:tcPr>
            <w:tcW w:w="2160" w:type="dxa"/>
          </w:tcPr>
          <w:p w14:paraId="001002EA" w14:textId="001002EB">
            <w:pPr>
              <w:jc w:val="center"/>
            </w:pPr>
            <w:r>
              <w:rPr>
                <w:rFonts w:ascii="Times New Roman" w:hAnsi="Times New Roman"/>
                <w:b w:val="0"/>
                <w:i w:val="0"/>
                <w:sz w:val="22"/>
              </w:rPr>
              <w:t>Xpressbees</w:t>
            </w:r>
          </w:p>
        </w:tc>
        <w:tc>
          <w:tcPr>
            <w:tcW w:w="1152" w:type="dxa"/>
          </w:tcPr>
          <w:p w14:paraId="001002EC" w14:textId="001002ED">
            <w:pPr>
              <w:jc w:val="center"/>
            </w:pPr>
            <w:r>
              <w:rPr>
                <w:rFonts w:ascii="Times New Roman" w:hAnsi="Times New Roman"/>
                <w:b w:val="0"/>
                <w:i w:val="0"/>
                <w:sz w:val="22"/>
              </w:rPr>
              <w:t>2,826</w:t>
            </w:r>
          </w:p>
        </w:tc>
        <w:tc>
          <w:tcPr>
            <w:tcW w:w="1152" w:type="dxa"/>
          </w:tcPr>
          <w:p w14:paraId="001002EE" w14:textId="001002EF">
            <w:pPr>
              <w:jc w:val="center"/>
            </w:pPr>
            <w:r>
              <w:rPr>
                <w:rFonts w:ascii="Times New Roman" w:hAnsi="Times New Roman"/>
                <w:b w:val="0"/>
                <w:i w:val="0"/>
                <w:sz w:val="22"/>
              </w:rPr>
              <w:t>799</w:t>
            </w:r>
          </w:p>
        </w:tc>
        <w:tc>
          <w:tcPr>
            <w:tcW w:w="1584" w:type="dxa"/>
          </w:tcPr>
          <w:p w14:paraId="001002F0" w14:textId="001002F1">
            <w:pPr>
              <w:jc w:val="center"/>
            </w:pPr>
            <w:r>
              <w:rPr>
                <w:rFonts w:ascii="Times New Roman" w:hAnsi="Times New Roman"/>
                <w:b w:val="0"/>
                <w:i w:val="0"/>
                <w:sz w:val="22"/>
              </w:rPr>
              <w:t>28.27%</w:t>
            </w:r>
          </w:p>
        </w:tc>
        <w:tc>
          <w:tcPr>
            <w:tcW w:w="1440" w:type="dxa"/>
          </w:tcPr>
          <w:p w14:paraId="001002F2" w14:textId="001002F3">
            <w:pPr>
              <w:jc w:val="center"/>
            </w:pPr>
            <w:r>
              <w:rPr>
                <w:rFonts w:ascii="Times New Roman" w:hAnsi="Times New Roman"/>
                <w:b w:val="0"/>
                <w:i w:val="0"/>
                <w:sz w:val="22"/>
              </w:rPr>
              <w:t>3.61</w:t>
            </w:r>
          </w:p>
        </w:tc>
      </w:tr>
    </w:tbl>
    <w:p w14:paraId="001002F4" w14:textId="001002F5"/>
    <w:p w14:paraId="001002F6" w14:textId="001002F7">
      <w:pPr>
        <w:spacing w:after="160"/>
      </w:pPr>
      <w:r>
        <w:rPr>
          <w:rFonts w:ascii="Times New Roman" w:hAnsi="Times New Roman"/>
          <w:b w:val="0"/>
          <w:i/>
          <w:color w:val="57606A"/>
          <w:sz w:val="22"/>
        </w:rPr>
        <w:t>Table 9: Delivery partner analysis (source: partner_analysis.csv). Sorted ascending by delay rate. No ranking is implied.</w:t>
      </w:r>
    </w:p>
    <w:p w14:paraId="001002F8" w14:textId="001002F9">
      <w:pPr>
        <w:spacing w:after="120"/>
      </w:pPr>
      <w:r>
        <w:rPr>
          <w:rFonts w:ascii="Times New Roman" w:hAnsi="Times New Roman"/>
          <w:b w:val="0"/>
          <w:i w:val="0"/>
          <w:sz w:val="24"/>
        </w:rPr>
        <w:t>The delay rates across the nine partners range from 24.80% to 28.27%, a spread of 3.47 percentage points. This is a relatively narrow range in this synthetic dataset. Because partners may serve different regions, carry different package types, or operate across different delivery modes, the observed differences reflect a descriptive pattern rather than an isolated measure of each partner's performance. No partner is ranked as best or worst.</w:t>
      </w:r>
    </w:p>
    <w:p w14:paraId="001002FA" w14:textId="001002FB">
      <w:pPr>
        <w:jc w:val="center"/>
      </w:pPr>
      <w:r>
        <w:drawing>
          <wp:inline xmlns:a="http://schemas.openxmlformats.org/drawingml/2006/main" xmlns:pic="http://schemas.openxmlformats.org/drawingml/2006/picture">
            <wp:extent cx="5029200" cy="2049455"/>
            <wp:docPr id="8" name="Picture 8"/>
            <wp:cNvGraphicFramePr>
              <a:graphicFrameLocks noChangeAspect="1"/>
            </wp:cNvGraphicFramePr>
            <a:graphic>
              <a:graphicData uri="http://schemas.openxmlformats.org/drawingml/2006/picture">
                <pic:pic>
                  <pic:nvPicPr>
                    <pic:cNvPr id="0" name="08_partner_delay_rate.png"/>
                    <pic:cNvPicPr/>
                  </pic:nvPicPr>
                  <pic:blipFill>
                    <a:blip r:embed="rId17"/>
                    <a:stretch>
                      <a:fillRect/>
                    </a:stretch>
                  </pic:blipFill>
                  <pic:spPr>
                    <a:xfrm>
                      <a:off x="0" y="0"/>
                      <a:ext cx="5029200" cy="2049455"/>
                    </a:xfrm>
                    <a:prstGeom prst="rect"/>
                  </pic:spPr>
                </pic:pic>
              </a:graphicData>
            </a:graphic>
          </wp:inline>
        </w:drawing>
      </w:r>
    </w:p>
    <w:p w14:paraId="001002FC" w14:textId="001002FD">
      <w:pPr>
        <w:spacing w:after="240"/>
        <w:jc w:val="center"/>
      </w:pPr>
      <w:r>
        <w:rPr>
          <w:rFonts w:ascii="Times New Roman" w:hAnsi="Times New Roman"/>
          <w:b w:val="0"/>
          <w:i/>
          <w:color w:val="57606A"/>
          <w:sz w:val="20"/>
        </w:rPr>
        <w:t>Figure 8: Delay Rate by Delivery Partner (reference line = overall average 26.68%).</w:t>
      </w:r>
    </w:p>
    <w:p w14:paraId="001002FE" w14:textId="001002FF">
      <w:pPr>
        <w:spacing w:before="280" w:after="120"/>
        <w:jc w:val="left"/>
      </w:pPr>
      <w:r>
        <w:rPr>
          <w:rFonts w:ascii="Times New Roman" w:hAnsi="Times New Roman"/>
          <w:b/>
          <w:i w:val="0"/>
          <w:color w:val="1F2328"/>
          <w:sz w:val="32"/>
        </w:rPr>
        <w:t>15. Region Analysis</w:t>
      </w:r>
    </w:p>
    <w:p w14:paraId="00100300" w14:textId="00100301">
      <w:pPr>
        <w:spacing w:after="120"/>
      </w:pPr>
      <w:r>
        <w:rPr>
          <w:rFonts w:ascii="Times New Roman" w:hAnsi="Times New Roman"/>
          <w:b w:val="0"/>
          <w:i w:val="0"/>
          <w:sz w:val="24"/>
        </w:rPr>
        <w:t>Table 10 presents observed delay rates across five geographic regions.</w:t>
      </w:r>
    </w:p>
    <w:tbl>
      <w:tblPr>
        <w:tblStyle w:val="TableGrid"/>
        <w:tblW w:w="0" w:type="auto"/>
        <w:jc w:val="center"/>
        <w:tblLook w:val="04A0" w:firstRow="1" w:lastRow="0" w:firstColumn="1" w:lastColumn="0" w:noHBand="0" w:noVBand="1"/>
      </w:tblPr>
      <w:tblGrid>
        <w:gridCol w:w="1813"/>
        <w:gridCol w:w="1813"/>
        <w:gridCol w:w="1813"/>
        <w:gridCol w:w="1813"/>
        <w:gridCol w:w="1813"/>
      </w:tblGrid>
      <w:tr>
        <w:tc>
          <w:tcPr>
            <w:tcW w:w="1584" w:type="dxa"/>
            <w:shd w:val="clear" w:color="auto" w:fill="DCE6F1"/>
          </w:tcPr>
          <w:p w14:paraId="00100302" w14:textId="00100303">
            <w:pPr>
              <w:jc w:val="center"/>
            </w:pPr>
            <w:r>
              <w:rPr>
                <w:rFonts w:ascii="Times New Roman" w:hAnsi="Times New Roman"/>
                <w:b/>
                <w:i w:val="0"/>
                <w:sz w:val="22"/>
              </w:rPr>
              <w:t>Region</w:t>
            </w:r>
          </w:p>
        </w:tc>
        <w:tc>
          <w:tcPr>
            <w:tcW w:w="1152" w:type="dxa"/>
            <w:shd w:val="clear" w:color="auto" w:fill="DCE6F1"/>
          </w:tcPr>
          <w:p w14:paraId="00100304" w14:textId="00100305">
            <w:pPr>
              <w:jc w:val="center"/>
            </w:pPr>
            <w:r>
              <w:rPr>
                <w:rFonts w:ascii="Times New Roman" w:hAnsi="Times New Roman"/>
                <w:b/>
                <w:i w:val="0"/>
                <w:sz w:val="22"/>
              </w:rPr>
              <w:t>Total</w:t>
            </w:r>
          </w:p>
        </w:tc>
        <w:tc>
          <w:tcPr>
            <w:tcW w:w="1152" w:type="dxa"/>
            <w:shd w:val="clear" w:color="auto" w:fill="DCE6F1"/>
          </w:tcPr>
          <w:p w14:paraId="00100306" w14:textId="00100307">
            <w:pPr>
              <w:jc w:val="center"/>
            </w:pPr>
            <w:r>
              <w:rPr>
                <w:rFonts w:ascii="Times New Roman" w:hAnsi="Times New Roman"/>
                <w:b/>
                <w:i w:val="0"/>
                <w:sz w:val="22"/>
              </w:rPr>
              <w:t>Delayed</w:t>
            </w:r>
          </w:p>
        </w:tc>
        <w:tc>
          <w:tcPr>
            <w:tcW w:w="1584" w:type="dxa"/>
            <w:shd w:val="clear" w:color="auto" w:fill="DCE6F1"/>
          </w:tcPr>
          <w:p w14:paraId="00100308" w14:textId="00100309">
            <w:pPr>
              <w:jc w:val="center"/>
            </w:pPr>
            <w:r>
              <w:rPr>
                <w:rFonts w:ascii="Times New Roman" w:hAnsi="Times New Roman"/>
                <w:b/>
                <w:i w:val="0"/>
                <w:sz w:val="22"/>
              </w:rPr>
              <w:t>Delay Rate</w:t>
            </w:r>
          </w:p>
        </w:tc>
        <w:tc>
          <w:tcPr>
            <w:tcW w:w="1440" w:type="dxa"/>
            <w:shd w:val="clear" w:color="auto" w:fill="DCE6F1"/>
          </w:tcPr>
          <w:p w14:paraId="0010030A" w14:textId="0010030B">
            <w:pPr>
              <w:jc w:val="center"/>
            </w:pPr>
            <w:r>
              <w:rPr>
                <w:rFonts w:ascii="Times New Roman" w:hAnsi="Times New Roman"/>
                <w:b/>
                <w:i w:val="0"/>
                <w:sz w:val="22"/>
              </w:rPr>
              <w:t>Avg Rating</w:t>
            </w:r>
          </w:p>
        </w:tc>
      </w:tr>
      <w:tr>
        <w:tc>
          <w:tcPr>
            <w:tcW w:w="1584" w:type="dxa"/>
          </w:tcPr>
          <w:p w14:paraId="0010030C" w14:textId="0010030D">
            <w:pPr>
              <w:jc w:val="center"/>
            </w:pPr>
            <w:r>
              <w:rPr>
                <w:rFonts w:ascii="Times New Roman" w:hAnsi="Times New Roman"/>
                <w:b w:val="0"/>
                <w:i w:val="0"/>
                <w:sz w:val="22"/>
              </w:rPr>
              <w:t>East</w:t>
            </w:r>
          </w:p>
        </w:tc>
        <w:tc>
          <w:tcPr>
            <w:tcW w:w="1152" w:type="dxa"/>
          </w:tcPr>
          <w:p w14:paraId="0010030E" w14:textId="0010030F">
            <w:pPr>
              <w:jc w:val="center"/>
            </w:pPr>
            <w:r>
              <w:rPr>
                <w:rFonts w:ascii="Times New Roman" w:hAnsi="Times New Roman"/>
                <w:b w:val="0"/>
                <w:i w:val="0"/>
                <w:sz w:val="22"/>
              </w:rPr>
              <w:t>4,919</w:t>
            </w:r>
          </w:p>
        </w:tc>
        <w:tc>
          <w:tcPr>
            <w:tcW w:w="1152" w:type="dxa"/>
          </w:tcPr>
          <w:p w14:paraId="00100310" w14:textId="00100311">
            <w:pPr>
              <w:jc w:val="center"/>
            </w:pPr>
            <w:r>
              <w:rPr>
                <w:rFonts w:ascii="Times New Roman" w:hAnsi="Times New Roman"/>
                <w:b w:val="0"/>
                <w:i w:val="0"/>
                <w:sz w:val="22"/>
              </w:rPr>
              <w:t>1,269</w:t>
            </w:r>
          </w:p>
        </w:tc>
        <w:tc>
          <w:tcPr>
            <w:tcW w:w="1584" w:type="dxa"/>
          </w:tcPr>
          <w:p w14:paraId="00100312" w14:textId="00100313">
            <w:pPr>
              <w:jc w:val="center"/>
            </w:pPr>
            <w:r>
              <w:rPr>
                <w:rFonts w:ascii="Times New Roman" w:hAnsi="Times New Roman"/>
                <w:b w:val="0"/>
                <w:i w:val="0"/>
                <w:sz w:val="22"/>
              </w:rPr>
              <w:t>25.80%</w:t>
            </w:r>
          </w:p>
        </w:tc>
        <w:tc>
          <w:tcPr>
            <w:tcW w:w="1440" w:type="dxa"/>
          </w:tcPr>
          <w:p w14:paraId="00100314" w14:textId="00100315">
            <w:pPr>
              <w:jc w:val="center"/>
            </w:pPr>
            <w:r>
              <w:rPr>
                <w:rFonts w:ascii="Times New Roman" w:hAnsi="Times New Roman"/>
                <w:b w:val="0"/>
                <w:i w:val="0"/>
                <w:sz w:val="22"/>
              </w:rPr>
              <w:t>3.68</w:t>
            </w:r>
          </w:p>
        </w:tc>
      </w:tr>
      <w:tr>
        <w:tc>
          <w:tcPr>
            <w:tcW w:w="1584" w:type="dxa"/>
          </w:tcPr>
          <w:p w14:paraId="00100316" w14:textId="00100317">
            <w:pPr>
              <w:jc w:val="center"/>
            </w:pPr>
            <w:r>
              <w:rPr>
                <w:rFonts w:ascii="Times New Roman" w:hAnsi="Times New Roman"/>
                <w:b w:val="0"/>
                <w:i w:val="0"/>
                <w:sz w:val="22"/>
              </w:rPr>
              <w:t>North</w:t>
            </w:r>
          </w:p>
        </w:tc>
        <w:tc>
          <w:tcPr>
            <w:tcW w:w="1152" w:type="dxa"/>
          </w:tcPr>
          <w:p w14:paraId="00100318" w14:textId="00100319">
            <w:pPr>
              <w:jc w:val="center"/>
            </w:pPr>
            <w:r>
              <w:rPr>
                <w:rFonts w:ascii="Times New Roman" w:hAnsi="Times New Roman"/>
                <w:b w:val="0"/>
                <w:i w:val="0"/>
                <w:sz w:val="22"/>
              </w:rPr>
              <w:t>4,949</w:t>
            </w:r>
          </w:p>
        </w:tc>
        <w:tc>
          <w:tcPr>
            <w:tcW w:w="1152" w:type="dxa"/>
          </w:tcPr>
          <w:p w14:paraId="0010031A" w14:textId="0010031B">
            <w:pPr>
              <w:jc w:val="center"/>
            </w:pPr>
            <w:r>
              <w:rPr>
                <w:rFonts w:ascii="Times New Roman" w:hAnsi="Times New Roman"/>
                <w:b w:val="0"/>
                <w:i w:val="0"/>
                <w:sz w:val="22"/>
              </w:rPr>
              <w:t>1,315</w:t>
            </w:r>
          </w:p>
        </w:tc>
        <w:tc>
          <w:tcPr>
            <w:tcW w:w="1584" w:type="dxa"/>
          </w:tcPr>
          <w:p w14:paraId="0010031C" w14:textId="0010031D">
            <w:pPr>
              <w:jc w:val="center"/>
            </w:pPr>
            <w:r>
              <w:rPr>
                <w:rFonts w:ascii="Times New Roman" w:hAnsi="Times New Roman"/>
                <w:b w:val="0"/>
                <w:i w:val="0"/>
                <w:sz w:val="22"/>
              </w:rPr>
              <w:t>26.57%</w:t>
            </w:r>
          </w:p>
        </w:tc>
        <w:tc>
          <w:tcPr>
            <w:tcW w:w="1440" w:type="dxa"/>
          </w:tcPr>
          <w:p w14:paraId="0010031E" w14:textId="0010031F">
            <w:pPr>
              <w:jc w:val="center"/>
            </w:pPr>
            <w:r>
              <w:rPr>
                <w:rFonts w:ascii="Times New Roman" w:hAnsi="Times New Roman"/>
                <w:b w:val="0"/>
                <w:i w:val="0"/>
                <w:sz w:val="22"/>
              </w:rPr>
              <w:t>3.68</w:t>
            </w:r>
          </w:p>
        </w:tc>
      </w:tr>
      <w:tr>
        <w:tc>
          <w:tcPr>
            <w:tcW w:w="1584" w:type="dxa"/>
          </w:tcPr>
          <w:p w14:paraId="00100320" w14:textId="00100321">
            <w:pPr>
              <w:jc w:val="center"/>
            </w:pPr>
            <w:r>
              <w:rPr>
                <w:rFonts w:ascii="Times New Roman" w:hAnsi="Times New Roman"/>
                <w:b w:val="0"/>
                <w:i w:val="0"/>
                <w:sz w:val="22"/>
              </w:rPr>
              <w:t>South</w:t>
            </w:r>
          </w:p>
        </w:tc>
        <w:tc>
          <w:tcPr>
            <w:tcW w:w="1152" w:type="dxa"/>
          </w:tcPr>
          <w:p w14:paraId="00100322" w14:textId="00100323">
            <w:pPr>
              <w:jc w:val="center"/>
            </w:pPr>
            <w:r>
              <w:rPr>
                <w:rFonts w:ascii="Times New Roman" w:hAnsi="Times New Roman"/>
                <w:b w:val="0"/>
                <w:i w:val="0"/>
                <w:sz w:val="22"/>
              </w:rPr>
              <w:t>4,977</w:t>
            </w:r>
          </w:p>
        </w:tc>
        <w:tc>
          <w:tcPr>
            <w:tcW w:w="1152" w:type="dxa"/>
          </w:tcPr>
          <w:p w14:paraId="00100324" w14:textId="00100325">
            <w:pPr>
              <w:jc w:val="center"/>
            </w:pPr>
            <w:r>
              <w:rPr>
                <w:rFonts w:ascii="Times New Roman" w:hAnsi="Times New Roman"/>
                <w:b w:val="0"/>
                <w:i w:val="0"/>
                <w:sz w:val="22"/>
              </w:rPr>
              <w:t>1,333</w:t>
            </w:r>
          </w:p>
        </w:tc>
        <w:tc>
          <w:tcPr>
            <w:tcW w:w="1584" w:type="dxa"/>
          </w:tcPr>
          <w:p w14:paraId="00100326" w14:textId="00100327">
            <w:pPr>
              <w:jc w:val="center"/>
            </w:pPr>
            <w:r>
              <w:rPr>
                <w:rFonts w:ascii="Times New Roman" w:hAnsi="Times New Roman"/>
                <w:b w:val="0"/>
                <w:i w:val="0"/>
                <w:sz w:val="22"/>
              </w:rPr>
              <w:t>26.78%</w:t>
            </w:r>
          </w:p>
        </w:tc>
        <w:tc>
          <w:tcPr>
            <w:tcW w:w="1440" w:type="dxa"/>
          </w:tcPr>
          <w:p w14:paraId="00100328" w14:textId="00100329">
            <w:pPr>
              <w:jc w:val="center"/>
            </w:pPr>
            <w:r>
              <w:rPr>
                <w:rFonts w:ascii="Times New Roman" w:hAnsi="Times New Roman"/>
                <w:b w:val="0"/>
                <w:i w:val="0"/>
                <w:sz w:val="22"/>
              </w:rPr>
              <w:t>3.67</w:t>
            </w:r>
          </w:p>
        </w:tc>
      </w:tr>
      <w:tr>
        <w:tc>
          <w:tcPr>
            <w:tcW w:w="1584" w:type="dxa"/>
          </w:tcPr>
          <w:p w14:paraId="0010032A" w14:textId="0010032B">
            <w:pPr>
              <w:jc w:val="center"/>
            </w:pPr>
            <w:r>
              <w:rPr>
                <w:rFonts w:ascii="Times New Roman" w:hAnsi="Times New Roman"/>
                <w:b w:val="0"/>
                <w:i w:val="0"/>
                <w:sz w:val="22"/>
              </w:rPr>
              <w:t>West</w:t>
            </w:r>
          </w:p>
        </w:tc>
        <w:tc>
          <w:tcPr>
            <w:tcW w:w="1152" w:type="dxa"/>
          </w:tcPr>
          <w:p w14:paraId="0010032C" w14:textId="0010032D">
            <w:pPr>
              <w:jc w:val="center"/>
            </w:pPr>
            <w:r>
              <w:rPr>
                <w:rFonts w:ascii="Times New Roman" w:hAnsi="Times New Roman"/>
                <w:b w:val="0"/>
                <w:i w:val="0"/>
                <w:sz w:val="22"/>
              </w:rPr>
              <w:t>5,095</w:t>
            </w:r>
          </w:p>
        </w:tc>
        <w:tc>
          <w:tcPr>
            <w:tcW w:w="1152" w:type="dxa"/>
          </w:tcPr>
          <w:p w14:paraId="0010032E" w14:textId="0010032F">
            <w:pPr>
              <w:jc w:val="center"/>
            </w:pPr>
            <w:r>
              <w:rPr>
                <w:rFonts w:ascii="Times New Roman" w:hAnsi="Times New Roman"/>
                <w:b w:val="0"/>
                <w:i w:val="0"/>
                <w:sz w:val="22"/>
              </w:rPr>
              <w:t>1,373</w:t>
            </w:r>
          </w:p>
        </w:tc>
        <w:tc>
          <w:tcPr>
            <w:tcW w:w="1584" w:type="dxa"/>
          </w:tcPr>
          <w:p w14:paraId="00100330" w14:textId="00100331">
            <w:pPr>
              <w:jc w:val="center"/>
            </w:pPr>
            <w:r>
              <w:rPr>
                <w:rFonts w:ascii="Times New Roman" w:hAnsi="Times New Roman"/>
                <w:b w:val="0"/>
                <w:i w:val="0"/>
                <w:sz w:val="22"/>
              </w:rPr>
              <w:t>26.95%</w:t>
            </w:r>
          </w:p>
        </w:tc>
        <w:tc>
          <w:tcPr>
            <w:tcW w:w="1440" w:type="dxa"/>
          </w:tcPr>
          <w:p w14:paraId="00100332" w14:textId="00100333">
            <w:pPr>
              <w:jc w:val="center"/>
            </w:pPr>
            <w:r>
              <w:rPr>
                <w:rFonts w:ascii="Times New Roman" w:hAnsi="Times New Roman"/>
                <w:b w:val="0"/>
                <w:i w:val="0"/>
                <w:sz w:val="22"/>
              </w:rPr>
              <w:t>3.64</w:t>
            </w:r>
          </w:p>
        </w:tc>
      </w:tr>
      <w:tr>
        <w:tc>
          <w:tcPr>
            <w:tcW w:w="1584" w:type="dxa"/>
          </w:tcPr>
          <w:p w14:paraId="00100334" w14:textId="00100335">
            <w:pPr>
              <w:jc w:val="center"/>
            </w:pPr>
            <w:r>
              <w:rPr>
                <w:rFonts w:ascii="Times New Roman" w:hAnsi="Times New Roman"/>
                <w:b w:val="0"/>
                <w:i w:val="0"/>
                <w:sz w:val="22"/>
              </w:rPr>
              <w:t>Central</w:t>
            </w:r>
          </w:p>
        </w:tc>
        <w:tc>
          <w:tcPr>
            <w:tcW w:w="1152" w:type="dxa"/>
          </w:tcPr>
          <w:p w14:paraId="00100336" w14:textId="00100337">
            <w:pPr>
              <w:jc w:val="center"/>
            </w:pPr>
            <w:r>
              <w:rPr>
                <w:rFonts w:ascii="Times New Roman" w:hAnsi="Times New Roman"/>
                <w:b w:val="0"/>
                <w:i w:val="0"/>
                <w:sz w:val="22"/>
              </w:rPr>
              <w:t>5,060</w:t>
            </w:r>
          </w:p>
        </w:tc>
        <w:tc>
          <w:tcPr>
            <w:tcW w:w="1152" w:type="dxa"/>
          </w:tcPr>
          <w:p w14:paraId="00100338" w14:textId="00100339">
            <w:pPr>
              <w:jc w:val="center"/>
            </w:pPr>
            <w:r>
              <w:rPr>
                <w:rFonts w:ascii="Times New Roman" w:hAnsi="Times New Roman"/>
                <w:b w:val="0"/>
                <w:i w:val="0"/>
                <w:sz w:val="22"/>
              </w:rPr>
              <w:t>1,379</w:t>
            </w:r>
          </w:p>
        </w:tc>
        <w:tc>
          <w:tcPr>
            <w:tcW w:w="1584" w:type="dxa"/>
          </w:tcPr>
          <w:p w14:paraId="0010033A" w14:textId="0010033B">
            <w:pPr>
              <w:jc w:val="center"/>
            </w:pPr>
            <w:r>
              <w:rPr>
                <w:rFonts w:ascii="Times New Roman" w:hAnsi="Times New Roman"/>
                <w:b w:val="0"/>
                <w:i w:val="0"/>
                <w:sz w:val="22"/>
              </w:rPr>
              <w:t>27.25%</w:t>
            </w:r>
          </w:p>
        </w:tc>
        <w:tc>
          <w:tcPr>
            <w:tcW w:w="1440" w:type="dxa"/>
          </w:tcPr>
          <w:p w14:paraId="0010033C" w14:textId="0010033D">
            <w:pPr>
              <w:jc w:val="center"/>
            </w:pPr>
            <w:r>
              <w:rPr>
                <w:rFonts w:ascii="Times New Roman" w:hAnsi="Times New Roman"/>
                <w:b w:val="0"/>
                <w:i w:val="0"/>
                <w:sz w:val="22"/>
              </w:rPr>
              <w:t>3.66</w:t>
            </w:r>
          </w:p>
        </w:tc>
      </w:tr>
    </w:tbl>
    <w:p w14:paraId="0010033E" w14:textId="0010033F"/>
    <w:p w14:paraId="00100340" w14:textId="00100341">
      <w:pPr>
        <w:spacing w:after="160"/>
      </w:pPr>
      <w:r>
        <w:rPr>
          <w:rFonts w:ascii="Times New Roman" w:hAnsi="Times New Roman"/>
          <w:b w:val="0"/>
          <w:i/>
          <w:color w:val="57606A"/>
          <w:sz w:val="22"/>
        </w:rPr>
        <w:t>Table 10: Region analysis (source: region_analysis.csv). Sorted ascending by delay rate. No ranking is implied.</w:t>
      </w:r>
    </w:p>
    <w:p w14:paraId="00100342" w14:textId="00100343">
      <w:pPr>
        <w:spacing w:after="120"/>
      </w:pPr>
      <w:r>
        <w:rPr>
          <w:rFonts w:ascii="Times New Roman" w:hAnsi="Times New Roman"/>
          <w:b w:val="0"/>
          <w:i w:val="0"/>
          <w:sz w:val="24"/>
        </w:rPr>
        <w:t>Regional delay rates are very similar across the five regions, ranging from 25.80% to 27.25% — a spread of only 1.45 percentage points. Regional differences may reflect varying mixes of delivery partners, weather conditions, and delivery modes rather than geographic factors alone.</w:t>
      </w:r>
    </w:p>
    <w:p w14:paraId="00100344" w14:textId="00100345">
      <w:pPr>
        <w:jc w:val="center"/>
      </w:pPr>
      <w:r>
        <w:drawing>
          <wp:inline xmlns:a="http://schemas.openxmlformats.org/drawingml/2006/main" xmlns:pic="http://schemas.openxmlformats.org/drawingml/2006/picture">
            <wp:extent cx="5029200" cy="3088031"/>
            <wp:docPr id="9" name="Picture 9"/>
            <wp:cNvGraphicFramePr>
              <a:graphicFrameLocks noChangeAspect="1"/>
            </wp:cNvGraphicFramePr>
            <a:graphic>
              <a:graphicData uri="http://schemas.openxmlformats.org/drawingml/2006/picture">
                <pic:pic>
                  <pic:nvPicPr>
                    <pic:cNvPr id="0" name="09_region_delay_rate.png"/>
                    <pic:cNvPicPr/>
                  </pic:nvPicPr>
                  <pic:blipFill>
                    <a:blip r:embed="rId18"/>
                    <a:stretch>
                      <a:fillRect/>
                    </a:stretch>
                  </pic:blipFill>
                  <pic:spPr>
                    <a:xfrm>
                      <a:off x="0" y="0"/>
                      <a:ext cx="5029200" cy="3088031"/>
                    </a:xfrm>
                    <a:prstGeom prst="rect"/>
                  </pic:spPr>
                </pic:pic>
              </a:graphicData>
            </a:graphic>
          </wp:inline>
        </w:drawing>
      </w:r>
    </w:p>
    <w:p w14:paraId="00100346" w14:textId="00100347">
      <w:pPr>
        <w:spacing w:after="240"/>
        <w:jc w:val="center"/>
      </w:pPr>
      <w:r>
        <w:rPr>
          <w:rFonts w:ascii="Times New Roman" w:hAnsi="Times New Roman"/>
          <w:b w:val="0"/>
          <w:i/>
          <w:color w:val="57606A"/>
          <w:sz w:val="20"/>
        </w:rPr>
        <w:t>Figure 9: Delay Rate by Region (reference line = overall average 26.68%).</w:t>
      </w:r>
    </w:p>
    <w:p w14:paraId="00100348" w14:textId="00100349">
      <w:r>
        <w:br w:type="page"/>
      </w:r>
    </w:p>
    <w:p w14:paraId="0010034A" w14:textId="0010034B">
      <w:pPr>
        <w:spacing w:before="280" w:after="120"/>
        <w:jc w:val="left"/>
      </w:pPr>
      <w:r>
        <w:rPr>
          <w:rFonts w:ascii="Times New Roman" w:hAnsi="Times New Roman"/>
          <w:b/>
          <w:i w:val="0"/>
          <w:color w:val="1F2328"/>
          <w:sz w:val="32"/>
        </w:rPr>
        <w:t>16. Business Insights</w:t>
      </w:r>
    </w:p>
    <w:p w14:paraId="0010034C" w14:textId="0010034D">
      <w:pPr>
        <w:spacing w:after="120"/>
      </w:pPr>
      <w:r>
        <w:rPr>
          <w:rFonts w:ascii="Times New Roman" w:hAnsi="Times New Roman"/>
          <w:b w:val="0"/>
          <w:i w:val="0"/>
          <w:sz w:val="24"/>
        </w:rPr>
        <w:t>The following summarises the major observations from this analysis. All findings are described as patterns observed in this synthetic dataset. Association does not imply causation.</w:t>
      </w:r>
    </w:p>
    <w:p w14:paraId="0010034E" w14:textId="0010034F">
      <w:pPr>
        <w:pStyle w:val="ListBullet"/>
        <w:spacing w:after="80"/>
      </w:pPr>
      <w:r>
        <w:rPr>
          <w:rFonts w:ascii="Times New Roman" w:hAnsi="Times New Roman"/>
          <w:b w:val="0"/>
          <w:i w:val="0"/>
          <w:sz w:val="24"/>
        </w:rPr>
        <w:t>Overall performance: The dataset records a delay rate of 26.68%, meaning approximately 1 in every 4 deliveries is recorded as delayed.</w:t>
      </w:r>
    </w:p>
    <w:p w14:paraId="00100350" w14:textId="00100351">
      <w:pPr>
        <w:pStyle w:val="ListBullet"/>
        <w:spacing w:after="80"/>
      </w:pPr>
      <w:r>
        <w:rPr>
          <w:rFonts w:ascii="Times New Roman" w:hAnsi="Times New Roman"/>
          <w:b w:val="0"/>
          <w:i w:val="0"/>
          <w:sz w:val="24"/>
        </w:rPr>
        <w:t>Delivery mode: Express mode is associated with the highest observed delay rate (73.78%) and standard mode with the lowest (0%). The 73.78 pp spread is the largest dimensional difference observed in the data. This pattern is partly explained by the much tighter SLA for express deliveries.</w:t>
      </w:r>
    </w:p>
    <w:p w14:paraId="00100352" w14:textId="00100353">
      <w:pPr>
        <w:pStyle w:val="ListBullet"/>
        <w:spacing w:after="80"/>
      </w:pPr>
      <w:r>
        <w:rPr>
          <w:rFonts w:ascii="Times New Roman" w:hAnsi="Times New Roman"/>
          <w:b w:val="0"/>
          <w:i w:val="0"/>
          <w:sz w:val="24"/>
        </w:rPr>
        <w:t>Weather: Stormy conditions are associated with the highest delay rate (41.45%) and cold conditions with the lowest (16.02%). A 25.43 pp spread is observed across weather conditions.</w:t>
      </w:r>
    </w:p>
    <w:p w14:paraId="00100354" w14:textId="00100355">
      <w:pPr>
        <w:pStyle w:val="ListBullet"/>
        <w:spacing w:after="80"/>
      </w:pPr>
      <w:r>
        <w:rPr>
          <w:rFonts w:ascii="Times New Roman" w:hAnsi="Times New Roman"/>
          <w:b w:val="0"/>
          <w:i w:val="0"/>
          <w:sz w:val="24"/>
        </w:rPr>
        <w:t>Distance and delay: Delay rate increases across distance bands, from 17.36% (0–60 km) to 38.28% (241–300 km), a 21 pp increase over the full range.</w:t>
      </w:r>
    </w:p>
    <w:p w14:paraId="00100356" w14:textId="00100357">
      <w:pPr>
        <w:pStyle w:val="ListBullet"/>
        <w:spacing w:after="80"/>
      </w:pPr>
      <w:r>
        <w:rPr>
          <w:rFonts w:ascii="Times New Roman" w:hAnsi="Times New Roman"/>
          <w:b w:val="0"/>
          <w:i w:val="0"/>
          <w:sz w:val="24"/>
        </w:rPr>
        <w:t>Distance and cost: Average delivery cost rises from ₹264.36 to ₹1,463.31 across distance bands — a clear positive association between distance and cost.</w:t>
      </w:r>
    </w:p>
    <w:p w14:paraId="00100358" w14:textId="00100359">
      <w:pPr>
        <w:pStyle w:val="ListBullet"/>
        <w:spacing w:after="80"/>
      </w:pPr>
      <w:r>
        <w:rPr>
          <w:rFonts w:ascii="Times New Roman" w:hAnsi="Times New Roman"/>
          <w:b w:val="0"/>
          <w:i w:val="0"/>
          <w:sz w:val="24"/>
        </w:rPr>
        <w:t>Customer experience: A weak negative correlation (r = −0.2693) is observed between delivery time and customer rating. Deliveries rated 1 or 2 all correspond to delayed orders; deliveries rated 4 or 5 show no delays.</w:t>
      </w:r>
    </w:p>
    <w:p w14:paraId="0010035A" w14:textId="0010035B">
      <w:pPr>
        <w:pStyle w:val="ListBullet"/>
        <w:spacing w:after="80"/>
      </w:pPr>
      <w:r>
        <w:rPr>
          <w:rFonts w:ascii="Times New Roman" w:hAnsi="Times New Roman"/>
          <w:b w:val="0"/>
          <w:i w:val="0"/>
          <w:sz w:val="24"/>
        </w:rPr>
        <w:t>Delivery partners: Partner delay rates span 24.80%–28.27% (range: 3.47 pp). This is a relatively narrow spread. Confounding variables are not controlled for.</w:t>
      </w:r>
    </w:p>
    <w:p w14:paraId="0010035C" w14:textId="0010035D">
      <w:pPr>
        <w:pStyle w:val="ListBullet"/>
        <w:spacing w:after="80"/>
      </w:pPr>
      <w:r>
        <w:rPr>
          <w:rFonts w:ascii="Times New Roman" w:hAnsi="Times New Roman"/>
          <w:b w:val="0"/>
          <w:i w:val="0"/>
          <w:sz w:val="24"/>
        </w:rPr>
        <w:t>Regions: Regional delay rates span 25.80%–27.25% (range: 1.45 pp), indicating very similar performance across regions in this dataset.</w:t>
      </w:r>
    </w:p>
    <w:p w14:paraId="0010035E" w14:textId="0010035F">
      <w:pPr>
        <w:spacing w:before="280" w:after="120"/>
        <w:jc w:val="left"/>
      </w:pPr>
      <w:r>
        <w:rPr>
          <w:rFonts w:ascii="Times New Roman" w:hAnsi="Times New Roman"/>
          <w:b/>
          <w:i w:val="0"/>
          <w:color w:val="1F2328"/>
          <w:sz w:val="32"/>
        </w:rPr>
        <w:t>17. Data Quality and Limitations</w:t>
      </w:r>
    </w:p>
    <w:p w14:paraId="00100360" w14:textId="00100361">
      <w:pPr>
        <w:pStyle w:val="ListBullet"/>
        <w:spacing w:after="80"/>
      </w:pPr>
      <w:r>
        <w:rPr>
          <w:rFonts w:ascii="Times New Roman" w:hAnsi="Times New Roman"/>
          <w:b w:val="0"/>
          <w:i w:val="0"/>
          <w:sz w:val="24"/>
        </w:rPr>
        <w:t>Synthetic dataset: The dataset is artificially generated. Results must not be generalised to real-world logistics companies or operations.</w:t>
      </w:r>
    </w:p>
    <w:p w14:paraId="00100362" w14:textId="00100363">
      <w:pPr>
        <w:pStyle w:val="ListBullet"/>
        <w:spacing w:after="80"/>
      </w:pPr>
      <w:r>
        <w:rPr>
          <w:rFonts w:ascii="Times New Roman" w:hAnsi="Times New Roman"/>
          <w:b w:val="0"/>
          <w:i w:val="0"/>
          <w:sz w:val="24"/>
        </w:rPr>
        <w:t>Correlation ≠ causation: All relationships described in this report are statistical associations. No factor is claimed to cause delivery delays.</w:t>
      </w:r>
    </w:p>
    <w:p w14:paraId="00100364" w14:textId="00100365">
      <w:pPr>
        <w:pStyle w:val="ListBullet"/>
        <w:spacing w:after="80"/>
      </w:pPr>
      <w:r>
        <w:rPr>
          <w:rFonts w:ascii="Times New Roman" w:hAnsi="Times New Roman"/>
          <w:b w:val="0"/>
          <w:i w:val="0"/>
          <w:sz w:val="24"/>
        </w:rPr>
        <w:t>Zero-hour records: 255 records had an actual delivery time of zero hours. These were flagged and treated as missing actual delivery time in the cleaned working data.</w:t>
      </w:r>
    </w:p>
    <w:p w14:paraId="00100366" w14:textId="00100367">
      <w:pPr>
        <w:pStyle w:val="ListBullet"/>
        <w:spacing w:after="80"/>
      </w:pPr>
      <w:r>
        <w:rPr>
          <w:rFonts w:ascii="Times New Roman" w:hAnsi="Times New Roman"/>
          <w:b w:val="0"/>
          <w:i w:val="0"/>
          <w:sz w:val="24"/>
        </w:rPr>
        <w:t>Duplicate delivery IDs: 500 records are associated with 2 delivery_id values that appear multiple times. These records are preserved in the analysis as a data-quality observation.</w:t>
      </w:r>
    </w:p>
    <w:p w14:paraId="00100368" w14:textId="00100369">
      <w:pPr>
        <w:pStyle w:val="ListBullet"/>
        <w:spacing w:after="80"/>
      </w:pPr>
      <w:r>
        <w:rPr>
          <w:rFonts w:ascii="Times New Roman" w:hAnsi="Times New Roman"/>
          <w:b w:val="0"/>
          <w:i w:val="0"/>
          <w:sz w:val="24"/>
        </w:rPr>
        <w:t>Delay label disagreement: Comparing the original delayed field with a strict 'actual time exceeds expected time' rule produces 1,203 conflicting records. The original delayed field is used throughout as the established source of truth for delay-rate calculations.</w:t>
      </w:r>
    </w:p>
    <w:p w14:paraId="0010036A" w14:textId="0010036B">
      <w:pPr>
        <w:pStyle w:val="ListBullet"/>
        <w:spacing w:after="80"/>
      </w:pPr>
      <w:r>
        <w:rPr>
          <w:rFonts w:ascii="Times New Roman" w:hAnsi="Times New Roman"/>
          <w:b w:val="0"/>
          <w:i w:val="0"/>
          <w:sz w:val="24"/>
        </w:rPr>
        <w:t>Uncontrolled confounders: Partner and region comparisons do not control for other variables such as delivery mode mix, package types, or weather conditions. Observed differences should be interpreted as descriptive patterns.</w:t>
      </w:r>
    </w:p>
    <w:p w14:paraId="0010036C" w14:textId="0010036D">
      <w:pPr>
        <w:spacing w:before="280" w:after="120"/>
        <w:jc w:val="left"/>
      </w:pPr>
      <w:r>
        <w:rPr>
          <w:rFonts w:ascii="Times New Roman" w:hAnsi="Times New Roman"/>
          <w:b/>
          <w:i w:val="0"/>
          <w:color w:val="1F2328"/>
          <w:sz w:val="32"/>
        </w:rPr>
        <w:t>18. Conclusion</w:t>
      </w:r>
    </w:p>
    <w:p w14:paraId="0010036E" w14:textId="0010036F">
      <w:pPr>
        <w:spacing w:after="120"/>
      </w:pPr>
      <w:r>
        <w:rPr>
          <w:rFonts w:ascii="Times New Roman" w:hAnsi="Times New Roman"/>
          <w:b w:val="0"/>
          <w:i w:val="0"/>
          <w:sz w:val="24"/>
        </w:rPr>
        <w:t>This project demonstrates a complete Python-based data analytics workflow applied to a synthetic delivery-logistics dataset. The workflow covers data loading, data cleaning, exploratory data analysis, business KPI calculation, dimensional analysis across six key dimensions, visualization generation, and structured findings reporting.</w:t>
      </w:r>
    </w:p>
    <w:p w14:paraId="00100370" w14:textId="00100371">
      <w:pPr>
        <w:spacing w:after="120"/>
      </w:pPr>
      <w:r>
        <w:rPr>
          <w:rFonts w:ascii="Times New Roman" w:hAnsi="Times New Roman"/>
          <w:b w:val="0"/>
          <w:i w:val="0"/>
          <w:sz w:val="24"/>
        </w:rPr>
        <w:t>The analysis identifies several notable patterns in the dataset: a 26.68% overall delay rate, wide variation in delay rates across delivery modes, associations between adverse weather and higher delays, a consistent positive relationship between distance and both delivery cost and delay rate, and a weak negative correlation between delivery time and customer satisfaction rating.</w:t>
      </w:r>
    </w:p>
    <w:p w14:paraId="00100372" w14:textId="00100373">
      <w:pPr>
        <w:spacing w:after="120"/>
      </w:pPr>
      <w:r>
        <w:rPr>
          <w:rFonts w:ascii="Times New Roman" w:hAnsi="Times New Roman"/>
          <w:b w:val="0"/>
          <w:i w:val="0"/>
          <w:sz w:val="24"/>
        </w:rPr>
        <w:t>The project does not apply machine learning or make predictions about future deliveries. All findings are observations from this synthetic dataset and should not be extrapolated to real-world logistics performance.</w:t>
      </w:r>
    </w:p>
    <w:p w14:paraId="00100374" w14:textId="00100375">
      <w:pPr>
        <w:spacing w:before="280" w:after="120"/>
        <w:jc w:val="left"/>
      </w:pPr>
      <w:r>
        <w:rPr>
          <w:rFonts w:ascii="Times New Roman" w:hAnsi="Times New Roman"/>
          <w:b/>
          <w:i w:val="0"/>
          <w:color w:val="1F2328"/>
          <w:sz w:val="32"/>
        </w:rPr>
        <w:t>19. Future Scope</w:t>
      </w:r>
    </w:p>
    <w:p w14:paraId="00100376" w14:textId="00100377">
      <w:pPr>
        <w:spacing w:after="120"/>
      </w:pPr>
      <w:r>
        <w:rPr>
          <w:rFonts w:ascii="Times New Roman" w:hAnsi="Times New Roman"/>
          <w:b w:val="0"/>
          <w:i w:val="0"/>
          <w:sz w:val="24"/>
        </w:rPr>
        <w:t>The following extensions are identified as potential future work and have not been implemented in the current project:</w:t>
      </w:r>
    </w:p>
    <w:p w14:paraId="00100378" w14:textId="00100379">
      <w:pPr>
        <w:pStyle w:val="ListBullet"/>
        <w:spacing w:after="80"/>
      </w:pPr>
      <w:r>
        <w:rPr>
          <w:rFonts w:ascii="Times New Roman" w:hAnsi="Times New Roman"/>
          <w:b w:val="0"/>
          <w:i w:val="0"/>
          <w:sz w:val="24"/>
        </w:rPr>
        <w:t>Apply the same analytical workflow to a validated real-world logistics dataset to test whether the observed patterns hold.</w:t>
      </w:r>
    </w:p>
    <w:p w14:paraId="0010037A" w14:textId="0010037B">
      <w:pPr>
        <w:pStyle w:val="ListBullet"/>
        <w:spacing w:after="80"/>
      </w:pPr>
      <w:r>
        <w:rPr>
          <w:rFonts w:ascii="Times New Roman" w:hAnsi="Times New Roman"/>
          <w:b w:val="0"/>
          <w:i w:val="0"/>
          <w:sz w:val="24"/>
        </w:rPr>
        <w:t>Build predictive delay models (e.g. classification) using the cleaned dataset if a prediction requirement is introduced.</w:t>
      </w:r>
    </w:p>
    <w:p w14:paraId="0010037C" w14:textId="0010037D">
      <w:pPr>
        <w:pStyle w:val="ListBullet"/>
        <w:spacing w:after="80"/>
      </w:pPr>
      <w:r>
        <w:rPr>
          <w:rFonts w:ascii="Times New Roman" w:hAnsi="Times New Roman"/>
          <w:b w:val="0"/>
          <w:i w:val="0"/>
          <w:sz w:val="24"/>
        </w:rPr>
        <w:t>Develop interactive dashboards (e.g. using Streamlit or Dash) to allow dynamic exploration of the findings.</w:t>
      </w:r>
    </w:p>
    <w:p w14:paraId="0010037E" w14:textId="0010037F">
      <w:pPr>
        <w:pStyle w:val="ListBullet"/>
        <w:spacing w:after="80"/>
      </w:pPr>
      <w:r>
        <w:rPr>
          <w:rFonts w:ascii="Times New Roman" w:hAnsi="Times New Roman"/>
          <w:b w:val="0"/>
          <w:i w:val="0"/>
          <w:sz w:val="24"/>
        </w:rPr>
        <w:t>Investigate additional operational factors such as vehicle type, package type, and time of day.</w:t>
      </w:r>
    </w:p>
    <w:p w14:paraId="00100380" w14:textId="00100381">
      <w:pPr>
        <w:pStyle w:val="ListBullet"/>
        <w:spacing w:after="80"/>
      </w:pPr>
      <w:r>
        <w:rPr>
          <w:rFonts w:ascii="Times New Roman" w:hAnsi="Times New Roman"/>
          <w:b w:val="0"/>
          <w:i w:val="0"/>
          <w:sz w:val="24"/>
        </w:rPr>
        <w:t>Extend the partner and region analysis to control for confounding variables using stratification or regression.</w:t>
      </w:r>
    </w:p>
    <w:p w14:paraId="00100382" w14:textId="00100383">
      <w:pPr>
        <w:spacing w:before="280" w:after="120"/>
        <w:jc w:val="left"/>
      </w:pPr>
      <w:r>
        <w:rPr>
          <w:rFonts w:ascii="Times New Roman" w:hAnsi="Times New Roman"/>
          <w:b/>
          <w:i w:val="0"/>
          <w:color w:val="1F2328"/>
          <w:sz w:val="32"/>
        </w:rPr>
        <w:t>20. References and Data Source</w:t>
      </w:r>
    </w:p>
    <w:p w14:paraId="00100384" w14:textId="00100385">
      <w:pPr>
        <w:spacing w:after="120"/>
      </w:pPr>
      <w:r>
        <w:rPr>
          <w:rFonts w:ascii="Times New Roman" w:hAnsi="Times New Roman"/>
          <w:b w:val="0"/>
          <w:i w:val="0"/>
          <w:sz w:val="24"/>
        </w:rPr>
        <w:t>Dataset:</w:t>
      </w:r>
    </w:p>
    <w:p w14:paraId="00100386" w14:textId="00100387">
      <w:pPr>
        <w:pStyle w:val="ListBullet"/>
        <w:spacing w:after="80"/>
      </w:pPr>
      <w:r>
        <w:rPr>
          <w:rFonts w:ascii="Times New Roman" w:hAnsi="Times New Roman"/>
          <w:b w:val="0"/>
          <w:i w:val="0"/>
          <w:sz w:val="24"/>
        </w:rPr>
        <w:t>Kaggle – Delivery Logistics Dataset (India – Multi-Partner). Source: Kaggle (exact URL not recorded in project files).</w:t>
      </w:r>
    </w:p>
    <w:p w14:paraId="00100388" w14:textId="00100389">
      <w:pPr>
        <w:spacing w:after="120"/>
      </w:pPr>
      <w:r>
        <w:rPr>
          <w:rFonts w:ascii="Times New Roman" w:hAnsi="Times New Roman"/>
          <w:b w:val="0"/>
          <w:i w:val="0"/>
          <w:sz w:val="24"/>
        </w:rPr>
        <w:t>Libraries and documentation:</w:t>
      </w:r>
    </w:p>
    <w:p w14:paraId="0010038A" w14:textId="0010038B">
      <w:pPr>
        <w:pStyle w:val="ListBullet"/>
        <w:spacing w:after="80"/>
      </w:pPr>
      <w:r>
        <w:rPr>
          <w:rFonts w:ascii="Times New Roman" w:hAnsi="Times New Roman"/>
          <w:b w:val="0"/>
          <w:i w:val="0"/>
          <w:sz w:val="24"/>
        </w:rPr>
        <w:t>Python Software Foundation. Python Programming Language. https://www.python.org/</w:t>
      </w:r>
    </w:p>
    <w:p w14:paraId="0010038C" w14:textId="0010038D">
      <w:pPr>
        <w:pStyle w:val="ListBullet"/>
        <w:spacing w:after="80"/>
      </w:pPr>
      <w:r>
        <w:rPr>
          <w:rFonts w:ascii="Times New Roman" w:hAnsi="Times New Roman"/>
          <w:b w:val="0"/>
          <w:i w:val="0"/>
          <w:sz w:val="24"/>
        </w:rPr>
        <w:t>The Pandas Development Team. pandas: Python Data Analysis Library. https://pandas.pydata.org/</w:t>
      </w:r>
    </w:p>
    <w:p w14:paraId="0010038E" w14:textId="0010038F">
      <w:pPr>
        <w:pStyle w:val="ListBullet"/>
        <w:spacing w:after="80"/>
      </w:pPr>
      <w:r>
        <w:rPr>
          <w:rFonts w:ascii="Times New Roman" w:hAnsi="Times New Roman"/>
          <w:b w:val="0"/>
          <w:i w:val="0"/>
          <w:sz w:val="24"/>
        </w:rPr>
        <w:t>Harris, C.R. et al. Array programming with NumPy. Nature, 585, 357–362 (2020). https://numpy.org/</w:t>
      </w:r>
    </w:p>
    <w:p w14:paraId="00100390" w14:textId="00100391">
      <w:pPr>
        <w:pStyle w:val="ListBullet"/>
        <w:spacing w:after="80"/>
      </w:pPr>
      <w:r>
        <w:rPr>
          <w:rFonts w:ascii="Times New Roman" w:hAnsi="Times New Roman"/>
          <w:b w:val="0"/>
          <w:i w:val="0"/>
          <w:sz w:val="24"/>
        </w:rPr>
        <w:t>Hunter, J.D. Matplotlib: A 2D Graphics Environment. Computing in Science &amp; Engineering, 9(3), 90–95 (2007). https://matplotlib.org/</w:t>
      </w:r>
    </w:p>
    <w:p w14:paraId="00100392" w14:textId="00100393">
      <w:r>
        <w:br w:type="page"/>
      </w:r>
    </w:p>
    <w:p w14:paraId="00100394" w14:textId="00100395">
      <w:pPr>
        <w:spacing w:before="280" w:after="120"/>
        <w:jc w:val="left"/>
      </w:pPr>
      <w:r>
        <w:rPr>
          <w:rFonts w:ascii="Times New Roman" w:hAnsi="Times New Roman"/>
          <w:b/>
          <w:i w:val="0"/>
          <w:color w:val="1F2328"/>
          <w:sz w:val="32"/>
        </w:rPr>
        <w:t>Appendix: Project Output Files</w:t>
      </w:r>
    </w:p>
    <w:p w14:paraId="00100396" w14:textId="00100397">
      <w:pPr>
        <w:spacing w:after="120"/>
      </w:pPr>
      <w:r>
        <w:rPr>
          <w:rFonts w:ascii="Times New Roman" w:hAnsi="Times New Roman"/>
          <w:b w:val="0"/>
          <w:i w:val="0"/>
          <w:sz w:val="24"/>
        </w:rPr>
        <w:t>All output files are stored in the business_analysis_outputs/ folder.</w:t>
      </w:r>
    </w:p>
    <w:p w14:paraId="00100398" w14:textId="00100399">
      <w:pPr>
        <w:spacing w:before="200" w:after="120"/>
        <w:jc w:val="left"/>
      </w:pPr>
      <w:r>
        <w:rPr>
          <w:rFonts w:ascii="Times New Roman" w:hAnsi="Times New Roman"/>
          <w:b/>
          <w:i w:val="0"/>
          <w:color w:val="1F2328"/>
          <w:sz w:val="26"/>
        </w:rPr>
        <w:t>A.1 Generated Charts</w:t>
      </w:r>
    </w:p>
    <w:p w14:paraId="0010039A" w14:textId="0010039B">
      <w:pPr>
        <w:pStyle w:val="ListBullet"/>
        <w:spacing w:after="80"/>
      </w:pPr>
      <w:r>
        <w:rPr>
          <w:rFonts w:ascii="Times New Roman" w:hAnsi="Times New Roman"/>
          <w:b w:val="0"/>
          <w:i w:val="0"/>
          <w:sz w:val="24"/>
        </w:rPr>
        <w:t>01_kpi_summary.png  —  Figure 1: Overall Delivery KPI Summary</w:t>
      </w:r>
    </w:p>
    <w:p w14:paraId="0010039C" w14:textId="0010039D">
      <w:pPr>
        <w:pStyle w:val="ListBullet"/>
        <w:spacing w:after="80"/>
      </w:pPr>
      <w:r>
        <w:rPr>
          <w:rFonts w:ascii="Times New Roman" w:hAnsi="Times New Roman"/>
          <w:b w:val="0"/>
          <w:i w:val="0"/>
          <w:sz w:val="24"/>
        </w:rPr>
        <w:t>02_delay_rate_by_mode.png  —  Figure 2: Delay Rate by Delivery Mode</w:t>
      </w:r>
    </w:p>
    <w:p w14:paraId="0010039E" w14:textId="0010039F">
      <w:pPr>
        <w:pStyle w:val="ListBullet"/>
        <w:spacing w:after="80"/>
      </w:pPr>
      <w:r>
        <w:rPr>
          <w:rFonts w:ascii="Times New Roman" w:hAnsi="Times New Roman"/>
          <w:b w:val="0"/>
          <w:i w:val="0"/>
          <w:sz w:val="24"/>
        </w:rPr>
        <w:t>03_delay_rate_by_weather.png  —  Figure 3: Delay Rate by Weather Condition</w:t>
      </w:r>
    </w:p>
    <w:p w14:paraId="001003A0" w14:textId="001003A1">
      <w:pPr>
        <w:pStyle w:val="ListBullet"/>
        <w:spacing w:after="80"/>
      </w:pPr>
      <w:r>
        <w:rPr>
          <w:rFonts w:ascii="Times New Roman" w:hAnsi="Times New Roman"/>
          <w:b w:val="0"/>
          <w:i w:val="0"/>
          <w:sz w:val="24"/>
        </w:rPr>
        <w:t>04_distance_vs_delivery_time.png  —  Figure 4: Distance Group vs Average Delivery Time</w:t>
      </w:r>
    </w:p>
    <w:p w14:paraId="001003A2" w14:textId="001003A3">
      <w:pPr>
        <w:pStyle w:val="ListBullet"/>
        <w:spacing w:after="80"/>
      </w:pPr>
      <w:r>
        <w:rPr>
          <w:rFonts w:ascii="Times New Roman" w:hAnsi="Times New Roman"/>
          <w:b w:val="0"/>
          <w:i w:val="0"/>
          <w:sz w:val="24"/>
        </w:rPr>
        <w:t>05_distance_vs_delivery_cost.png  —  Figure 5: Distance Group vs Average Delivery Cost</w:t>
      </w:r>
    </w:p>
    <w:p w14:paraId="001003A4" w14:textId="001003A5">
      <w:pPr>
        <w:pStyle w:val="ListBullet"/>
        <w:spacing w:after="80"/>
      </w:pPr>
      <w:r>
        <w:rPr>
          <w:rFonts w:ascii="Times New Roman" w:hAnsi="Times New Roman"/>
          <w:b w:val="0"/>
          <w:i w:val="0"/>
          <w:sz w:val="24"/>
        </w:rPr>
        <w:t>06_delivery_time_vs_rating.png  —  Figure 6: Delivery Time vs Customer Rating</w:t>
      </w:r>
    </w:p>
    <w:p w14:paraId="001003A6" w14:textId="001003A7">
      <w:pPr>
        <w:pStyle w:val="ListBullet"/>
        <w:spacing w:after="80"/>
      </w:pPr>
      <w:r>
        <w:rPr>
          <w:rFonts w:ascii="Times New Roman" w:hAnsi="Times New Roman"/>
          <w:b w:val="0"/>
          <w:i w:val="0"/>
          <w:sz w:val="24"/>
        </w:rPr>
        <w:t>07_delivery_status_distribution.png  —  Figure 7: Delivery Status Distribution</w:t>
      </w:r>
    </w:p>
    <w:p w14:paraId="001003A8" w14:textId="001003A9">
      <w:pPr>
        <w:pStyle w:val="ListBullet"/>
        <w:spacing w:after="80"/>
      </w:pPr>
      <w:r>
        <w:rPr>
          <w:rFonts w:ascii="Times New Roman" w:hAnsi="Times New Roman"/>
          <w:b w:val="0"/>
          <w:i w:val="0"/>
          <w:sz w:val="24"/>
        </w:rPr>
        <w:t>08_partner_delay_rate.png  —  Figure 8: Delay Rate by Delivery Partner</w:t>
      </w:r>
    </w:p>
    <w:p w14:paraId="001003AA" w14:textId="001003AB">
      <w:pPr>
        <w:pStyle w:val="ListBullet"/>
        <w:spacing w:after="80"/>
      </w:pPr>
      <w:r>
        <w:rPr>
          <w:rFonts w:ascii="Times New Roman" w:hAnsi="Times New Roman"/>
          <w:b w:val="0"/>
          <w:i w:val="0"/>
          <w:sz w:val="24"/>
        </w:rPr>
        <w:t>09_region_delay_rate.png  —  Figure 9: Delay Rate by Region</w:t>
      </w:r>
    </w:p>
    <w:p w14:paraId="001003AC" w14:textId="001003AD">
      <w:pPr>
        <w:spacing w:before="200" w:after="120"/>
        <w:jc w:val="left"/>
      </w:pPr>
      <w:r>
        <w:rPr>
          <w:rFonts w:ascii="Times New Roman" w:hAnsi="Times New Roman"/>
          <w:b/>
          <w:i w:val="0"/>
          <w:color w:val="1F2328"/>
          <w:sz w:val="26"/>
        </w:rPr>
        <w:t>A.2 Analysis Result Files</w:t>
      </w:r>
    </w:p>
    <w:p w14:paraId="001003AE" w14:textId="001003AF">
      <w:pPr>
        <w:pStyle w:val="ListBullet"/>
        <w:spacing w:after="80"/>
      </w:pPr>
      <w:r>
        <w:rPr>
          <w:rFonts w:ascii="Times New Roman" w:hAnsi="Times New Roman"/>
          <w:b w:val="0"/>
          <w:i w:val="0"/>
          <w:sz w:val="24"/>
        </w:rPr>
        <w:t>kpis.json  —  Overall KPI values</w:t>
      </w:r>
    </w:p>
    <w:p w14:paraId="001003B0" w14:textId="001003B1">
      <w:pPr>
        <w:pStyle w:val="ListBullet"/>
        <w:spacing w:after="80"/>
      </w:pPr>
      <w:r>
        <w:rPr>
          <w:rFonts w:ascii="Times New Roman" w:hAnsi="Times New Roman"/>
          <w:b w:val="0"/>
          <w:i w:val="0"/>
          <w:sz w:val="24"/>
        </w:rPr>
        <w:t>findings.json  —  Structured findings with metrics, interpretations, and cautions</w:t>
      </w:r>
    </w:p>
    <w:p w14:paraId="001003B2" w14:textId="001003B3">
      <w:pPr>
        <w:pStyle w:val="ListBullet"/>
        <w:spacing w:after="80"/>
      </w:pPr>
      <w:r>
        <w:rPr>
          <w:rFonts w:ascii="Times New Roman" w:hAnsi="Times New Roman"/>
          <w:b w:val="0"/>
          <w:i w:val="0"/>
          <w:sz w:val="24"/>
        </w:rPr>
        <w:t>mode_analysis.csv  —  Delay and time metrics by delivery mode</w:t>
      </w:r>
    </w:p>
    <w:p w14:paraId="001003B4" w14:textId="001003B5">
      <w:pPr>
        <w:pStyle w:val="ListBullet"/>
        <w:spacing w:after="80"/>
      </w:pPr>
      <w:r>
        <w:rPr>
          <w:rFonts w:ascii="Times New Roman" w:hAnsi="Times New Roman"/>
          <w:b w:val="0"/>
          <w:i w:val="0"/>
          <w:sz w:val="24"/>
        </w:rPr>
        <w:t>weather_analysis.csv  —  Delay and time metrics by weather condition</w:t>
      </w:r>
    </w:p>
    <w:p w14:paraId="001003B6" w14:textId="001003B7">
      <w:pPr>
        <w:pStyle w:val="ListBullet"/>
        <w:spacing w:after="80"/>
      </w:pPr>
      <w:r>
        <w:rPr>
          <w:rFonts w:ascii="Times New Roman" w:hAnsi="Times New Roman"/>
          <w:b w:val="0"/>
          <w:i w:val="0"/>
          <w:sz w:val="24"/>
        </w:rPr>
        <w:t>distance_analysis.csv  —  Delay, time, and cost metrics by distance band</w:t>
      </w:r>
    </w:p>
    <w:p w14:paraId="001003B8" w14:textId="001003B9">
      <w:pPr>
        <w:pStyle w:val="ListBullet"/>
        <w:spacing w:after="80"/>
      </w:pPr>
      <w:r>
        <w:rPr>
          <w:rFonts w:ascii="Times New Roman" w:hAnsi="Times New Roman"/>
          <w:b w:val="0"/>
          <w:i w:val="0"/>
          <w:sz w:val="24"/>
        </w:rPr>
        <w:t>rating_analysis.csv  —  Delivery time, cost, and delay rate by customer rating</w:t>
      </w:r>
    </w:p>
    <w:p w14:paraId="001003BA" w14:textId="001003BB">
      <w:pPr>
        <w:pStyle w:val="ListBullet"/>
        <w:spacing w:after="80"/>
      </w:pPr>
      <w:r>
        <w:rPr>
          <w:rFonts w:ascii="Times New Roman" w:hAnsi="Times New Roman"/>
          <w:b w:val="0"/>
          <w:i w:val="0"/>
          <w:sz w:val="24"/>
        </w:rPr>
        <w:t>partner_analysis.csv  —  Delay rate and average rating by delivery partner</w:t>
      </w:r>
    </w:p>
    <w:p w14:paraId="001003BC" w14:textId="001003BD">
      <w:pPr>
        <w:pStyle w:val="ListBullet"/>
        <w:spacing w:after="80"/>
      </w:pPr>
      <w:r>
        <w:rPr>
          <w:rFonts w:ascii="Times New Roman" w:hAnsi="Times New Roman"/>
          <w:b w:val="0"/>
          <w:i w:val="0"/>
          <w:sz w:val="24"/>
        </w:rPr>
        <w:t>region_analysis.csv  —  Delay rate and average rating by region</w:t>
      </w:r>
    </w:p>
    <w:p w14:paraId="001003BE" w14:textId="001003BF">
      <w:pPr>
        <w:spacing w:before="200" w:after="120"/>
        <w:jc w:val="left"/>
      </w:pPr>
      <w:r>
        <w:rPr>
          <w:rFonts w:ascii="Times New Roman" w:hAnsi="Times New Roman"/>
          <w:b/>
          <w:i w:val="0"/>
          <w:color w:val="1F2328"/>
          <w:sz w:val="26"/>
        </w:rPr>
        <w:t>A.3 Project Scripts</w:t>
      </w:r>
    </w:p>
    <w:p w14:paraId="001003C0" w14:textId="001003C1">
      <w:pPr>
        <w:pStyle w:val="ListBullet"/>
        <w:spacing w:after="80"/>
      </w:pPr>
      <w:r>
        <w:rPr>
          <w:rFonts w:ascii="Times New Roman" w:hAnsi="Times New Roman"/>
          <w:b w:val="0"/>
          <w:i w:val="0"/>
          <w:sz w:val="24"/>
        </w:rPr>
        <w:t>final_project.py  —  Complete analysis workflow (single runnable script)</w:t>
      </w:r>
    </w:p>
    <w:p w14:paraId="001003C2" w14:textId="001003C3">
      <w:pPr>
        <w:pStyle w:val="ListBullet"/>
        <w:spacing w:after="80"/>
      </w:pPr>
      <w:r>
        <w:rPr>
          <w:rFonts w:ascii="Times New Roman" w:hAnsi="Times New Roman"/>
          <w:b w:val="0"/>
          <w:i w:val="0"/>
          <w:sz w:val="24"/>
        </w:rPr>
        <w:t>requirements.txt  —  Required Python packages</w:t>
      </w:r>
    </w:p>
    <w:p w14:paraId="001003C4" w14:textId="001003C5">
      <w:pPr>
        <w:pStyle w:val="ListBullet"/>
        <w:spacing w:after="80"/>
      </w:pPr>
      <w:r>
        <w:rPr>
          <w:rFonts w:ascii="Times New Roman" w:hAnsi="Times New Roman"/>
          <w:b w:val="0"/>
          <w:i w:val="0"/>
          <w:sz w:val="24"/>
        </w:rPr>
        <w:t>README.md  —  Project documentation for GitHub</w:t>
      </w:r>
    </w:p>
    <w:p w14:paraId="001003C6" w14:textId="001003C7">
      <w:pPr>
        <w:pStyle w:val="ListBullet"/>
        <w:spacing w:after="80"/>
      </w:pPr>
      <w:r>
        <w:rPr>
          <w:rFonts w:ascii="Times New Roman" w:hAnsi="Times New Roman"/>
          <w:b w:val="0"/>
          <w:i w:val="0"/>
          <w:sz w:val="24"/>
        </w:rPr>
        <w:t>process_logistics.py  —  Original data-cleaning script</w:t>
      </w:r>
    </w:p>
    <w:p w14:paraId="001003C8" w14:textId="001003C9">
      <w:pPr>
        <w:pStyle w:val="ListBullet"/>
        <w:spacing w:after="80"/>
      </w:pPr>
      <w:r>
        <w:rPr>
          <w:rFonts w:ascii="Times New Roman" w:hAnsi="Times New Roman"/>
          <w:b w:val="0"/>
          <w:i w:val="0"/>
          <w:sz w:val="24"/>
        </w:rPr>
        <w:t>eda_logistics.py  —  Original EDA script</w:t>
      </w:r>
    </w:p>
    <w:p w14:paraId="001003CA" w14:textId="001003CB">
      <w:pPr>
        <w:pStyle w:val="ListBullet"/>
        <w:spacing w:after="80"/>
      </w:pPr>
      <w:r>
        <w:rPr>
          <w:rFonts w:ascii="Times New Roman" w:hAnsi="Times New Roman"/>
          <w:b w:val="0"/>
          <w:i w:val="0"/>
          <w:sz w:val="24"/>
        </w:rPr>
        <w:t>eda_report.py  —  Original data-inspection script</w:t>
      </w:r>
    </w:p>
    <w:sectPr w:rsidRPr="0006063C" w:rsidR="00FC693F"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3CC" w14:textId="001003CD">
    <w:pPr>
      <w:pStyle w:val="Footer"/>
      <w:jc w:val="center"/>
    </w:pPr>
    <w:r>
      <w:rPr>
        <w:rFonts w:ascii="Times New Roman" w:hAnsi="Times New Roman"/>
        <w:b w:val="0"/>
        <w:i w:val="0"/>
        <w:color w:val="57606A"/>
        <w:sz w:val="20"/>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2026-09-22T17:24:26Z</vt:lpwstr>
  </op:property>
</op:Properties>
</file>