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1. Comment déclare-t-on un tableau de 3 chaînes, chaque chaîne pouvant contenir jusqu’à 20 caractères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A.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char tab[3][20];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tab[20];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tab[20][3];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tab[] = {"chaine1", "chaine2", "chaine3"};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2. Comment accéder au deuxième caractère de la troisième chaîne dans char tab[3][20];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A. tab[3][2]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B. tab[2][1]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C. tab[1][2]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D. tab[2][3]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3. Comment copier la chaîne "World" dans la deuxième chaîne d’un tableau char tab[3][20];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A. tab[2] = "World";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B. strncpy(tab[2], "World");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C. tab[1] = "World";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D. strcpy(tab[1], "World"); 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D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4. Comment accéder au premier caractère de la deuxième chaîne dans char tab[3][20];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A. tab[2][0]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B. tab[1][0]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C. tab[0][1]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D. tab[0][0]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5. Comment initialiser un tableau de 3 chaînes vides (taille 20)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char tab[3][20] = {{0}};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B. char tab[3][20] = {""};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tab[3][20] = {"" , "" , ""};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tab[3][20] = {NULL};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