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Research - Architecture, Interopérabilité et Bonnes Pratiques pour un Dossier d'Anesthésie Hybride (Présentiel &amp; Télémédecine)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L'anesthésie-réanimation contemporaine traverse une mutation paradigmatique. Historiquement confinée à la saisie manuelle sur des formulaires papier ou à des systèmes d'information en silo au sein du bloc opératoire, la discipline exige désormais une continuité numérique absolue. Les pressions économiques liées aux soins basés sur la valeur (Value-Based Care) et la nécessité de modéliser les dépenses de santé via des systèmes de mesure tels que le TDABC (Time-Driven Activity-Based Costing) imposent une capture exhaustive et précise des processus cliniques et des ressources consommées.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Parallèlement, la démocratisation des réseaux à haut débit a catalysé l'émergence de la télémédecine, déplaçant les frontières de l'expertise médicale au-delà des murs de l'hôpital.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développement d'un Dossier Médical d'Anesthésie (DMI Anesthésie) moderne, conçu comme un système d'information hybride, requiert une architecture logicielle capable de soutenir des flux de travail bidirectionnels. D'une part, il doit garantir une acquisition de données biomédicales en temps réel, à haute fréquence et sans latence au chevet du patient (présentiel en salle d'opération ou en Salle de Surveillance Post-Interventionnelle - SSPI).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D'autre part, il doit offrir une interface décentralisée, hautement sécurisée et interopérable pour les téléconsultations pré-anesthésiques, la télé-expertise peropératoire et la télésurveillance postopératoire.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rapport d'expertise détaille de manière exhaustive les fondations architecturales, les cadres d'interopérabilité (notamment les profils IHE et le standard HL7 FHIR), les méthodologies de développement logiciel structurées, ainsi que les paradigmes de sécurité intrinsèque nécessaires à la réalisation de ce DMI hybride. L'analyse explore également les frontières de l'innovation en décryptant l'intégration des agents d'intelligence artificielle via le protocole MCP (Model Context Protocol), redéfinissant ainsi l'assistance cognitive de l'anesthésiste.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Méthodologie de Conception et Modélisation des Processus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complexité inhérente aux flux de travail cliniques en anesthésie rend les approches de développement logiciel traditionnelles obsolètes et potentiellement dangereuses. Des échecs majeurs dans le déploiement de systèmes automatisés en dehors du secteur de la santé (tels que les défaillances des systèmes de pilotage aéronautique ou automobile) rappellent que l'inadéquation entre l'interface technologique et le processus de travail humain peut conduire à des événements indésirables catastrophiques.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conception du DMI Anesthésie exige donc une modélisation rigoureuse des processus métiers en amont de toute ligne de code.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Modélisation des Parcours de Soins en Anesthésie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parcours du patient en anesthésie se segmente en trois phases critiques : la phase préopératoire (évaluation des comorbidités, anticipation des difficultés d'intubation, recueil du consentement), la phase peropératoire (induction, maintien de l'homéostasie, réveil) et la phase postopératoire (gestion analgésique, transfert en SSPI ou aux soins intensifs).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modélisation de ces parcours de soins reposait historiquement sur des approches manuelles chronophages et biaisées par l'interprétation de l'analyste.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Les standards modernes recommandent l'utilisation de la notation BPMN (Business Process Modeling Notation) ou des diagrammes d'activités UML pour cartographier les séquences d'événements, les points de décision et les interactions entre les systèmes.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Plus récemment, l'intégration de techniques de </w:t>
      </w:r>
      <w:r w:rsidDel="00000000" w:rsidR="00000000" w:rsidRPr="00000000">
        <w:rPr>
          <w:rFonts w:ascii="Google Sans" w:cs="Google Sans" w:eastAsia="Google Sans" w:hAnsi="Google Sans"/>
          <w:i w:val="1"/>
          <w:iCs w:val="1"/>
          <w:color w:val="1f1f1f"/>
          <w:rtl w:val="0"/>
        </w:rPr>
        <w:t xml:space="preserve">Process Mining</w:t>
      </w:r>
      <w:r w:rsidDel="00000000" w:rsidR="00000000" w:rsidRPr="00000000">
        <w:rPr>
          <w:rFonts w:ascii="Google Sans" w:cs="Google Sans" w:eastAsia="Google Sans" w:hAnsi="Google Sans"/>
          <w:color w:val="1f1f1f"/>
          <w:rtl w:val="0"/>
        </w:rPr>
        <w:t xml:space="preserve"> permet de générer automatiquement des modèles de flux de travail en extrayant les journaux d'événements des systèmes d'information hospitaliers existants, révélant ainsi les goulots d'étranglement réels et les déviations par rapport aux protocoles établis.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Cette étape de modélisation est fondamentale car elle prépare le terrain pour l'automatisation via la RPA (Robotic Process Automation) et l'intégration fluide de l'intelligence artificielle.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La Méthodologie BMad : "Spec-Driven Development" pour la Santé</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traduire cette modélisation clinique en architecture logicielle sans perte de contexte, la méthodologie BMad (Behavioral Modeling and Analysis for Digital Interactions / Build More Architect Dreams) s'impose comme un cadre de référence.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Contrairement au développement assisté par IA non structuré (souvent qualifié péjorativement de "vibe coding"), BMad instaure un processus de "Spec-Driven Development" (SDD).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BMad déploie un écosystème d'agents d'IA spécialisés (Analyste Métier, Architecte, Chef de Projet Scrum) qui collaborent de manière itérative avec les experts du domaine médical.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Ce processus se déroule en plusieurs phases orchestrées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Ingénierie du Contexte (Context Engineering) :</w:t>
      </w:r>
      <w:r w:rsidDel="00000000" w:rsidR="00000000" w:rsidRPr="00000000">
        <w:rPr>
          <w:rFonts w:ascii="Google Sans" w:cs="Google Sans" w:eastAsia="Google Sans" w:hAnsi="Google Sans"/>
          <w:color w:val="1f1f1f"/>
          <w:rtl w:val="0"/>
        </w:rPr>
        <w:t xml:space="preserve"> Les interactions complexes, multidimensionnelles et dynamiques des cliniciens sont capturées pour éviter la dérive contextuelle.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Les agents traduisent les protocoles d'anesthésie en un document de spécifications techniques (PRD - Product Requirements Document) ultra-détaillé.</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Décomposition Structurée :</w:t>
      </w:r>
      <w:r w:rsidDel="00000000" w:rsidR="00000000" w:rsidRPr="00000000">
        <w:rPr>
          <w:rFonts w:ascii="Google Sans" w:cs="Google Sans" w:eastAsia="Google Sans" w:hAnsi="Google Sans"/>
          <w:color w:val="1f1f1f"/>
          <w:rtl w:val="0"/>
        </w:rPr>
        <w:t xml:space="preserve"> L'agent Scrum Master fragmente l'architecture globale en </w:t>
      </w:r>
      <w:r w:rsidDel="00000000" w:rsidR="00000000" w:rsidRPr="00000000">
        <w:rPr>
          <w:rFonts w:ascii="Google Sans" w:cs="Google Sans" w:eastAsia="Google Sans" w:hAnsi="Google Sans"/>
          <w:i w:val="1"/>
          <w:iCs w:val="1"/>
          <w:color w:val="1f1f1f"/>
          <w:rtl w:val="0"/>
        </w:rPr>
        <w:t xml:space="preserve">Epics</w:t>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i w:val="1"/>
          <w:iCs w:val="1"/>
          <w:color w:val="1f1f1f"/>
          <w:rtl w:val="0"/>
        </w:rPr>
        <w:t xml:space="preserve">User Stories</w:t>
      </w:r>
      <w:r w:rsidDel="00000000" w:rsidR="00000000" w:rsidRPr="00000000">
        <w:rPr>
          <w:rFonts w:ascii="Google Sans" w:cs="Google Sans" w:eastAsia="Google Sans" w:hAnsi="Google Sans"/>
          <w:color w:val="1f1f1f"/>
          <w:rtl w:val="0"/>
        </w:rPr>
        <w:t xml:space="preserve"> actionnables.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Par exemple, la fonctionnalité "Gestion des alarmes hémodynamiques" n'est pas codée d'un bloc, mais divisée en tâches testables en isolation.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Adaptabilité au Domaine :</w:t>
      </w:r>
      <w:r w:rsidDel="00000000" w:rsidR="00000000" w:rsidRPr="00000000">
        <w:rPr>
          <w:rFonts w:ascii="Google Sans" w:cs="Google Sans" w:eastAsia="Google Sans" w:hAnsi="Google Sans"/>
          <w:color w:val="1f1f1f"/>
          <w:rtl w:val="0"/>
        </w:rPr>
        <w:t xml:space="preserve"> Le framework BMad est </w:t>
      </w:r>
      <w:r w:rsidDel="00000000" w:rsidR="00000000" w:rsidRPr="00000000">
        <w:rPr>
          <w:rFonts w:ascii="Google Sans" w:cs="Google Sans" w:eastAsia="Google Sans" w:hAnsi="Google Sans"/>
          <w:i w:val="1"/>
          <w:iCs w:val="1"/>
          <w:color w:val="1f1f1f"/>
          <w:rtl w:val="0"/>
        </w:rPr>
        <w:t xml:space="preserve">Scale-Domain-Adaptive</w:t>
      </w:r>
      <w:r w:rsidDel="00000000" w:rsidR="00000000" w:rsidRPr="00000000">
        <w:rPr>
          <w:rFonts w:ascii="Google Sans" w:cs="Google Sans" w:eastAsia="Google Sans" w:hAnsi="Google Sans"/>
          <w:color w:val="1f1f1f"/>
          <w:rtl w:val="0"/>
        </w:rPr>
        <w:t xml:space="preserve">, ajustant automatiquement la profondeur de sa planification selon qu'il s'agisse d'une simple interface de saisie de la douleur en SSPI ou d'un moteur complexe de prédiction de l'hypotension.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Il existe même des modules dédiés aux environnements réglementés (comme BMHealth) pour intégrer les contraintes de conformité dès la genèse du projet.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imposant la rédaction d'un "contrat" architectural (la constitution du projet) avant le développement, la méthode BMad éradique l'incohérence de planification et la perte de contexte, qui sont les écueils majeurs dans l'ingénierie logicielle médicale moderne.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Standards d'Interopérabilité et Intégration IHE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L'efficacité du DMI Anesthésie repose sur sa capacité à dialoguer de manière transparente avec un écosystème hétérogène de dispositifs médicaux et de systèmes d'information territoriaux. L'initiative IHE (Integrating the Healthcare Enterprise) fournit le cadre normatif essentiel, structuré en profils, pour orchestrer ces échanges.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Le système doit maîtriser l'intégration locale au point de soins (domaine PCD/DEV) et le partage documentaire étendu (domaine ITI) pour la télémédecine.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L'Intégration au Point de Soins : Le Domaine IHE PCD (Patient Care Devices)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domaine IHE PCD (désormais intégré au domaine Devices - DEV) a pour vocation de résoudre les problèmes d'interopérabilité impliquant au moins un dispositif médical réglementé au chevet du patient.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Au bloc opératoire et en SSPI, le patient est connecté à une multitude de dispositifs : moniteurs multiparamétriques, respirateurs d'anesthésie, pompes à perfusion et pousse-seringues.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capture manuelle de ces données sur la feuille d'anesthésie est obsolète, source d'erreurs de transcription et de perte d'informations contextuelles.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DMI Anesthésie doit implémenter plusieurs profils PCD critiques :</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profil DEC (Device Enterprise Communication) :</w:t>
      </w:r>
      <w:r w:rsidDel="00000000" w:rsidR="00000000" w:rsidRPr="00000000">
        <w:rPr>
          <w:rFonts w:ascii="Google Sans" w:cs="Google Sans" w:eastAsia="Google Sans" w:hAnsi="Google Sans"/>
          <w:color w:val="1f1f1f"/>
          <w:rtl w:val="0"/>
        </w:rPr>
        <w:t xml:space="preserve"> Il est le pilier de la transmission des constantes physiologiques (fréquence cardiaque, pression artérielle invasive et non invasive, capnographie, etc.) vers les systèmes d'entreprise.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Dans ce workflow, le moniteur agit comme un </w:t>
      </w:r>
      <w:r w:rsidDel="00000000" w:rsidR="00000000" w:rsidRPr="00000000">
        <w:rPr>
          <w:rFonts w:ascii="Google Sans" w:cs="Google Sans" w:eastAsia="Google Sans" w:hAnsi="Google Sans"/>
          <w:i w:val="1"/>
          <w:iCs w:val="1"/>
          <w:color w:val="1f1f1f"/>
          <w:rtl w:val="0"/>
        </w:rPr>
        <w:t xml:space="preserve">Device Observation Reporter</w:t>
      </w:r>
      <w:r w:rsidDel="00000000" w:rsidR="00000000" w:rsidRPr="00000000">
        <w:rPr>
          <w:rFonts w:ascii="Google Sans" w:cs="Google Sans" w:eastAsia="Google Sans" w:hAnsi="Google Sans"/>
          <w:color w:val="1f1f1f"/>
          <w:rtl w:val="0"/>
        </w:rPr>
        <w:t xml:space="preserve"> (DOR) et le DMI comme un </w:t>
      </w:r>
      <w:r w:rsidDel="00000000" w:rsidR="00000000" w:rsidRPr="00000000">
        <w:rPr>
          <w:rFonts w:ascii="Google Sans" w:cs="Google Sans" w:eastAsia="Google Sans" w:hAnsi="Google Sans"/>
          <w:i w:val="1"/>
          <w:iCs w:val="1"/>
          <w:color w:val="1f1f1f"/>
          <w:rtl w:val="0"/>
        </w:rPr>
        <w:t xml:space="preserve">Device Observation Consumer</w:t>
      </w:r>
      <w:r w:rsidDel="00000000" w:rsidR="00000000" w:rsidRPr="00000000">
        <w:rPr>
          <w:rFonts w:ascii="Google Sans" w:cs="Google Sans" w:eastAsia="Google Sans" w:hAnsi="Google Sans"/>
          <w:color w:val="1f1f1f"/>
          <w:rtl w:val="0"/>
        </w:rPr>
        <w:t xml:space="preserve"> (DOC).</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Le profil repose sur la transaction </w:t>
      </w:r>
      <w:r w:rsidDel="00000000" w:rsidR="00000000" w:rsidRPr="00000000">
        <w:rPr>
          <w:rFonts w:ascii="Google Sans" w:cs="Google Sans" w:eastAsia="Google Sans" w:hAnsi="Google Sans"/>
          <w:b w:val="1"/>
          <w:bCs w:val="1"/>
          <w:color w:val="1f1f1f"/>
          <w:rtl w:val="0"/>
        </w:rPr>
        <w:t xml:space="preserve">PCD-01</w:t>
      </w:r>
      <w:r w:rsidDel="00000000" w:rsidR="00000000" w:rsidRPr="00000000">
        <w:rPr>
          <w:rFonts w:ascii="Google Sans" w:cs="Google Sans" w:eastAsia="Google Sans" w:hAnsi="Google Sans"/>
          <w:color w:val="1f1f1f"/>
          <w:rtl w:val="0"/>
        </w:rPr>
        <w:t xml:space="preserve"> (Communicate PCD Data) qui utilise des messages HL7 v2.6 non sollicités (ORU^R01).</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Ces messages sont structurés en segments OBX qui encapsulent les observations en utilisant la nomenclature standardisée ISO/IEEE 11073-10101 et les unités UCUM, garantissant une sémantique stricte.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Pour éviter la surcharge de données, la transaction </w:t>
      </w:r>
      <w:r w:rsidDel="00000000" w:rsidR="00000000" w:rsidRPr="00000000">
        <w:rPr>
          <w:rFonts w:ascii="Google Sans" w:cs="Google Sans" w:eastAsia="Google Sans" w:hAnsi="Google Sans"/>
          <w:b w:val="1"/>
          <w:bCs w:val="1"/>
          <w:color w:val="1f1f1f"/>
          <w:rtl w:val="0"/>
        </w:rPr>
        <w:t xml:space="preserve">PCD-02</w:t>
      </w:r>
      <w:r w:rsidDel="00000000" w:rsidR="00000000" w:rsidRPr="00000000">
        <w:rPr>
          <w:rFonts w:ascii="Google Sans" w:cs="Google Sans" w:eastAsia="Google Sans" w:hAnsi="Google Sans"/>
          <w:color w:val="1f1f1f"/>
          <w:rtl w:val="0"/>
        </w:rPr>
        <w:t xml:space="preserve"> (Subscribe to PCD Data) permet au DMI (via un </w:t>
      </w:r>
      <w:r w:rsidDel="00000000" w:rsidR="00000000" w:rsidRPr="00000000">
        <w:rPr>
          <w:rFonts w:ascii="Google Sans" w:cs="Google Sans" w:eastAsia="Google Sans" w:hAnsi="Google Sans"/>
          <w:i w:val="1"/>
          <w:iCs w:val="1"/>
          <w:color w:val="1f1f1f"/>
          <w:rtl w:val="0"/>
        </w:rPr>
        <w:t xml:space="preserve">Device Observation Filter</w:t>
      </w:r>
      <w:r w:rsidDel="00000000" w:rsidR="00000000" w:rsidRPr="00000000">
        <w:rPr>
          <w:rFonts w:ascii="Google Sans" w:cs="Google Sans" w:eastAsia="Google Sans" w:hAnsi="Google Sans"/>
          <w:color w:val="1f1f1f"/>
          <w:rtl w:val="0"/>
        </w:rPr>
        <w:t xml:space="preserve"> - DOF) de s'abonner uniquement aux flux pertinents pour un patient donné.</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profil PIV (Point-of-care Infusion Verification) :</w:t>
      </w:r>
      <w:r w:rsidDel="00000000" w:rsidR="00000000" w:rsidRPr="00000000">
        <w:rPr>
          <w:rFonts w:ascii="Google Sans" w:cs="Google Sans" w:eastAsia="Google Sans" w:hAnsi="Google Sans"/>
          <w:color w:val="1f1f1f"/>
          <w:rtl w:val="0"/>
        </w:rPr>
        <w:t xml:space="preserve"> L'administration d'agents anesthésiques (comme le Propofol ou le Rémifentanil) via des pompes à perfusion intelligentes (Smart Pumps) nécessite une intégration bidirectionnelle.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Le profil PIV permet au DMI (en tant que </w:t>
      </w:r>
      <w:r w:rsidDel="00000000" w:rsidR="00000000" w:rsidRPr="00000000">
        <w:rPr>
          <w:rFonts w:ascii="Google Sans" w:cs="Google Sans" w:eastAsia="Google Sans" w:hAnsi="Google Sans"/>
          <w:i w:val="1"/>
          <w:iCs w:val="1"/>
          <w:color w:val="1f1f1f"/>
          <w:rtl w:val="0"/>
        </w:rPr>
        <w:t xml:space="preserve">Infusion Order Programmer</w:t>
      </w:r>
      <w:r w:rsidDel="00000000" w:rsidR="00000000" w:rsidRPr="00000000">
        <w:rPr>
          <w:rFonts w:ascii="Google Sans" w:cs="Google Sans" w:eastAsia="Google Sans" w:hAnsi="Google Sans"/>
          <w:color w:val="1f1f1f"/>
          <w:rtl w:val="0"/>
        </w:rPr>
        <w:t xml:space="preserve"> - IOP) d'envoyer électroniquement les paramètres de perfusion (dose, débit cible, volume) à la pompe via la transaction </w:t>
      </w:r>
      <w:r w:rsidDel="00000000" w:rsidR="00000000" w:rsidRPr="00000000">
        <w:rPr>
          <w:rFonts w:ascii="Google Sans" w:cs="Google Sans" w:eastAsia="Google Sans" w:hAnsi="Google Sans"/>
          <w:b w:val="1"/>
          <w:bCs w:val="1"/>
          <w:color w:val="1f1f1f"/>
          <w:rtl w:val="0"/>
        </w:rPr>
        <w:t xml:space="preserve">PCD-03</w:t>
      </w:r>
      <w:r w:rsidDel="00000000" w:rsidR="00000000" w:rsidRPr="00000000">
        <w:rPr>
          <w:rFonts w:ascii="Google Sans" w:cs="Google Sans" w:eastAsia="Google Sans" w:hAnsi="Google Sans"/>
          <w:color w:val="1f1f1f"/>
          <w:rtl w:val="0"/>
        </w:rPr>
        <w:t xml:space="preserve"> (Communicate Infusion Order).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Cela élimine les erreurs de saisie manuelle (keystroke errors) et active les bibliothèques de médicaments embarquées pour vérifier les limites de dosage.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Une fois la perfusion démarrée, les événements (changement de débit, bolus) sont remontés au DMI via la transaction </w:t>
      </w:r>
      <w:r w:rsidDel="00000000" w:rsidR="00000000" w:rsidRPr="00000000">
        <w:rPr>
          <w:rFonts w:ascii="Google Sans" w:cs="Google Sans" w:eastAsia="Google Sans" w:hAnsi="Google Sans"/>
          <w:b w:val="1"/>
          <w:bCs w:val="1"/>
          <w:color w:val="1f1f1f"/>
          <w:rtl w:val="0"/>
        </w:rPr>
        <w:t xml:space="preserve">PCD-10</w:t>
      </w:r>
      <w:r w:rsidDel="00000000" w:rsidR="00000000" w:rsidRPr="00000000">
        <w:rPr>
          <w:rFonts w:ascii="Google Sans" w:cs="Google Sans" w:eastAsia="Google Sans" w:hAnsi="Google Sans"/>
          <w:color w:val="1f1f1f"/>
          <w:rtl w:val="0"/>
        </w:rPr>
        <w:t xml:space="preserve"> (Communicate Infusion Event Data) du profil IPEC (Infusion Pump Event Communication) ou via le profil DEC.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profil ACM (Alert Communication Management) :</w:t>
      </w:r>
      <w:r w:rsidDel="00000000" w:rsidR="00000000" w:rsidRPr="00000000">
        <w:rPr>
          <w:rFonts w:ascii="Google Sans" w:cs="Google Sans" w:eastAsia="Google Sans" w:hAnsi="Google Sans"/>
          <w:color w:val="1f1f1f"/>
          <w:rtl w:val="0"/>
        </w:rPr>
        <w:t xml:space="preserve"> La gestion des alarmes est un enjeu critique de sécurité des patients.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Le profil ACM standardise le routage des alarmes physiologiques (bradycardie, désaturation) et techniques (batterie faible, déconnexion) depuis l'équipement (Alarm Reporter) vers le DMI ou les dispositifs mobiles de l'équipe d'anesthésie (Alarm Manager) via la transaction </w:t>
      </w:r>
      <w:r w:rsidDel="00000000" w:rsidR="00000000" w:rsidRPr="00000000">
        <w:rPr>
          <w:rFonts w:ascii="Google Sans" w:cs="Google Sans" w:eastAsia="Google Sans" w:hAnsi="Google Sans"/>
          <w:b w:val="1"/>
          <w:bCs w:val="1"/>
          <w:color w:val="1f1f1f"/>
          <w:rtl w:val="0"/>
        </w:rPr>
        <w:t xml:space="preserve">PCD-04</w:t>
      </w:r>
      <w:r w:rsidDel="00000000" w:rsidR="00000000" w:rsidRPr="00000000">
        <w:rPr>
          <w:rFonts w:ascii="Google Sans" w:cs="Google Sans" w:eastAsia="Google Sans" w:hAnsi="Google Sans"/>
          <w:color w:val="1f1f1f"/>
          <w:rtl w:val="0"/>
        </w:rPr>
        <w:t xml:space="preserve"> (Report Alarm).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Cela permet d'enrichir l'alarme avec le contexte du patient, réduisant ainsi la "fatigue des alarmes" générée par les dispositifs individuels.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Télémédecine et Partage Documentaire : Le Domaine IHE ITI (IT Infrastructure)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Lorsque le parcours d'anesthésie s'étend à la télémédecine (téléconsultation pré-anesthésique depuis un cabinet distant, télé-expertise inter-hospitalière), le DMI doit s'interfacer avec les plateformes régionales ou nationales d'échange de données de santé (Health Information Exchange - HIE). Le domaine IHE ITI fournit l'architecture de ce partage.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profil XCPD (Cross-Community Patient Discovery) :</w:t>
      </w:r>
      <w:r w:rsidDel="00000000" w:rsidR="00000000" w:rsidRPr="00000000">
        <w:rPr>
          <w:rFonts w:ascii="Google Sans" w:cs="Google Sans" w:eastAsia="Google Sans" w:hAnsi="Google Sans"/>
          <w:color w:val="1f1f1f"/>
          <w:rtl w:val="0"/>
        </w:rPr>
        <w:t xml:space="preserve"> Dans un réseau de soins territorial, l'identifiant d'un patient varie d'un hôpital à l'autre. Le profil XCPD permet de localiser les communautés détenant des données pertinentes pour un patient et de traduire les identifiants entre ces communautés.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 DMI (agissant via une </w:t>
      </w:r>
      <w:r w:rsidDel="00000000" w:rsidR="00000000" w:rsidRPr="00000000">
        <w:rPr>
          <w:rFonts w:ascii="Google Sans" w:cs="Google Sans" w:eastAsia="Google Sans" w:hAnsi="Google Sans"/>
          <w:i w:val="1"/>
          <w:iCs w:val="1"/>
          <w:color w:val="1f1f1f"/>
          <w:rtl w:val="0"/>
        </w:rPr>
        <w:t xml:space="preserve">Initiating Gateway</w:t>
      </w:r>
      <w:r w:rsidDel="00000000" w:rsidR="00000000" w:rsidRPr="00000000">
        <w:rPr>
          <w:rFonts w:ascii="Google Sans" w:cs="Google Sans" w:eastAsia="Google Sans" w:hAnsi="Google Sans"/>
          <w:color w:val="1f1f1f"/>
          <w:rtl w:val="0"/>
        </w:rPr>
        <w:t xml:space="preserve">) utilise la transaction </w:t>
      </w:r>
      <w:r w:rsidDel="00000000" w:rsidR="00000000" w:rsidRPr="00000000">
        <w:rPr>
          <w:rFonts w:ascii="Google Sans" w:cs="Google Sans" w:eastAsia="Google Sans" w:hAnsi="Google Sans"/>
          <w:b w:val="1"/>
          <w:bCs w:val="1"/>
          <w:color w:val="1f1f1f"/>
          <w:rtl w:val="0"/>
        </w:rPr>
        <w:t xml:space="preserve">ITI-55</w:t>
      </w:r>
      <w:r w:rsidDel="00000000" w:rsidR="00000000" w:rsidRPr="00000000">
        <w:rPr>
          <w:rFonts w:ascii="Google Sans" w:cs="Google Sans" w:eastAsia="Google Sans" w:hAnsi="Google Sans"/>
          <w:color w:val="1f1f1f"/>
          <w:rtl w:val="0"/>
        </w:rPr>
        <w:t xml:space="preserve"> (Cross Gateway Patient Discovery) pour interroger une </w:t>
      </w:r>
      <w:r w:rsidDel="00000000" w:rsidR="00000000" w:rsidRPr="00000000">
        <w:rPr>
          <w:rFonts w:ascii="Google Sans" w:cs="Google Sans" w:eastAsia="Google Sans" w:hAnsi="Google Sans"/>
          <w:i w:val="1"/>
          <w:iCs w:val="1"/>
          <w:color w:val="1f1f1f"/>
          <w:rtl w:val="0"/>
        </w:rPr>
        <w:t xml:space="preserve">Responding Gateway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 mécanisme est vital pour les cas d'usage tels que la prise en charge d'un patient frontalier, d'un vacancier, ou d'un patient transféré en urgence vitale, permettant de retrouver ses antécédents médicaux sans identifiant national unique.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 profil supporte des requêtes synchrones et asynchrones pour gérer les latences de réseaux étendus.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Les profils XCA (Cross-Community Access) et XDS.b (Cross-Enterprise Document Sharing) :</w:t>
      </w:r>
      <w:r w:rsidDel="00000000" w:rsidR="00000000" w:rsidRPr="00000000">
        <w:rPr>
          <w:rFonts w:ascii="Google Sans" w:cs="Google Sans" w:eastAsia="Google Sans" w:hAnsi="Google Sans"/>
          <w:color w:val="1f1f1f"/>
          <w:rtl w:val="0"/>
        </w:rPr>
        <w:t xml:space="preserve"> Une fois le patient identifié via XCPD, le profil XCA intervient pour interroger (Cross Gateway Query) et récupérer les documents (feuilles d'anesthésie précédentes, bilans cardiologiques, directives anticipées) depuis d'autres communautés.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Au niveau intra-communautaire (un groupement hospitalier), le profil XDS.b orchestre ce partage.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L'architecture XDS.b sépare intelligemment le Registre (qui stocke les métadonnées et indexe les documents via des requêtes comme </w:t>
      </w:r>
      <w:r w:rsidDel="00000000" w:rsidR="00000000" w:rsidRPr="00000000">
        <w:rPr>
          <w:rFonts w:ascii="Google Sans" w:cs="Google Sans" w:eastAsia="Google Sans" w:hAnsi="Google Sans"/>
          <w:i w:val="1"/>
          <w:iCs w:val="1"/>
          <w:color w:val="1f1f1f"/>
          <w:rtl w:val="0"/>
        </w:rPr>
        <w:t xml:space="preserve">Registry Stored Query</w:t>
      </w:r>
      <w:r w:rsidDel="00000000" w:rsidR="00000000" w:rsidRPr="00000000">
        <w:rPr>
          <w:rFonts w:ascii="Google Sans" w:cs="Google Sans" w:eastAsia="Google Sans" w:hAnsi="Google Sans"/>
          <w:color w:val="1f1f1f"/>
          <w:rtl w:val="0"/>
        </w:rPr>
        <w:t xml:space="preserve"> - ITI-18) du Répertoire (qui stocke le contenu binaire du document), assurant ainsi robustesse, sécurité et scalabilité.</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profil CT (Consistent Time) :</w:t>
      </w:r>
      <w:r w:rsidDel="00000000" w:rsidR="00000000" w:rsidRPr="00000000">
        <w:rPr>
          <w:rFonts w:ascii="Google Sans" w:cs="Google Sans" w:eastAsia="Google Sans" w:hAnsi="Google Sans"/>
          <w:color w:val="1f1f1f"/>
          <w:rtl w:val="0"/>
        </w:rPr>
        <w:t xml:space="preserve"> La feuille d'anesthésie est un document à haute valeur médico-légale.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Chaque acte (incision, injection de vasopresseur, intubation) doit être corrélé avec précision aux variations physiologiques. Le profil CT exige que tous les acteurs du système d'information se synchronisent sur une source de temps unique (Time Server) via le protocole NTP.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Cette synchronisation est une condition </w:t>
      </w:r>
      <w:r w:rsidDel="00000000" w:rsidR="00000000" w:rsidRPr="00000000">
        <w:rPr>
          <w:rFonts w:ascii="Google Sans" w:cs="Google Sans" w:eastAsia="Google Sans" w:hAnsi="Google Sans"/>
          <w:i w:val="1"/>
          <w:iCs w:val="1"/>
          <w:color w:val="1f1f1f"/>
          <w:rtl w:val="0"/>
        </w:rPr>
        <w:t xml:space="preserve">sine qua non</w:t>
      </w:r>
      <w:r w:rsidDel="00000000" w:rsidR="00000000" w:rsidRPr="00000000">
        <w:rPr>
          <w:rFonts w:ascii="Google Sans" w:cs="Google Sans" w:eastAsia="Google Sans" w:hAnsi="Google Sans"/>
          <w:color w:val="1f1f1f"/>
          <w:rtl w:val="0"/>
        </w:rPr>
        <w:t xml:space="preserve"> pour garantir l'intégrité des pistes d'audit (ATNA) et la résolution temporelle des événements cliniques à l'échelle de la milliseconde dans des environnements distribués.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Tableau 1 : Synthèse des Profils IHE Applicables au DMI Anesthésie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Domaine IHE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Profil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Acteurs Principaux (DMI)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Transaction Clé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 d'Usage Clinique Spécifique en Anesthésie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Device Obs. Consumer (DOC)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PCD-01 (Communicate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Remontée automatique de la PA, SpO2, EtCO2 depuis le moniteur multiparamétrique vers le DMI au bloc opératoire.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Infusion Order Programmer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PCD-03 (Communicate Order)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Transmission de la prescription cible (ex: Propofol AIVOC) du DMI vers le pousse-seringue intelligent.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Alarm Manager (AM)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PCD-04 (Report Alarm)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Routage intelligent d'une alerte de désaturation critique vers la tablette de l'anesthésiste superviseur en SSPI.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XCPD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Initiating Gateway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ITI-55 (Patient Discovery)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Recherche des antécédents d'un patient traumatisé sévère transféré depuis une région sanitaire voisine.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XDS.b / XCA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Consumer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ITI-18 / ITI-38 / ITI-43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Récupération du compte rendu de consultation pré-anesthésique et archivage de la feuille d'anesthésie finale.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 Client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(Protocole NTP)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Horodatage médico-légal strict, alignant l'heure de l'incision chirurgicale avec la courbe hémodynamique.</w:t>
            </w:r>
          </w:p>
        </w:tc>
      </w:tr>
    </w:tbl>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Stratégie de Transition : Cohabitation et Évolution vers HL7 FHIR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écosystèmes d'anesthésie actuels reposent massivement sur HL7 v2 (pour les messages PCD-01) et sur la norme CDA (Clinical Document Architecture, basée sur l'encombrant HL7 v3) pour l'échange de documents.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Le standard HL7 FHIR (Fast Healthcare Interoperability Resources) s'impose aujourd'hui comme la norme incontournable, offrant des API RESTful, une flexibilité syntaxique (JSON, XML) et une granularité fine des données de santé.</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La transition d'un DMI Anesthésie vers FHIR ne peut être brutale ; elle requiert une architecture de transition et de cohabitation.</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Architecture de Façade FHIR et Moteurs d'Intégration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remplacement instantané du parc de dispositifs biomédicaux générant du HL7 v2 est utopique. La stratégie optimale consiste à déployer une </w:t>
      </w:r>
      <w:r w:rsidDel="00000000" w:rsidR="00000000" w:rsidRPr="00000000">
        <w:rPr>
          <w:rFonts w:ascii="Google Sans" w:cs="Google Sans" w:eastAsia="Google Sans" w:hAnsi="Google Sans"/>
          <w:b w:val="1"/>
          <w:bCs w:val="1"/>
          <w:color w:val="1f1f1f"/>
          <w:rtl w:val="0"/>
        </w:rPr>
        <w:t xml:space="preserve">Façade FHIR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Ce modèle utilise un moteur d'intégration et de routage (tel que Mirth Connect, InterSystems HealthShare ou Edifecs) agissant comme un traducteur à la volée.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Le moteur intercepte les messages PCD-01 (HL7 v2.6) provenant du bloc opératoire, analyse les segments OBX, et les transforme (mappage) en ressources FHIR Observation et Device.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Ces ressources sont ensuite injectées dans un dépôt de données clinique centralisé (FHIR Repository).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Cette architecture permet au DMI de consommer des données via des API FHIR modernes tout en maintenant la compatibilité avec les moniteurs d'ancienne génération.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De IHE PCD à SDPi et "Devices on FHIR" (DoF)</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L'IHE et HL7 collaborent pour standardiser la représentation des données biomédicales en FHIR via l'initiative </w:t>
      </w:r>
      <w:r w:rsidDel="00000000" w:rsidR="00000000" w:rsidRPr="00000000">
        <w:rPr>
          <w:rFonts w:ascii="Google Sans" w:cs="Google Sans" w:eastAsia="Google Sans" w:hAnsi="Google Sans"/>
          <w:b w:val="1"/>
          <w:bCs w:val="1"/>
          <w:color w:val="1f1f1f"/>
          <w:rtl w:val="0"/>
        </w:rPr>
        <w:t xml:space="preserve">Devices on FHIR (DoF)</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DoF établit un mapping précis entre la sémantique de la norme ISO/IEEE 11073 et les ressources FHIR, surmontant les limites de HL7 v2 où les informations sur le patient et l'appareil étaient souvent tronquées ou difficiles à associer.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parallèle, le domaine IHE DEV (anciennement PCD) déploie le profil </w:t>
      </w:r>
      <w:r w:rsidDel="00000000" w:rsidR="00000000" w:rsidRPr="00000000">
        <w:rPr>
          <w:rFonts w:ascii="Google Sans" w:cs="Google Sans" w:eastAsia="Google Sans" w:hAnsi="Google Sans"/>
          <w:b w:val="1"/>
          <w:bCs w:val="1"/>
          <w:color w:val="1f1f1f"/>
          <w:rtl w:val="0"/>
        </w:rPr>
        <w:t xml:space="preserve">SDPi (Service-oriented Device Point-of-care Interoperability)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SDPi marque une rupture technologique en remplaçant l'architecture transactionnelle MLLP/SOAP de PCD par l'architecture IEEE 11073 SDC (Service-oriented Device Connectivity) basée sur les services web et le concept de </w:t>
      </w:r>
      <w:r w:rsidDel="00000000" w:rsidR="00000000" w:rsidRPr="00000000">
        <w:rPr>
          <w:rFonts w:ascii="Google Sans" w:cs="Google Sans" w:eastAsia="Google Sans" w:hAnsi="Google Sans"/>
          <w:i w:val="1"/>
          <w:iCs w:val="1"/>
          <w:color w:val="1f1f1f"/>
          <w:rtl w:val="0"/>
        </w:rPr>
        <w:t xml:space="preserve">Plug-and-Trust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L'architecture SDPi intègre nativement des composants </w:t>
      </w:r>
      <w:r w:rsidDel="00000000" w:rsidR="00000000" w:rsidRPr="00000000">
        <w:rPr>
          <w:rFonts w:ascii="Google Sans" w:cs="Google Sans" w:eastAsia="Google Sans" w:hAnsi="Google Sans"/>
          <w:i w:val="1"/>
          <w:iCs w:val="1"/>
          <w:color w:val="1f1f1f"/>
          <w:rtl w:val="0"/>
        </w:rPr>
        <w:t xml:space="preserve">SOMDS FHIR Gateway</w:t>
      </w:r>
      <w:r w:rsidDel="00000000" w:rsidR="00000000" w:rsidRPr="00000000">
        <w:rPr>
          <w:rFonts w:ascii="Google Sans" w:cs="Google Sans" w:eastAsia="Google Sans" w:hAnsi="Google Sans"/>
          <w:color w:val="1f1f1f"/>
          <w:rtl w:val="0"/>
        </w:rPr>
        <w:t xml:space="preserve"> (Service-Oriented Medical Device Architecture), agissant comme des adaptateurs pour exposer la télémétrie peropératoire sous forme de ressources FHIR directement consommables par les applications de télémédecine et d'analyse.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 Cohabitation Documentaire : MHD et mXDE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le volet documentaire, le passage du CDA à FHIR nécessite de surmonter la rigidité sémantique de HL7 v3.</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L'IHE propose des profils de transition pour les environnements mobiles et web :</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MHD (Mobile access to Health Documents) :</w:t>
      </w:r>
      <w:r w:rsidDel="00000000" w:rsidR="00000000" w:rsidRPr="00000000">
        <w:rPr>
          <w:rFonts w:ascii="Google Sans" w:cs="Google Sans" w:eastAsia="Google Sans" w:hAnsi="Google Sans"/>
          <w:color w:val="1f1f1f"/>
          <w:rtl w:val="0"/>
        </w:rPr>
        <w:t xml:space="preserve"> Conçu pour les interfaces à ressources limitées (tablettes, terminaux web en télémédecine), MHD offre une API RESTful (souvent appelée "XDS on FHIR") pour publier et découvrir des documents médicaux.</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Il encapsule la complexité de l'infrastructure XDS.b sous-jacente (éliminant la nécessité de gérer SOAP, ebRIM et MTOM/XOP sur le client), permettant à une application mobile en SSPI d'interroger simplement la feuille de réveil d'un patient.</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mXDE (Mobile Cross-Enterprise Document Data Element Extraction) :</w:t>
      </w:r>
      <w:r w:rsidDel="00000000" w:rsidR="00000000" w:rsidRPr="00000000">
        <w:rPr>
          <w:rFonts w:ascii="Google Sans" w:cs="Google Sans" w:eastAsia="Google Sans" w:hAnsi="Google Sans"/>
          <w:color w:val="1f1f1f"/>
          <w:rtl w:val="0"/>
        </w:rPr>
        <w:t xml:space="preserve"> Ce profil révolutionne l'accès aux données en permettant d'extraire des éléments cliniques spécifiques (par exemple, la dernière valeur d'hémoglobine ou une allergie) depuis un document structuré (comme un C-CDA) tout en conservant la traçabilité (ressource Provenance de FHIR) vers le document original.</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Dans une téléconsultation, l'anesthésiste peut requêter uniquement les données pertinentes via l'API FHIR, sans avoir à télécharger et analyser visuellement l'intégralité du dossier patient historique.</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Tableau 2 : Évolution des Standards d'Interopérabilité</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Fonctionnalité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Legacy (Actuel)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Cible (Futur proche)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Mécanisme de Transition / Façade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Transmission de Constantes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HL7 v2.6 (IHE PCD-01)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IEEE 11073 SDC (IHE SDPi)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Moteur d'intégration transformant les OBX en ressources FHIR Observation.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Recherche Documentaire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XDS.b (SOAP, ebRIM)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RESTful (JSON)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Passerelle XDS to FHIR implémentant le profil IHE MHD.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 du Document Clinique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HL7 v3 CDA / C-CDA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FHIR Documents (Composition)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granulaire des données via le profil IHE mXDE.</w:t>
            </w:r>
          </w:p>
        </w:tc>
      </w:tr>
    </w:tbl>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Règles de Bonnes Pratiques de Développement et Architecture Logicielle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DMI Anesthésie hybride est par nature une application critique devant concilier des contraintes de haute disponibilité temporelle au bloc opératoire et d'accessibilité ubiquitaire pour la télémédecine. La conception de l'architecture logicielle doit obéir aux paradigmes modernes de l'ingénierie infonuagique (Cloud-Native).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Architecture Microservices et Conteneurisation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architectures monolithiques, où le traitement des alarmes, l'interface utilisateur et la gestion de la base de données sont couplés, présentent un risque de point de défaillance unique inacceptable en anesthésie. L'architecture cible doit être orientée </w:t>
      </w:r>
      <w:r w:rsidDel="00000000" w:rsidR="00000000" w:rsidRPr="00000000">
        <w:rPr>
          <w:rFonts w:ascii="Google Sans" w:cs="Google Sans" w:eastAsia="Google Sans" w:hAnsi="Google Sans"/>
          <w:b w:val="1"/>
          <w:bCs w:val="1"/>
          <w:color w:val="1f1f1f"/>
          <w:rtl w:val="0"/>
        </w:rPr>
        <w:t xml:space="preserve">microservices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Chaque domaine fonctionnel (Gestion des Identités, Service de Télémétrie, Module de Prescription, Service de Téléconsultation WebRTC) est encapsulé dans son propre service autonome. Ces microservices sont conteneurisés en utilisant des technologies standardisées (ex: Docker) et orchestrés par des plateformes comme Kubernetes.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ségrégation garantit une </w:t>
      </w:r>
      <w:r w:rsidDel="00000000" w:rsidR="00000000" w:rsidRPr="00000000">
        <w:rPr>
          <w:rFonts w:ascii="Google Sans" w:cs="Google Sans" w:eastAsia="Google Sans" w:hAnsi="Google Sans"/>
          <w:b w:val="1"/>
          <w:bCs w:val="1"/>
          <w:color w:val="1f1f1f"/>
          <w:rtl w:val="0"/>
        </w:rPr>
        <w:t xml:space="preserve">scalabilité horizontale élastique</w:t>
      </w:r>
      <w:r w:rsidDel="00000000" w:rsidR="00000000" w:rsidRPr="00000000">
        <w:rPr>
          <w:rFonts w:ascii="Google Sans" w:cs="Google Sans" w:eastAsia="Google Sans" w:hAnsi="Google Sans"/>
          <w:color w:val="1f1f1f"/>
          <w:rtl w:val="0"/>
        </w:rPr>
        <w:t xml:space="preserve"> et une </w:t>
      </w:r>
      <w:r w:rsidDel="00000000" w:rsidR="00000000" w:rsidRPr="00000000">
        <w:rPr>
          <w:rFonts w:ascii="Google Sans" w:cs="Google Sans" w:eastAsia="Google Sans" w:hAnsi="Google Sans"/>
          <w:b w:val="1"/>
          <w:bCs w:val="1"/>
          <w:color w:val="1f1f1f"/>
          <w:rtl w:val="0"/>
        </w:rPr>
        <w:t xml:space="preserve">tolérance aux pannes</w:t>
      </w:r>
      <w:r w:rsidDel="00000000" w:rsidR="00000000" w:rsidRPr="00000000">
        <w:rPr>
          <w:rFonts w:ascii="Google Sans" w:cs="Google Sans" w:eastAsia="Google Sans" w:hAnsi="Google Sans"/>
          <w:color w:val="1f1f1f"/>
          <w:rtl w:val="0"/>
        </w:rPr>
        <w:t xml:space="preserve">. Si le service responsable de la génération des rapports d'intervention subit une surcharge due à des traitements par lots en fin de journée, cela n'impactera en rien le microservice de télémétrie qui doit ingérer et afficher la fréquence cardiaque des patients en cours de chirurgie à un rythme de 1 Hz. De plus, la mise à jour d'un protocole médicamenteux peut être déployée sur le microservice de prescription sans interruption du système global (Zero Downtime Deployment).</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Séparation Front-End / Back-End et Approche Multiplateforme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découplage strict entre l'interface utilisateur (Front-end) et la logique applicative / données (Back-end) est une règle d'or. La communication s'effectue exclusivement via des API RESTful ou GraphQL (sécurisées par des tokens OAuth 2.0).</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Front-end Web (React.js, Next.js ou Vue.js) :</w:t>
      </w:r>
      <w:r w:rsidDel="00000000" w:rsidR="00000000" w:rsidRPr="00000000">
        <w:rPr>
          <w:rFonts w:ascii="Google Sans" w:cs="Google Sans" w:eastAsia="Google Sans" w:hAnsi="Google Sans"/>
          <w:color w:val="1f1f1f"/>
          <w:rtl w:val="0"/>
        </w:rPr>
        <w:t xml:space="preserve"> Les stations de travail fixes au bloc opératoire, les tableaux de bord de supervision centrale en SSPI, et les interfaces web des médecins télé-experts requièrent des frameworks réactifs.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Ces technologies exploitent le DOM virtuel (Document Object Model) pour mettre à jour instantanément uniquement les portions de l'écran où une donnée vitale a changé, garantissant le défilement fluide et sans saccade des courbes hémodynamiques et respiratoires, élément crucial pour l'interprétation clinique.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Front-end Mobile (Flutter ou React Native) :</w:t>
      </w:r>
      <w:r w:rsidDel="00000000" w:rsidR="00000000" w:rsidRPr="00000000">
        <w:rPr>
          <w:rFonts w:ascii="Google Sans" w:cs="Google Sans" w:eastAsia="Google Sans" w:hAnsi="Google Sans"/>
          <w:color w:val="1f1f1f"/>
          <w:rtl w:val="0"/>
        </w:rPr>
        <w:t xml:space="preserve"> Le personnel médical est en constante mobilité. Les infirmiers anesthésistes (IADE) réalisant l'évaluation pré-anesthésique dans les chambres, ou les médecins de garde devant valider une alarme sur leur smartphone, nécessitent des applications natives.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L'utilisation de frameworks multiplateformes comme Flutter permet de développer à partir d'une base de code unique (Dart) des applications performantes pour iOS et Android, réduisant les coûts de maintenance tout en assurant une expérience utilisateur cohérente. SMART on FHIR est l'architecture de choix pour déployer ces applications de manière substituable sur différents DMI.</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Gestion des Flux Biomédicaux en Temps Réel (WebSockets et Pub/Sub)</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défi technique majeur du DMI Anesthésie est la présentation de la télémétrie en temps quasi-réel. L'architecture client-serveur traditionnelle basée sur le </w:t>
      </w:r>
      <w:r w:rsidDel="00000000" w:rsidR="00000000" w:rsidRPr="00000000">
        <w:rPr>
          <w:rFonts w:ascii="Google Sans" w:cs="Google Sans" w:eastAsia="Google Sans" w:hAnsi="Google Sans"/>
          <w:i w:val="1"/>
          <w:iCs w:val="1"/>
          <w:color w:val="1f1f1f"/>
          <w:rtl w:val="0"/>
        </w:rPr>
        <w:t xml:space="preserve">polling</w:t>
      </w:r>
      <w:r w:rsidDel="00000000" w:rsidR="00000000" w:rsidRPr="00000000">
        <w:rPr>
          <w:rFonts w:ascii="Google Sans" w:cs="Google Sans" w:eastAsia="Google Sans" w:hAnsi="Google Sans"/>
          <w:color w:val="1f1f1f"/>
          <w:rtl w:val="0"/>
        </w:rPr>
        <w:t xml:space="preserve"> HTTP (le client interroge le serveur toutes les secondes pour obtenir de nouvelles données) est totalement inadaptée : elle sature la bande passante, surcharge le serveur de requêtes inutiles et introduit une latence inacceptable.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solution architecturale requise repose sur deux piliers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 Broker de Messages (Pattern Publish-Subscribe) :</w:t>
      </w:r>
      <w:r w:rsidDel="00000000" w:rsidR="00000000" w:rsidRPr="00000000">
        <w:rPr>
          <w:rFonts w:ascii="Google Sans" w:cs="Google Sans" w:eastAsia="Google Sans" w:hAnsi="Google Sans"/>
          <w:color w:val="1f1f1f"/>
          <w:rtl w:val="0"/>
        </w:rPr>
        <w:t xml:space="preserve"> Côté Back-end, les données physiologiques entrantes (transformées en ressources FHIR) sont publiées sur des files d'attente à haut débit (ex: Apache Kafka ou RabbitMQ). Cela permet d'absorber les pics de charge et de découpler les producteurs de données (les passerelles des équipements) des consommateurs (les interfaces graphiques ou les algorithmes d'IA).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Les WebSockets :</w:t>
      </w:r>
      <w:r w:rsidDel="00000000" w:rsidR="00000000" w:rsidRPr="00000000">
        <w:rPr>
          <w:rFonts w:ascii="Google Sans" w:cs="Google Sans" w:eastAsia="Google Sans" w:hAnsi="Google Sans"/>
          <w:color w:val="1f1f1f"/>
          <w:rtl w:val="0"/>
        </w:rPr>
        <w:t xml:space="preserve"> Pour la communication avec le Front-end, le DMI utilise le protocole WebSockets (RFC 6455).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Une fois la connexion TCP initiale établie, elle reste ouverte de manière persistante et bidirectionnelle. Dès qu'une nouvelle ressource Observation (ex: nouvelle mesure de la pression artérielle moyenne) est publiée sur le broker, le serveur la pousse (Push) instantanément vers le navigateur de l'anesthésiste via le WebSocket, avec une surcharge protocolaire minime de quelques octets.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L'utilisation combinée des abonnements FHIR (FHIR Subscriptions) et des WebSockets permet de notifier les clients web en temps réel lors de l'apparition d'événements cliniques critiques.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Schéma Textuel de l'Architecture Logique : Le Parcours de la Donnée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illustrer l'intégration de ces concepts, voici le parcours d'une donnée physiologique, de son émission au bloc opératoire jusqu'à sa visualisation par un médecin télé-expert situé dans une autre région :</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Source de Données (Bloc Opératoire) :</w:t>
      </w:r>
      <w:r w:rsidDel="00000000" w:rsidR="00000000" w:rsidRPr="00000000">
        <w:rPr>
          <w:rFonts w:ascii="Google Sans" w:cs="Google Sans" w:eastAsia="Google Sans" w:hAnsi="Google Sans"/>
          <w:color w:val="1f1f1f"/>
          <w:rtl w:val="0"/>
        </w:rPr>
        <w:t xml:space="preserve"> Le patient est sous anesthésie générale. Le moniteur multiparamétrique mesure la SpO2 (saturation en oxygène) à une fréquence de 1 Hz. Le dispositif génère des trames de données propriétaires ou basées sur la norme IEEE 11073.</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Passerelle Edge (Local) :</w:t>
      </w:r>
      <w:r w:rsidDel="00000000" w:rsidR="00000000" w:rsidRPr="00000000">
        <w:rPr>
          <w:rFonts w:ascii="Google Sans" w:cs="Google Sans" w:eastAsia="Google Sans" w:hAnsi="Google Sans"/>
          <w:color w:val="1f1f1f"/>
          <w:rtl w:val="0"/>
        </w:rPr>
        <w:t xml:space="preserve"> Un serveur matériel (Edge Gateway) situé dans le réseau local de l'hôpital convertit ces trames brutes en messages standardisés HL7 v2.6 (Transaction IHE PCD-01 ORU^R01).</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Moteur d'Intégration et Normalisation :</w:t>
      </w:r>
      <w:r w:rsidDel="00000000" w:rsidR="00000000" w:rsidRPr="00000000">
        <w:rPr>
          <w:rFonts w:ascii="Google Sans" w:cs="Google Sans" w:eastAsia="Google Sans" w:hAnsi="Google Sans"/>
          <w:color w:val="1f1f1f"/>
          <w:rtl w:val="0"/>
        </w:rPr>
        <w:t xml:space="preserve"> Le message PCD-01 atteint le moteur d'intégration (ex: Mirth Connect) du SIH. Ce composant extrait la valeur de la SpO2 et l'encapsule dans une ressource HL7 FHIR Observation, liée à la ressource Patient et Device.</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Broker de Messages et Persistance :</w:t>
      </w:r>
      <w:r w:rsidDel="00000000" w:rsidR="00000000" w:rsidRPr="00000000">
        <w:rPr>
          <w:rFonts w:ascii="Google Sans" w:cs="Google Sans" w:eastAsia="Google Sans" w:hAnsi="Google Sans"/>
          <w:color w:val="1f1f1f"/>
          <w:rtl w:val="0"/>
        </w:rPr>
        <w:t xml:space="preserve"> La ressource FHIR est envoyée simultanément à deux services via un broker (Kafka) :</w:t>
      </w:r>
    </w:p>
    <w:p w:rsidR="00000000" w:rsidDel="00000000" w:rsidP="00000000" w:rsidRDefault="00000000" w:rsidRPr="00000000" w14:paraId="0000007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Service de Persistance :</w:t>
      </w:r>
      <w:r w:rsidDel="00000000" w:rsidR="00000000" w:rsidRPr="00000000">
        <w:rPr>
          <w:rFonts w:ascii="Google Sans" w:cs="Google Sans" w:eastAsia="Google Sans" w:hAnsi="Google Sans"/>
          <w:color w:val="1f1f1f"/>
          <w:rtl w:val="0"/>
        </w:rPr>
        <w:t xml:space="preserve"> Stocke la donnée dans la base de données clinique FHIR chiffrée.</w:t>
      </w:r>
    </w:p>
    <w:p w:rsidR="00000000" w:rsidDel="00000000" w:rsidP="00000000" w:rsidRDefault="00000000" w:rsidRPr="00000000" w14:paraId="0000007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Service de Streaming Temps Réel :</w:t>
      </w:r>
      <w:r w:rsidDel="00000000" w:rsidR="00000000" w:rsidRPr="00000000">
        <w:rPr>
          <w:rFonts w:ascii="Google Sans" w:cs="Google Sans" w:eastAsia="Google Sans" w:hAnsi="Google Sans"/>
          <w:color w:val="1f1f1f"/>
          <w:rtl w:val="0"/>
        </w:rPr>
        <w:t xml:space="preserve"> Traite la donnée pour diffusion immédiate.</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Diffusion WebSockets :</w:t>
      </w:r>
      <w:r w:rsidDel="00000000" w:rsidR="00000000" w:rsidRPr="00000000">
        <w:rPr>
          <w:rFonts w:ascii="Google Sans" w:cs="Google Sans" w:eastAsia="Google Sans" w:hAnsi="Google Sans"/>
          <w:color w:val="1f1f1f"/>
          <w:rtl w:val="0"/>
        </w:rPr>
        <w:t xml:space="preserve"> Le microservice de streaming identifie toutes les sessions clients actives abonnées à ce patient. Il pousse (Push) l'objet JSON contenant la valeur de SpO2 via une connexion WebSocket sécurisée vers les terminaux connectés.</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Visualisation en Télémédecine :</w:t>
      </w:r>
      <w:r w:rsidDel="00000000" w:rsidR="00000000" w:rsidRPr="00000000">
        <w:rPr>
          <w:rFonts w:ascii="Google Sans" w:cs="Google Sans" w:eastAsia="Google Sans" w:hAnsi="Google Sans"/>
          <w:color w:val="1f1f1f"/>
          <w:rtl w:val="0"/>
        </w:rPr>
        <w:t xml:space="preserve"> À 50 kilomètres de là, l'anesthésiste superviseur regarde son application web React (Front-end). Le composant graphique intercepte le message WebSocket et rafraîchit la courbe de SpO2 à l'écran en moins de 150 millisecondes après la mesure initiale au doigt du patient. Simultanément, un flux vidéo </w:t>
      </w:r>
      <w:r w:rsidDel="00000000" w:rsidR="00000000" w:rsidRPr="00000000">
        <w:rPr>
          <w:rFonts w:ascii="Google Sans" w:cs="Google Sans" w:eastAsia="Google Sans" w:hAnsi="Google Sans"/>
          <w:b w:val="1"/>
          <w:bCs w:val="1"/>
          <w:color w:val="1f1f1f"/>
          <w:rtl w:val="0"/>
        </w:rPr>
        <w:t xml:space="preserve">WebRTC</w:t>
      </w:r>
      <w:r w:rsidDel="00000000" w:rsidR="00000000" w:rsidRPr="00000000">
        <w:rPr>
          <w:rFonts w:ascii="Google Sans" w:cs="Google Sans" w:eastAsia="Google Sans" w:hAnsi="Google Sans"/>
          <w:color w:val="1f1f1f"/>
          <w:rtl w:val="0"/>
        </w:rPr>
        <w:t xml:space="preserve"> chiffré de bout en bout permet au superviseur de voir le champ opératoire et de dialoguer avec l'IADE présent au bloc.</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Sécurité, Confidentialité et Conformité (Security &amp; Privacy by Design)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DMI Anesthésie traite des "données de santé à caractère personnel" parmi les plus critiques (constantes vitales, génotype, dosages pharmacologiques). La nature hybride du système, exposant ces données à travers des réseaux territoriaux pour la télémédecine, décuple la surface d'attaque.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sécurité ne peut être un ajout a posteriori ; elle doit être intrinsèque à l'architecture (Security and Privacy by Design).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Protection Cryptographique et Profils de Sécurité IHE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protection contre l'interception et l'altération des données, en particulier lors des téléconsultations, repose sur des fondations cryptographiques strictes :</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Chiffrement de bout en bout (E2EE) :</w:t>
      </w:r>
      <w:r w:rsidDel="00000000" w:rsidR="00000000" w:rsidRPr="00000000">
        <w:rPr>
          <w:rFonts w:ascii="Google Sans" w:cs="Google Sans" w:eastAsia="Google Sans" w:hAnsi="Google Sans"/>
          <w:color w:val="1f1f1f"/>
          <w:rtl w:val="0"/>
        </w:rPr>
        <w:t xml:space="preserve"> Toutes les communications transitant entre les clients (navigateurs, applications mobiles), les passerelles et les serveurs doivent utiliser les protocoles TLS 1.2 (minimum) ou TLS 1.3.</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Les données stockées (Data at Rest) dans les bases de données FHIR ou les répertoires XDS doivent être cryptées à l'aide d'algorithmes robustes (AES-256). Dans les architectures de pointe, l'utilisation du cryptage homomorphe permet d'effectuer des calculs (par exemple, des analyses IA) sur des données chiffrées sans jamais les déchiffrer, garantissant une confidentialité absolue.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Gestion des Identités et Autorisations (IHE XUA) :</w:t>
      </w:r>
      <w:r w:rsidDel="00000000" w:rsidR="00000000" w:rsidRPr="00000000">
        <w:rPr>
          <w:rFonts w:ascii="Google Sans" w:cs="Google Sans" w:eastAsia="Google Sans" w:hAnsi="Google Sans"/>
          <w:color w:val="1f1f1f"/>
          <w:rtl w:val="0"/>
        </w:rPr>
        <w:t xml:space="preserve"> En télémédecine, la fédération des identités est cruciale. Le profil IHE XUA (Cross-Enterprise User Assertion) permet à un praticien de s'authentifier dans son hôpital d'origine, et de propager son identité certifiée vers un hôpital distant de manière sécurisée.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XUA utilise des assertions SAML (ou des équivalents modernes via OAuth 2.0 / OpenID Connect) insérées dans l'en-tête des requêtes SOAP ou REST, prouvant de manière cryptographique l'identité de l'utilisateur, son rôle clinique, et son droit d'accès au dossier.</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Traçabilité et Pistes d'Audit (IHE ATNA) :</w:t>
      </w:r>
      <w:r w:rsidDel="00000000" w:rsidR="00000000" w:rsidRPr="00000000">
        <w:rPr>
          <w:rFonts w:ascii="Google Sans" w:cs="Google Sans" w:eastAsia="Google Sans" w:hAnsi="Google Sans"/>
          <w:color w:val="1f1f1f"/>
          <w:rtl w:val="0"/>
        </w:rPr>
        <w:t xml:space="preserve"> La non-répudiation et la traçabilité sont des exigences légales fondamentales.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Le profil IHE ATNA (Audit Trail and Node Authentication) remplit deux fonctions.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Premièrement, il établit un réseau de nœuds sécurisés (Secure Nodes) où chaque serveur et dispositif biomédical s'authentifie mutuellement via des certificats numériques (x.509) avant toute communication.</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Deuxièmement, ATNA impose un format standardisé de journalisation : chaque ouverture de dossier, chaque modification de prescription et chaque transfert de document génère un message d'audit sécurisé (format SYSLOG/XML) envoyé à un serveur de journalisation central.</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Cela garantit une traçabilité totale des accès pour les audits de conformité (HIPAA, RGPD).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Privacy by Design pour la Télémédecine (WebRTC)</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modules de télé-expertise et de téléconsultation pré-anesthésique requièrent des communications audio et vidéo en temps réel. Il est formellement proscrit d'utiliser des outils de visioconférence grand public non conformes. L'architecture doit exploiter le standard ouvert </w:t>
      </w:r>
      <w:r w:rsidDel="00000000" w:rsidR="00000000" w:rsidRPr="00000000">
        <w:rPr>
          <w:rFonts w:ascii="Google Sans" w:cs="Google Sans" w:eastAsia="Google Sans" w:hAnsi="Google Sans"/>
          <w:b w:val="1"/>
          <w:bCs w:val="1"/>
          <w:color w:val="1f1f1f"/>
          <w:rtl w:val="0"/>
        </w:rPr>
        <w:t xml:space="preserve">WebRTC</w:t>
      </w:r>
      <w:r w:rsidDel="00000000" w:rsidR="00000000" w:rsidRPr="00000000">
        <w:rPr>
          <w:rFonts w:ascii="Google Sans" w:cs="Google Sans" w:eastAsia="Google Sans" w:hAnsi="Google Sans"/>
          <w:color w:val="1f1f1f"/>
          <w:rtl w:val="0"/>
        </w:rPr>
        <w:t xml:space="preserve"> (Web Real-Time Communication).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WebRTC est intrinsèquement sécurisé (Privacy by Design) car il impose le chiffrement de tous les flux multimédias. L'échange des clés de chiffrement s'effectue via le protocole DTLS (Datagram Transport Layer Security), et les flux audio/vidéo eux-mêmes sont protégés par SRTP (Secure Real-time Transport Protocol).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Cela empêche toute attaque de type "Man-In-The-Middle", interception ou écoute clandestine.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De plus, pour respecter le principe de minimisation des données (exigence clé du RGPD et des lois équivalentes), les flux vidéo peropératoires transitant en Peer-to-Peer ne doivent pas être enregistrés ni stockés sur les serveurs de l'établissement, sauf dérogation médico-légale explicite et consentie.</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Conformité aux Cadres Législatifs Locaux (L'Exemple Tunisien)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L'architecture informatique d'un SIS doit se plier aux exigences juridiques du pays de déploiement. À titre d'exemple, la Tunisie dispose d'un cadre législatif pionnier et strict incarné par la </w:t>
      </w:r>
      <w:r w:rsidDel="00000000" w:rsidR="00000000" w:rsidRPr="00000000">
        <w:rPr>
          <w:rFonts w:ascii="Google Sans" w:cs="Google Sans" w:eastAsia="Google Sans" w:hAnsi="Google Sans"/>
          <w:b w:val="1"/>
          <w:bCs w:val="1"/>
          <w:color w:val="1f1f1f"/>
          <w:rtl w:val="0"/>
        </w:rPr>
        <w:t xml:space="preserve">Loi organique 2004-63</w:t>
      </w:r>
      <w:r w:rsidDel="00000000" w:rsidR="00000000" w:rsidRPr="00000000">
        <w:rPr>
          <w:rFonts w:ascii="Google Sans" w:cs="Google Sans" w:eastAsia="Google Sans" w:hAnsi="Google Sans"/>
          <w:color w:val="1f1f1f"/>
          <w:rtl w:val="0"/>
        </w:rPr>
        <w:t xml:space="preserve"> relative à la protection des données à caractère personnel.</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loi classe explicitement les données de santé (dossiers médicaux, constantes physiologiques, données génétiques) dans la catégorie des données "sensibles".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Toute implémentation d'un DMI Anesthésie sur le territoire tunisien, ou traitant des données de citoyens tunisiens, est soumise à des obligations drastiques :</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Déclaration et Autorisation Préalables :</w:t>
      </w:r>
      <w:r w:rsidDel="00000000" w:rsidR="00000000" w:rsidRPr="00000000">
        <w:rPr>
          <w:rFonts w:ascii="Google Sans" w:cs="Google Sans" w:eastAsia="Google Sans" w:hAnsi="Google Sans"/>
          <w:color w:val="1f1f1f"/>
          <w:rtl w:val="0"/>
        </w:rPr>
        <w:t xml:space="preserve"> Le traitement des données de santé ne peut débuter sans une déclaration préalable et l'obtention d'une autorisation explicite de l'INPDP (Instance Nationale de Protection des Données à Caractère Personnel).</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Souveraineté des Données et Hébergement :</w:t>
      </w:r>
      <w:r w:rsidDel="00000000" w:rsidR="00000000" w:rsidRPr="00000000">
        <w:rPr>
          <w:rFonts w:ascii="Google Sans" w:cs="Google Sans" w:eastAsia="Google Sans" w:hAnsi="Google Sans"/>
          <w:color w:val="1f1f1f"/>
          <w:rtl w:val="0"/>
        </w:rPr>
        <w:t xml:space="preserve"> La loi régule de manière extrêmement restrictive le transfert transfrontalier de données personnelles.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Les transferts vers des serveurs situés à l'étranger requièrent une autorisation spécifique de l'INPDP, souvent refusée si le pays de destination n'offre pas un niveau de protection équivalent.</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L'architecture Cloud du DMI Anesthésie doit donc privilégier un hébergement "On-Premise" (sur les serveurs de l'hôpital) ou au sein d'un Cloud national certifié hébergeur de données de santé par les autorités locales, sous peine de sanctions pénales.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Consentement et Droits des Patients :</w:t>
      </w:r>
      <w:r w:rsidDel="00000000" w:rsidR="00000000" w:rsidRPr="00000000">
        <w:rPr>
          <w:rFonts w:ascii="Google Sans" w:cs="Google Sans" w:eastAsia="Google Sans" w:hAnsi="Google Sans"/>
          <w:color w:val="1f1f1f"/>
          <w:rtl w:val="0"/>
        </w:rPr>
        <w:t xml:space="preserve"> Le système doit intégrer des mécanismes permettant de recueillir, de tracer numériquement (e-consent) et de révoquer le consentement écrit explicite du patient pour le traitement de ses données sensibles, tout en lui garantissant un droit d'accès et de rectification.</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L'intégration des Délégués à la Protection des Données (DPO) dans le cycle de vie du projet est une recommandation forte pour assurer la conformité continue.</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Intelligence Artificielle et Capacités Agentiques : Le Futur de l'Anesthésie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volume de données généré durant une seule intervention chirurgicale dépasse largement la capacité de traitement cognitif humain. L'anesthésiste est vulnérable à la surcharge d'informations, conduisant à des retards de décision. L'intégration de l'Intelligence Artificielle (IA) et de l'apprentissage automatique (Machine Learning) transforme le DMI en un système d'aide à la décision proactif, supervisant et assistant le clinicien sans le remplacer.</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Le Model Context Protocol (MCP) : Une Intégration Sécurisée des Agents IA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L'intégration directe des grands modèles de langage (LLMs) dans les bases de données médicales présente un risque inacceptable de fuite de données (Data Spillage) et d'hallucination (l'IA inventant des informations cliniques).</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L'architecture la plus innovante pour surmonter ces écueils est l'adoption du </w:t>
      </w: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développé par Anthropic.</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MCP agit comme un "middleware" standardisé et sécurisé (souvent décrit comme le "FHIR de l'IA") facilitant la communication entre les agents IA (MCP Clients) et les systèmes d'information hospitaliers (MCP Servers).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Au lieu de fournir à l'IA un accès illimité à la base de données FHIR, le protocole MCP restreint l'agent à l'utilisation d'outils (Tools) strictement définis et contextualisés.</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Mécanisme de sécurité :</w:t>
      </w:r>
      <w:r w:rsidDel="00000000" w:rsidR="00000000" w:rsidRPr="00000000">
        <w:rPr>
          <w:rFonts w:ascii="Google Sans" w:cs="Google Sans" w:eastAsia="Google Sans" w:hAnsi="Google Sans"/>
          <w:color w:val="1f1f1f"/>
          <w:rtl w:val="0"/>
        </w:rPr>
        <w:t xml:space="preserve"> Si l'agent IA doit évaluer le risque rénal d'un patient, il ne peut pas exécuter une requête SQL arbitraire. Il doit utiliser l'outil get_recent_creatinine_level(). Le serveur MCP interroge la base de données et renvoie uniquement la valeur structurée de la créatinine.</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Ce périmètre d'accès contrôlé garantit que l'agent ne consomme que les informations pertinentes, éliminant virtuellement le risque d'inférence de données non liées et garantissant une transparence totale de l'audit et du raisonnement autonome.</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Cas d'Usage Cliniques des Agents IA en Anesthésie-Réanimation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L'intégration d'agents IA via le framework MCP ouvre des perspectives de transformation majeures pour la pratique de l'anesthésiologie :</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Analyse Prédictive de l'Instabilité Hémodynamique (PIHI) :</w:t>
      </w:r>
      <w:r w:rsidDel="00000000" w:rsidR="00000000" w:rsidRPr="00000000">
        <w:rPr>
          <w:rFonts w:ascii="Google Sans" w:cs="Google Sans" w:eastAsia="Google Sans" w:hAnsi="Google Sans"/>
          <w:color w:val="1f1f1f"/>
          <w:rtl w:val="0"/>
        </w:rPr>
        <w:t xml:space="preserve"> L'hypotension peropératoire et post-induction est associée à une augmentation de la mortalité (lésions aiguës du myocarde, insuffisance rénale).</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Le diagnostic humain de l'hypotension est par nature réactif. Les agents IA exploitent des algorithmes d'apprentissage automatique (comme la régression de forêt aléatoire ou les Extra Trees) entraînés sur de vastes cohortes de données.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En analysant les flux WebSockets à haute fréquence (morphologie de l'onde de pression artérielle, variabilité de la fréquence cardiaque calculée via le coefficient de variation intégré - ICV), ces modèles génèrent des index prédictifs (comme le </w:t>
      </w:r>
      <w:r w:rsidDel="00000000" w:rsidR="00000000" w:rsidRPr="00000000">
        <w:rPr>
          <w:rFonts w:ascii="Google Sans" w:cs="Google Sans" w:eastAsia="Google Sans" w:hAnsi="Google Sans"/>
          <w:i w:val="1"/>
          <w:iCs w:val="1"/>
          <w:color w:val="1f1f1f"/>
          <w:rtl w:val="0"/>
        </w:rPr>
        <w:t xml:space="preserve">Hypotension Prediction Index</w:t>
      </w:r>
      <w:r w:rsidDel="00000000" w:rsidR="00000000" w:rsidRPr="00000000">
        <w:rPr>
          <w:rFonts w:ascii="Google Sans" w:cs="Google Sans" w:eastAsia="Google Sans" w:hAnsi="Google Sans"/>
          <w:color w:val="1f1f1f"/>
          <w:rtl w:val="0"/>
        </w:rPr>
        <w:t xml:space="preserve"> - HPI).</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L'agent peut anticiper une chute de tension jusqu'à 15 minutes avant son apparition clinique, permettant à l'anesthésiste d'administrer des fluides ou d'ajuster les vasopresseurs de manière préventive, stabilisant ainsi l'hémodynamique du patient et réduisant la charge hypotensive (Time Weighted Average).</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Automatisation de la Rédaction des Comptes Rendus (RAG via MCP) :</w:t>
      </w:r>
      <w:r w:rsidDel="00000000" w:rsidR="00000000" w:rsidRPr="00000000">
        <w:rPr>
          <w:rFonts w:ascii="Google Sans" w:cs="Google Sans" w:eastAsia="Google Sans" w:hAnsi="Google Sans"/>
          <w:color w:val="1f1f1f"/>
          <w:rtl w:val="0"/>
        </w:rPr>
        <w:t xml:space="preserve"> La charge administrative est un fardeau majeur. En combinant l'architecture RAG (Retrieval-Augmented Generation) avec le protocole MCP, un système multi-agents peut synthétiser automatiquement le compte rendu peropératoire.</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L'agent extrait les événements d'intubation, les alarmes critiques tracées par le profil ACM, les doses exactes de médicaments enregistrées par le profil PIV, et les corrèle avec les courbes hémodynamiques.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Il génère ensuite un document textuel structuré, grounded (ancré dans les données réelles) et sans hallucination, que l'anesthésiste n'a plus qu'à valider.</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Télésurveillance Autonome et Aide à la Prescription :</w:t>
      </w:r>
      <w:r w:rsidDel="00000000" w:rsidR="00000000" w:rsidRPr="00000000">
        <w:rPr>
          <w:rFonts w:ascii="Google Sans" w:cs="Google Sans" w:eastAsia="Google Sans" w:hAnsi="Google Sans"/>
          <w:color w:val="1f1f1f"/>
          <w:rtl w:val="0"/>
        </w:rPr>
        <w:t xml:space="preserve"> Dans le cadre du Remote Patient Monitoring (RPM) postopératoire ou de la surveillance en unité de soins intensifs (ICU), l'analyse continue des données submerge souvent les équipes cliniques (les essais cliniques RPM ont souvent échoué à cause du volume de données).</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Des agents d'IA autonomes comme "Sentinel", interfacés via MCP, réalisent un triage de premier niveau.</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Une étude récente a démontré qu'un tel agent évaluant les constantes vitales surpassait la sensibilité globale de cliniciens humains (sensibilité d'urgence de 95,8 % contre 60,0 % pour les médecins) avec une constance algorithmique parfaite.</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Ces agents peuvent identifier les signes avant-coureurs de détérioration (baisse du débit urinaire, altération subtile de la SpO2) et proposer, sous supervision humaine, des ajustements de la prescription antalgique ou vasculaire post-opératoire.</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conclusion, l'intégration de ces capacités agentiques transforme l'architecture du DMI. Le système passe d'un simple registre numérique passif à un véritable partenaire cognitif, modifiant en profondeur le flux de travail de l'anesthésiste et élevant substantiellement les standards de sécurité pour le patient. L'architecture hybride proposée, ancrée sur les normes IHE et FHIR, modélisée selon la méthode BMad, et sécurisée par conception, constitue le prérequis technologique absolu pour soutenir l'avenir de l'anesthésie-réanimation et de la médecine connectée.</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Business Modeling to Streamline Cost of Anesthesia in a Cardiopulmonary Laboratory - DigitalCommons@TMC, accessed March 17, 2026, </w:t>
      </w:r>
      <w:hyperlink r:id="rId6">
        <w:r w:rsidDel="00000000" w:rsidR="00000000" w:rsidRPr="00000000">
          <w:rPr>
            <w:rFonts w:ascii="Google Sans" w:cs="Google Sans" w:eastAsia="Google Sans" w:hAnsi="Google Sans"/>
            <w:color w:val="0000ee"/>
            <w:sz w:val="24"/>
            <w:szCs w:val="24"/>
            <w:u w:val="single"/>
            <w:rtl w:val="0"/>
          </w:rPr>
          <w:t xml:space="preserve">https://digitalcommons.library.tmc.edu/cgi/viewcontent.cgi?article=1019&amp;context=uthoustonjqualsafe</w:t>
        </w:r>
      </w:hyperlink>
      <w:r w:rsidDel="00000000" w:rsidR="00000000" w:rsidRPr="00000000">
        <w:rPr>
          <w:rtl w:val="0"/>
        </w:rPr>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Privacy-Preserving Data Sharing in Telehealth Services - MDPI, accessed March 17, 2026, </w:t>
      </w:r>
      <w:hyperlink r:id="rId7">
        <w:r w:rsidDel="00000000" w:rsidR="00000000" w:rsidRPr="00000000">
          <w:rPr>
            <w:rFonts w:ascii="Google Sans" w:cs="Google Sans" w:eastAsia="Google Sans" w:hAnsi="Google Sans"/>
            <w:color w:val="0000ee"/>
            <w:sz w:val="24"/>
            <w:szCs w:val="24"/>
            <w:u w:val="single"/>
            <w:rtl w:val="0"/>
          </w:rPr>
          <w:t xml:space="preserve">https://www.mdpi.com/2076-3417/14/23/10808</w:t>
        </w:r>
      </w:hyperlink>
      <w:r w:rsidDel="00000000" w:rsidR="00000000" w:rsidRPr="00000000">
        <w:rPr>
          <w:rtl w:val="0"/>
        </w:rPr>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HIPAA compliance in telemedicine: Secure remote healthcare delivery in 2026, accessed March 17, 2026, </w:t>
      </w:r>
      <w:hyperlink r:id="rId8">
        <w:r w:rsidDel="00000000" w:rsidR="00000000" w:rsidRPr="00000000">
          <w:rPr>
            <w:rFonts w:ascii="Google Sans" w:cs="Google Sans" w:eastAsia="Google Sans" w:hAnsi="Google Sans"/>
            <w:color w:val="0000ee"/>
            <w:sz w:val="24"/>
            <w:szCs w:val="24"/>
            <w:u w:val="single"/>
            <w:rtl w:val="0"/>
          </w:rPr>
          <w:t xml:space="preserve">https://www.trustcloud.ai/hipaa/mastering-hipaa-compliance-in-telemedicine-securer-remote-healthcare-delivery-in-2025/</w:t>
        </w:r>
      </w:hyperlink>
      <w:r w:rsidDel="00000000" w:rsidR="00000000" w:rsidRPr="00000000">
        <w:rPr>
          <w:rtl w:val="0"/>
        </w:rPr>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B-Health Box: A Standards-Based Fog IoT Gateway for Interoperable Health and Wellbeing Data Collection - MDPI, accessed March 17, 2026, </w:t>
      </w:r>
      <w:hyperlink r:id="rId9">
        <w:r w:rsidDel="00000000" w:rsidR="00000000" w:rsidRPr="00000000">
          <w:rPr>
            <w:rFonts w:ascii="Google Sans" w:cs="Google Sans" w:eastAsia="Google Sans" w:hAnsi="Google Sans"/>
            <w:color w:val="0000ee"/>
            <w:sz w:val="24"/>
            <w:szCs w:val="24"/>
            <w:u w:val="single"/>
            <w:rtl w:val="0"/>
          </w:rPr>
          <w:t xml:space="preserve">https://www.mdpi.com/1424-8220/25/23/7116</w:t>
        </w:r>
      </w:hyperlink>
      <w:r w:rsidDel="00000000" w:rsidR="00000000" w:rsidRPr="00000000">
        <w:rPr>
          <w:rtl w:val="0"/>
        </w:rPr>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Devices (DEV) Technical Framework Volume 1 IHE PCD TF-1 Profiles - IHE International, accessed March 17, 2026, </w:t>
      </w:r>
      <w:hyperlink r:id="rId10">
        <w:r w:rsidDel="00000000" w:rsidR="00000000" w:rsidRPr="00000000">
          <w:rPr>
            <w:rFonts w:ascii="Google Sans" w:cs="Google Sans" w:eastAsia="Google Sans" w:hAnsi="Google Sans"/>
            <w:color w:val="0000ee"/>
            <w:sz w:val="24"/>
            <w:szCs w:val="24"/>
            <w:u w:val="single"/>
            <w:rtl w:val="0"/>
          </w:rPr>
          <w:t xml:space="preserve">https://www.ihe.net/uploadedFiles/Documents/DEV/IHE_DEV_TF_Vol1.pdf</w:t>
        </w:r>
      </w:hyperlink>
      <w:r w:rsidDel="00000000" w:rsidR="00000000" w:rsidRPr="00000000">
        <w:rPr>
          <w:rtl w:val="0"/>
        </w:rPr>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Capture of real-time data from electronic health records: scenarios and solutions - PMC, accessed March 17,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https://pmc.ncbi.nlm.nih.gov/articles/PMC11058599/</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ITI TF Vol1, accessed March 17, 2026, </w:t>
      </w:r>
      <w:hyperlink r:id="rId12">
        <w:r w:rsidDel="00000000" w:rsidR="00000000" w:rsidRPr="00000000">
          <w:rPr>
            <w:rFonts w:ascii="Google Sans" w:cs="Google Sans" w:eastAsia="Google Sans" w:hAnsi="Google Sans"/>
            <w:color w:val="0000ee"/>
            <w:sz w:val="24"/>
            <w:szCs w:val="24"/>
            <w:u w:val="single"/>
            <w:rtl w:val="0"/>
          </w:rPr>
          <w:t xml:space="preserve">https://profiles.ihe.net/ITI/TF/Volume1/ch-27.html</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Implementation in Clinical Anesthesia: Opportunities and Challenges, accessed March 17,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https://pmc.ncbi.nlm.nih.gov/articles/PMC7654525/</w:t>
        </w:r>
      </w:hyperlink>
      <w:r w:rsidDel="00000000" w:rsidR="00000000" w:rsidRPr="00000000">
        <w:rPr>
          <w:rtl w:val="0"/>
        </w:rPr>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Accompagner la professionnalisation des formateurs en simulation médicale, accessed March 17, 2026, </w:t>
      </w:r>
      <w:hyperlink r:id="rId14">
        <w:r w:rsidDel="00000000" w:rsidR="00000000" w:rsidRPr="00000000">
          <w:rPr>
            <w:rFonts w:ascii="Google Sans" w:cs="Google Sans" w:eastAsia="Google Sans" w:hAnsi="Google Sans"/>
            <w:color w:val="0000ee"/>
            <w:sz w:val="24"/>
            <w:szCs w:val="24"/>
            <w:u w:val="single"/>
            <w:rtl w:val="0"/>
          </w:rPr>
          <w:t xml:space="preserve">https://journals.openedition.org/educationdidactique/2659</w:t>
        </w:r>
      </w:hyperlink>
      <w:r w:rsidDel="00000000" w:rsidR="00000000" w:rsidRPr="00000000">
        <w:rPr>
          <w:rtl w:val="0"/>
        </w:rPr>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etat-de-lart-modelisation-des-parcours-de-soins - Kaduceo, accessed March 17, 2026, </w:t>
      </w:r>
      <w:hyperlink r:id="rId15">
        <w:r w:rsidDel="00000000" w:rsidR="00000000" w:rsidRPr="00000000">
          <w:rPr>
            <w:rFonts w:ascii="Google Sans" w:cs="Google Sans" w:eastAsia="Google Sans" w:hAnsi="Google Sans"/>
            <w:color w:val="0000ee"/>
            <w:sz w:val="24"/>
            <w:szCs w:val="24"/>
            <w:u w:val="single"/>
            <w:rtl w:val="0"/>
          </w:rPr>
          <w:t xml:space="preserve">https://kaduceo.com/fr/resources/etat-de-lart-modelisation-des-parcours-de-soins</w:t>
        </w:r>
      </w:hyperlink>
      <w:r w:rsidDel="00000000" w:rsidR="00000000" w:rsidRPr="00000000">
        <w:rPr>
          <w:rtl w:val="0"/>
        </w:rPr>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Modélisation des processus métier : objectifs clés et exemples - Businessmap, accessed March 17, 2026, </w:t>
      </w:r>
      <w:hyperlink r:id="rId16">
        <w:r w:rsidDel="00000000" w:rsidR="00000000" w:rsidRPr="00000000">
          <w:rPr>
            <w:rFonts w:ascii="Google Sans" w:cs="Google Sans" w:eastAsia="Google Sans" w:hAnsi="Google Sans"/>
            <w:color w:val="0000ee"/>
            <w:sz w:val="24"/>
            <w:szCs w:val="24"/>
            <w:u w:val="single"/>
            <w:rtl w:val="0"/>
          </w:rPr>
          <w:t xml:space="preserve">https://businessmap.io/fr/business-process-management/modelisation-processus</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Qu'est-ce que la modélisation des processus ? | IBM, accessed March 17, 2026, </w:t>
      </w:r>
      <w:hyperlink r:id="rId17">
        <w:r w:rsidDel="00000000" w:rsidR="00000000" w:rsidRPr="00000000">
          <w:rPr>
            <w:rFonts w:ascii="Google Sans" w:cs="Google Sans" w:eastAsia="Google Sans" w:hAnsi="Google Sans"/>
            <w:color w:val="0000ee"/>
            <w:sz w:val="24"/>
            <w:szCs w:val="24"/>
            <w:u w:val="single"/>
            <w:rtl w:val="0"/>
          </w:rPr>
          <w:t xml:space="preserve">https://www.ibm.com/fr-fr/think/topics/process-modeling</w:t>
        </w:r>
      </w:hyperlink>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Modélisation des processus métier : le guide complet - ELO Digital Office, accessed March 17, 2026, </w:t>
      </w:r>
      <w:hyperlink r:id="rId18">
        <w:r w:rsidDel="00000000" w:rsidR="00000000" w:rsidRPr="00000000">
          <w:rPr>
            <w:rFonts w:ascii="Google Sans" w:cs="Google Sans" w:eastAsia="Google Sans" w:hAnsi="Google Sans"/>
            <w:color w:val="0000ee"/>
            <w:sz w:val="24"/>
            <w:szCs w:val="24"/>
            <w:u w:val="single"/>
            <w:rtl w:val="0"/>
          </w:rPr>
          <w:t xml:space="preserve">https://www.elo.com/fr-fr/guide-pratique/modelisation-processus-metier.html</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BMAD-Method vs Vibe Coding: Structured AI Development vs Intuitive Programming, accessed March 17, 2026, </w:t>
      </w:r>
      <w:hyperlink r:id="rId19">
        <w:r w:rsidDel="00000000" w:rsidR="00000000" w:rsidRPr="00000000">
          <w:rPr>
            <w:rFonts w:ascii="Google Sans" w:cs="Google Sans" w:eastAsia="Google Sans" w:hAnsi="Google Sans"/>
            <w:color w:val="0000ee"/>
            <w:sz w:val="24"/>
            <w:szCs w:val="24"/>
            <w:u w:val="single"/>
            <w:rtl w:val="0"/>
          </w:rPr>
          <w:t xml:space="preserve">https://medium.com/@visrow/bmad-method-vs-vibe-coding-structured-ai-development-vs-intuitive-programming-6d57957a42d5</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Advanced BMAD Techniques: AI-Driven Development with Context Engineering, accessed March 17, 2026, </w:t>
      </w:r>
      <w:hyperlink r:id="rId20">
        <w:r w:rsidDel="00000000" w:rsidR="00000000" w:rsidRPr="00000000">
          <w:rPr>
            <w:rFonts w:ascii="Google Sans" w:cs="Google Sans" w:eastAsia="Google Sans" w:hAnsi="Google Sans"/>
            <w:color w:val="0000ee"/>
            <w:sz w:val="24"/>
            <w:szCs w:val="24"/>
            <w:u w:val="single"/>
            <w:rtl w:val="0"/>
          </w:rPr>
          <w:t xml:space="preserve">https://blogs.infosys.com/digital-experience/artificial-intelligence/scaling-advanced-bmad-techniques-ai-driven-development-with-context-engineering.html</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EvolutionAPI/BMAD-METHOD-BY-EVOLUTION: Breakthrough Method for Agile Ai Driven Development - GitHub, accessed March 17, 2026, </w:t>
      </w:r>
      <w:hyperlink r:id="rId21">
        <w:r w:rsidDel="00000000" w:rsidR="00000000" w:rsidRPr="00000000">
          <w:rPr>
            <w:rFonts w:ascii="Google Sans" w:cs="Google Sans" w:eastAsia="Google Sans" w:hAnsi="Google Sans"/>
            <w:color w:val="0000ee"/>
            <w:sz w:val="24"/>
            <w:szCs w:val="24"/>
            <w:u w:val="single"/>
            <w:rtl w:val="0"/>
          </w:rPr>
          <w:t xml:space="preserve">https://github.com/EvolutionAPI/BMAD-METHOD-BY-EVOLUTION</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(SDD): A Structured Approach to AI-Assisted Software Engineering, accessed March 17, 2026, </w:t>
      </w:r>
      <w:hyperlink r:id="rId22">
        <w:r w:rsidDel="00000000" w:rsidR="00000000" w:rsidRPr="00000000">
          <w:rPr>
            <w:rFonts w:ascii="Google Sans" w:cs="Google Sans" w:eastAsia="Google Sans" w:hAnsi="Google Sans"/>
            <w:color w:val="0000ee"/>
            <w:sz w:val="24"/>
            <w:szCs w:val="24"/>
            <w:u w:val="single"/>
            <w:rtl w:val="0"/>
          </w:rPr>
          <w:t xml:space="preserve">https://xbsoftware.com/blog/spec-driven-development-ai-assisted-software-engineering/</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AI Agentic Frameworks: BMAD-Method vs. GitHub Spec Kit | by Marius Sabaliauskas | Medium, accessed March 17, 2026, </w:t>
      </w:r>
      <w:hyperlink r:id="rId23">
        <w:r w:rsidDel="00000000" w:rsidR="00000000" w:rsidRPr="00000000">
          <w:rPr>
            <w:rFonts w:ascii="Google Sans" w:cs="Google Sans" w:eastAsia="Google Sans" w:hAnsi="Google Sans"/>
            <w:color w:val="0000ee"/>
            <w:sz w:val="24"/>
            <w:szCs w:val="24"/>
            <w:u w:val="single"/>
            <w:rtl w:val="0"/>
          </w:rPr>
          <w:t xml:space="preserve">https://medium.com/@mariussabaliauskas/a-comparative-analysis-of-ai-agentic-frameworks-bmad-method-vs-github-spec-kit-edd8a9c65c5e</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bmad-code-org/BMAD-METHOD: Breakthrough Method for Agile Ai Driven Development - GitHub, accessed March 17, 2026, </w:t>
      </w:r>
      <w:hyperlink r:id="rId24">
        <w:r w:rsidDel="00000000" w:rsidR="00000000" w:rsidRPr="00000000">
          <w:rPr>
            <w:rFonts w:ascii="Google Sans" w:cs="Google Sans" w:eastAsia="Google Sans" w:hAnsi="Google Sans"/>
            <w:color w:val="0000ee"/>
            <w:sz w:val="24"/>
            <w:szCs w:val="24"/>
            <w:u w:val="single"/>
            <w:rtl w:val="0"/>
          </w:rPr>
          <w:t xml:space="preserve">https://github.com/bmad-code-org/BMAD-METHOD</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Token Hell to 90% Savings: How BMAD v6 Revolutionized AI-Assisted Development | by Trung Hiếu Trần | Medium, accessed March 17, 2026, </w:t>
      </w:r>
      <w:hyperlink r:id="rId25">
        <w:r w:rsidDel="00000000" w:rsidR="00000000" w:rsidRPr="00000000">
          <w:rPr>
            <w:rFonts w:ascii="Google Sans" w:cs="Google Sans" w:eastAsia="Google Sans" w:hAnsi="Google Sans"/>
            <w:color w:val="0000ee"/>
            <w:sz w:val="24"/>
            <w:szCs w:val="24"/>
            <w:u w:val="single"/>
            <w:rtl w:val="0"/>
          </w:rPr>
          <w:t xml:space="preserve">https://medium.com/@hieutrantrung.it/from-token-hell-to-90-savings-how-bmad-v6-revolutionized-ai-assisted-development-09c175013085</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Profiles - IHE International, accessed March 17, 2026, </w:t>
      </w:r>
      <w:hyperlink r:id="rId26">
        <w:r w:rsidDel="00000000" w:rsidR="00000000" w:rsidRPr="00000000">
          <w:rPr>
            <w:rFonts w:ascii="Google Sans" w:cs="Google Sans" w:eastAsia="Google Sans" w:hAnsi="Google Sans"/>
            <w:color w:val="0000ee"/>
            <w:sz w:val="24"/>
            <w:szCs w:val="24"/>
            <w:u w:val="single"/>
            <w:rtl w:val="0"/>
          </w:rPr>
          <w:t xml:space="preserve">https://www.ihe.net/resources/profiles/</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Profiles - IHE Wiki, accessed March 17, 2026, </w:t>
      </w:r>
      <w:hyperlink r:id="rId27">
        <w:r w:rsidDel="00000000" w:rsidR="00000000" w:rsidRPr="00000000">
          <w:rPr>
            <w:rFonts w:ascii="Google Sans" w:cs="Google Sans" w:eastAsia="Google Sans" w:hAnsi="Google Sans"/>
            <w:color w:val="0000ee"/>
            <w:sz w:val="24"/>
            <w:szCs w:val="24"/>
            <w:u w:val="single"/>
            <w:rtl w:val="0"/>
          </w:rPr>
          <w:t xml:space="preserve">https://wiki.ihe.net/index.php/Profiles</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Patient Care Device (PCD) Technical Framework - Volume 1 IHE PCD TF-1 Profiles v9, accessed March 17, 2026, </w:t>
      </w:r>
      <w:hyperlink r:id="rId28">
        <w:r w:rsidDel="00000000" w:rsidR="00000000" w:rsidRPr="00000000">
          <w:rPr>
            <w:rFonts w:ascii="Google Sans" w:cs="Google Sans" w:eastAsia="Google Sans" w:hAnsi="Google Sans"/>
            <w:color w:val="0000ee"/>
            <w:sz w:val="24"/>
            <w:szCs w:val="24"/>
            <w:u w:val="single"/>
            <w:rtl w:val="0"/>
          </w:rPr>
          <w:t xml:space="preserve">https://implementer.digitalhealth.gov.au/standards/ihe-patient-care-device-pcd-technical-framework-volume-1-ihe-pcd-tf-1-profiles-v9</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Patient Care Device (PCD) Technical Framework Volume 1 IHE PCD TF-1 Profiles - IHE International, accessed March 17, 2026, </w:t>
      </w:r>
      <w:hyperlink r:id="rId29">
        <w:r w:rsidDel="00000000" w:rsidR="00000000" w:rsidRPr="00000000">
          <w:rPr>
            <w:rFonts w:ascii="Google Sans" w:cs="Google Sans" w:eastAsia="Google Sans" w:hAnsi="Google Sans"/>
            <w:color w:val="0000ee"/>
            <w:sz w:val="24"/>
            <w:szCs w:val="24"/>
            <w:u w:val="single"/>
            <w:rtl w:val="0"/>
          </w:rPr>
          <w:t xml:space="preserve">https://www.ihe.net/uploadedFiles/Documents/PCD/IHE_PCD_TF_Rev9-0_Vol1_FT_2019-12-12.pdf</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Pragmatic Methodology to Extract Anesthetic and Physiological Data from the Electronic Health Record - PMC, accessed March 17,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https://pmc.ncbi.nlm.nih.gov/articles/PMC10922302/</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Patient Care Device (PCD) Technical Framework Volume 2 (PCD TF-2) Revision 1.2 - IHE International, accessed March 17, 2026, </w:t>
      </w:r>
      <w:hyperlink r:id="rId31">
        <w:r w:rsidDel="00000000" w:rsidR="00000000" w:rsidRPr="00000000">
          <w:rPr>
            <w:rFonts w:ascii="Google Sans" w:cs="Google Sans" w:eastAsia="Google Sans" w:hAnsi="Google Sans"/>
            <w:color w:val="0000ee"/>
            <w:sz w:val="24"/>
            <w:szCs w:val="24"/>
            <w:u w:val="single"/>
            <w:rtl w:val="0"/>
          </w:rPr>
          <w:t xml:space="preserve">https://www.ihe.net/Technical_Framework/upload/IHE_PCD_TF_Rev1-2_Vol2_TI_2010-09-30.pdf</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PCD Technical Framework - IHE Wiki, accessed March 17, 2026, </w:t>
      </w:r>
      <w:hyperlink r:id="rId32">
        <w:r w:rsidDel="00000000" w:rsidR="00000000" w:rsidRPr="00000000">
          <w:rPr>
            <w:rFonts w:ascii="Google Sans" w:cs="Google Sans" w:eastAsia="Google Sans" w:hAnsi="Google Sans"/>
            <w:color w:val="0000ee"/>
            <w:sz w:val="24"/>
            <w:szCs w:val="24"/>
            <w:u w:val="single"/>
            <w:rtl w:val="0"/>
          </w:rPr>
          <w:t xml:space="preserve">https://wiki.ihe.net/index.php/PCD_Technical_Framework</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profiles for personal device interoperability - MedTech Europe, accessed March 17, 2026, </w:t>
      </w:r>
      <w:hyperlink r:id="rId33">
        <w:r w:rsidDel="00000000" w:rsidR="00000000" w:rsidRPr="00000000">
          <w:rPr>
            <w:rFonts w:ascii="Google Sans" w:cs="Google Sans" w:eastAsia="Google Sans" w:hAnsi="Google Sans"/>
            <w:color w:val="0000ee"/>
            <w:sz w:val="24"/>
            <w:szCs w:val="24"/>
            <w:u w:val="single"/>
            <w:rtl w:val="0"/>
          </w:rPr>
          <w:t xml:space="preserve">https://www.medtecheurope.org/wp-content/uploads/2021/01/210113-mte-ihe-himss_webinar.pdf</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and Analysis of ISO/IEEE 11073, IHE PCD-01, and HL7 FHIR Messages for Personal Health Devices - PMC, accessed March 17,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https://pmc.ncbi.nlm.nih.gov/articles/PMC5820086/</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Patient Care Device (PCD) White Paper Optimizing Messages for “Slow” Physical Layers, accessed March 17, 2026, </w:t>
      </w:r>
      <w:hyperlink r:id="rId35">
        <w:r w:rsidDel="00000000" w:rsidR="00000000" w:rsidRPr="00000000">
          <w:rPr>
            <w:rFonts w:ascii="Google Sans" w:cs="Google Sans" w:eastAsia="Google Sans" w:hAnsi="Google Sans"/>
            <w:color w:val="0000ee"/>
            <w:sz w:val="24"/>
            <w:szCs w:val="24"/>
            <w:u w:val="single"/>
            <w:rtl w:val="0"/>
          </w:rPr>
          <w:t xml:space="preserve">https://www.ihe.net/uploadedFiles/Documents/PCD/IHE_PCD_White_Paper_Message_Optimization_Rev1.0_2014-04-30.pdf</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Medical Device Performance and Data Interoperability using the IHE and IHE PCD Profiles, accessed March 17, 2026, </w:t>
      </w:r>
      <w:hyperlink r:id="rId36">
        <w:r w:rsidDel="00000000" w:rsidR="00000000" w:rsidRPr="00000000">
          <w:rPr>
            <w:rFonts w:ascii="Google Sans" w:cs="Google Sans" w:eastAsia="Google Sans" w:hAnsi="Google Sans"/>
            <w:color w:val="0000ee"/>
            <w:sz w:val="24"/>
            <w:szCs w:val="24"/>
            <w:u w:val="single"/>
            <w:rtl w:val="0"/>
          </w:rPr>
          <w:t xml:space="preserve">https://accenet.org/NewsEvents/Documents/Symposiums/Schluter_ACCE_AAMI_Symposium.pdf</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Frameworks - IHE International, accessed March 17, 2026, </w:t>
      </w:r>
      <w:hyperlink r:id="rId37">
        <w:r w:rsidDel="00000000" w:rsidR="00000000" w:rsidRPr="00000000">
          <w:rPr>
            <w:rFonts w:ascii="Google Sans" w:cs="Google Sans" w:eastAsia="Google Sans" w:hAnsi="Google Sans"/>
            <w:color w:val="0000ee"/>
            <w:sz w:val="24"/>
            <w:szCs w:val="24"/>
            <w:u w:val="single"/>
            <w:rtl w:val="0"/>
          </w:rPr>
          <w:t xml:space="preserve">https://www.ihe.net/resources/technical_frameworks/</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IT Infrastructure Technical Framework Supplement Mobile access to Health Documents (MHD) With XDS on FHIR Rev. 3.2, accessed March 17, 2026, </w:t>
      </w:r>
      <w:hyperlink r:id="rId38">
        <w:r w:rsidDel="00000000" w:rsidR="00000000" w:rsidRPr="00000000">
          <w:rPr>
            <w:rFonts w:ascii="Google Sans" w:cs="Google Sans" w:eastAsia="Google Sans" w:hAnsi="Google Sans"/>
            <w:color w:val="0000ee"/>
            <w:sz w:val="24"/>
            <w:szCs w:val="24"/>
            <w:u w:val="single"/>
            <w:rtl w:val="0"/>
          </w:rPr>
          <w:t xml:space="preserve">https://www.ihe.net/uploadedFiles/Documents/ITI/IHE_ITI_Suppl_MHD_Rev3-2_TI_2020-08-28.pdf</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Narrative Review of Electronic Health Record Systems in Anesthesia: Benefits, Risks, and Medico-Legal Considerations in the United States of America - PMC, accessed March 17,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https://pmc.ncbi.nlm.nih.gov/articles/PMC12183129/</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Driving Change in 2026: Use Case Progress and Preparing for HL7 FHIR Adoption, accessed March 17, 2026, </w:t>
      </w:r>
      <w:hyperlink r:id="rId40">
        <w:r w:rsidDel="00000000" w:rsidR="00000000" w:rsidRPr="00000000">
          <w:rPr>
            <w:rFonts w:ascii="Google Sans" w:cs="Google Sans" w:eastAsia="Google Sans" w:hAnsi="Google Sans"/>
            <w:color w:val="0000ee"/>
            <w:sz w:val="24"/>
            <w:szCs w:val="24"/>
            <w:u w:val="single"/>
            <w:rtl w:val="0"/>
          </w:rPr>
          <w:t xml:space="preserve">https://blog.hl7.org/driving-change-in-2026-use-case-progress-and-preparing-for-hl7-fhir-adoption</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Transitioning from CDA to FHIR - Lantana Consulting Group: Transforming healthcare through health information, accessed March 17, 2026, </w:t>
      </w:r>
      <w:hyperlink r:id="rId41">
        <w:r w:rsidDel="00000000" w:rsidR="00000000" w:rsidRPr="00000000">
          <w:rPr>
            <w:rFonts w:ascii="Google Sans" w:cs="Google Sans" w:eastAsia="Google Sans" w:hAnsi="Google Sans"/>
            <w:color w:val="0000ee"/>
            <w:sz w:val="24"/>
            <w:szCs w:val="24"/>
            <w:u w:val="single"/>
            <w:rtl w:val="0"/>
          </w:rPr>
          <w:t xml:space="preserve">https://www.lantanagroup.com/transitioning-from-cda-to-fhir/</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Clinical Document Architecture v2.0.2-sd - FHIR, accessed March 17, 2026, </w:t>
      </w:r>
      <w:hyperlink r:id="rId42">
        <w:r w:rsidDel="00000000" w:rsidR="00000000" w:rsidRPr="00000000">
          <w:rPr>
            <w:rFonts w:ascii="Google Sans" w:cs="Google Sans" w:eastAsia="Google Sans" w:hAnsi="Google Sans"/>
            <w:color w:val="0000ee"/>
            <w:sz w:val="24"/>
            <w:szCs w:val="24"/>
            <w:u w:val="single"/>
            <w:rtl w:val="0"/>
          </w:rPr>
          <w:t xml:space="preserve">https://build.fhir.org/ig/HL7/CDA-core-sd/overview.html</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HL7 Integration Guide, Comparing HL7, FHIR, CDA - Emorphis Health, accessed March 17, 2026, </w:t>
      </w:r>
      <w:hyperlink r:id="rId43">
        <w:r w:rsidDel="00000000" w:rsidR="00000000" w:rsidRPr="00000000">
          <w:rPr>
            <w:rFonts w:ascii="Google Sans" w:cs="Google Sans" w:eastAsia="Google Sans" w:hAnsi="Google Sans"/>
            <w:color w:val="0000ee"/>
            <w:sz w:val="24"/>
            <w:szCs w:val="24"/>
            <w:u w:val="single"/>
            <w:rtl w:val="0"/>
          </w:rPr>
          <w:t xml:space="preserve">https://emorphis.health/blogs/hl7-integration-vs-fhir-vs-cda/</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 l'interopérabilité évolutive - InterSystems, accessed March 17, 2026, </w:t>
      </w:r>
      <w:hyperlink r:id="rId44">
        <w:r w:rsidDel="00000000" w:rsidR="00000000" w:rsidRPr="00000000">
          <w:rPr>
            <w:rFonts w:ascii="Google Sans" w:cs="Google Sans" w:eastAsia="Google Sans" w:hAnsi="Google Sans"/>
            <w:color w:val="0000ee"/>
            <w:sz w:val="24"/>
            <w:szCs w:val="24"/>
            <w:u w:val="single"/>
            <w:rtl w:val="0"/>
          </w:rPr>
          <w:t xml:space="preserve">https://www.intersystems.com/fr/fhir/interoperabilite-evoluee/</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Streamlining Health Data Integration with FHIR - InterSystems, accessed March 17, 2026, </w:t>
      </w:r>
      <w:hyperlink r:id="rId45">
        <w:r w:rsidDel="00000000" w:rsidR="00000000" w:rsidRPr="00000000">
          <w:rPr>
            <w:rFonts w:ascii="Google Sans" w:cs="Google Sans" w:eastAsia="Google Sans" w:hAnsi="Google Sans"/>
            <w:color w:val="0000ee"/>
            <w:sz w:val="24"/>
            <w:szCs w:val="24"/>
            <w:u w:val="single"/>
            <w:rtl w:val="0"/>
          </w:rPr>
          <w:t xml:space="preserve">https://www.intersystems.com/resources/streamlining-health-data-integration-with-fhir/</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HL7 v2 to FHIR Interface Mapping. In this tutorial, we're going to… | by Abigail Watson, accessed March 17, 2026, </w:t>
      </w:r>
      <w:hyperlink r:id="rId46">
        <w:r w:rsidDel="00000000" w:rsidR="00000000" w:rsidRPr="00000000">
          <w:rPr>
            <w:rFonts w:ascii="Google Sans" w:cs="Google Sans" w:eastAsia="Google Sans" w:hAnsi="Google Sans"/>
            <w:color w:val="0000ee"/>
            <w:sz w:val="24"/>
            <w:szCs w:val="24"/>
            <w:u w:val="single"/>
            <w:rtl w:val="0"/>
          </w:rPr>
          <w:t xml:space="preserve">https://medium.com/@awatson1978/hl7-v2-to-fhir-interface-mapping-f83c6ecf6bee</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an HL7® V2 to FHIR Transformation Pipeline with HealthLake Target - YouTube, accessed March 17, 2026, </w:t>
      </w:r>
      <w:hyperlink r:id="rId47">
        <w:r w:rsidDel="00000000" w:rsidR="00000000" w:rsidRPr="00000000">
          <w:rPr>
            <w:rFonts w:ascii="Google Sans" w:cs="Google Sans" w:eastAsia="Google Sans" w:hAnsi="Google Sans"/>
            <w:color w:val="0000ee"/>
            <w:sz w:val="24"/>
            <w:szCs w:val="24"/>
            <w:u w:val="single"/>
            <w:rtl w:val="0"/>
          </w:rPr>
          <w:t xml:space="preserve">https://www.youtube.com/watch?v=VjERRkPQ_eU</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Gateway - Edifecs, accessed March 17, 2026, </w:t>
      </w:r>
      <w:hyperlink r:id="rId48">
        <w:r w:rsidDel="00000000" w:rsidR="00000000" w:rsidRPr="00000000">
          <w:rPr>
            <w:rFonts w:ascii="Google Sans" w:cs="Google Sans" w:eastAsia="Google Sans" w:hAnsi="Google Sans"/>
            <w:color w:val="0000ee"/>
            <w:sz w:val="24"/>
            <w:szCs w:val="24"/>
            <w:u w:val="single"/>
            <w:rtl w:val="0"/>
          </w:rPr>
          <w:t xml:space="preserve">https://www.edifecs.com/solutions/fhir-gateway/</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PCD-01 transaction interaction diagram. - ResearchGate, accessed March 17,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https://www.researchgate.net/figure/HE-PCD-01-transaction-interaction-diagram_fig2_323172606</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Patient Care Devices (PCD) White Paper Service-oriented Device Point-of-Care Interoperability (SDPi) Revision 1.0 - IHE International, accessed March 17, 2026, </w:t>
      </w:r>
      <w:hyperlink r:id="rId50">
        <w:r w:rsidDel="00000000" w:rsidR="00000000" w:rsidRPr="00000000">
          <w:rPr>
            <w:rFonts w:ascii="Google Sans" w:cs="Google Sans" w:eastAsia="Google Sans" w:hAnsi="Google Sans"/>
            <w:color w:val="0000ee"/>
            <w:sz w:val="24"/>
            <w:szCs w:val="24"/>
            <w:u w:val="single"/>
            <w:rtl w:val="0"/>
          </w:rPr>
          <w:t xml:space="preserve">https://www.ihe.net/uploadedFiles/Documents/PCD/IHE_PCD_WP_SDPi_Rev1-0_PC_2019-08-23.pdf</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HL7-IHE Gemini SES+MDI - SDPi 1.0 Reviewer Briefing Sessions, accessed March 17, 2026, </w:t>
      </w:r>
      <w:hyperlink r:id="rId51">
        <w:r w:rsidDel="00000000" w:rsidR="00000000" w:rsidRPr="00000000">
          <w:rPr>
            <w:rFonts w:ascii="Google Sans" w:cs="Google Sans" w:eastAsia="Google Sans" w:hAnsi="Google Sans"/>
            <w:color w:val="0000ee"/>
            <w:sz w:val="24"/>
            <w:szCs w:val="24"/>
            <w:u w:val="single"/>
            <w:rtl w:val="0"/>
          </w:rPr>
          <w:t xml:space="preserve">https://confluence.hl7.org/download/attachments/113674346/Gemini%20SDPi%201.0%20Reviewer%20Briefings%202022.12%20to%202023.01C%20-%20Session%20%233%202022.12.21.pdf?version=1&amp;modificationDate=1671642075125&amp;api=v2</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Service-oriented Device Point-of-care Interoperability (SDPi) Technical Framework - IHE International, accessed March 17, 2026, </w:t>
      </w:r>
      <w:hyperlink r:id="rId52">
        <w:r w:rsidDel="00000000" w:rsidR="00000000" w:rsidRPr="00000000">
          <w:rPr>
            <w:rFonts w:ascii="Google Sans" w:cs="Google Sans" w:eastAsia="Google Sans" w:hAnsi="Google Sans"/>
            <w:color w:val="0000ee"/>
            <w:sz w:val="24"/>
            <w:szCs w:val="24"/>
            <w:u w:val="single"/>
            <w:rtl w:val="0"/>
          </w:rPr>
          <w:t xml:space="preserve">https://www.ihe.net/uploadedFiles/Documents/Devices/IHE_DEV_Suppl_SDPi_Rev1-2-0_TI_2023-12-08.pdf</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Service-oriented Device Point-of-care Interoperability (SDPi) Technical Framework, accessed March 17, 2026, </w:t>
      </w:r>
      <w:hyperlink r:id="rId53">
        <w:r w:rsidDel="00000000" w:rsidR="00000000" w:rsidRPr="00000000">
          <w:rPr>
            <w:rFonts w:ascii="Google Sans" w:cs="Google Sans" w:eastAsia="Google Sans" w:hAnsi="Google Sans"/>
            <w:color w:val="0000ee"/>
            <w:sz w:val="24"/>
            <w:szCs w:val="24"/>
            <w:u w:val="single"/>
            <w:rtl w:val="0"/>
          </w:rPr>
          <w:t xml:space="preserve">https://profiles.ihe.net/DEV/SDPi/index.html</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Interoperability of health data using FHIR Mapping Language: transforming HL7 CDA to FHIR with reusable visual components - PMC, accessed March 17,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https://pmc.ncbi.nlm.nih.gov/articles/PMC11693713/</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XDS on FHIR®, accessed March 17, 2026, </w:t>
      </w:r>
      <w:hyperlink r:id="rId55">
        <w:r w:rsidDel="00000000" w:rsidR="00000000" w:rsidRPr="00000000">
          <w:rPr>
            <w:rFonts w:ascii="Google Sans" w:cs="Google Sans" w:eastAsia="Google Sans" w:hAnsi="Google Sans"/>
            <w:color w:val="0000ee"/>
            <w:sz w:val="24"/>
            <w:szCs w:val="24"/>
            <w:u w:val="single"/>
            <w:rtl w:val="0"/>
          </w:rPr>
          <w:t xml:space="preserve">https://www.devdays.com/wp-content/uploads/2023/08/230608_GregorioCanal_XDSonFHIR.pdf</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1:33.4 Overview - Mobile access to Health Documents (MHD) v4.2.4-current - FHIR, accessed March 17, 2026, </w:t>
      </w:r>
      <w:hyperlink r:id="rId56">
        <w:r w:rsidDel="00000000" w:rsidR="00000000" w:rsidRPr="00000000">
          <w:rPr>
            <w:rFonts w:ascii="Google Sans" w:cs="Google Sans" w:eastAsia="Google Sans" w:hAnsi="Google Sans"/>
            <w:color w:val="0000ee"/>
            <w:sz w:val="24"/>
            <w:szCs w:val="24"/>
            <w:u w:val="single"/>
            <w:rtl w:val="0"/>
          </w:rPr>
          <w:t xml:space="preserve">https://build.fhir.org/ig/IHE/ITI.MHD/1334_overview.html</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MHD Home - Mobile access to Health Documents (MHD) v4.2.3 - IHE Publications, accessed March 17, 2026, </w:t>
      </w:r>
      <w:hyperlink r:id="rId57">
        <w:r w:rsidDel="00000000" w:rsidR="00000000" w:rsidRPr="00000000">
          <w:rPr>
            <w:rFonts w:ascii="Google Sans" w:cs="Google Sans" w:eastAsia="Google Sans" w:hAnsi="Google Sans"/>
            <w:color w:val="0000ee"/>
            <w:sz w:val="24"/>
            <w:szCs w:val="24"/>
            <w:u w:val="single"/>
            <w:rtl w:val="0"/>
          </w:rPr>
          <w:t xml:space="preserve">https://profiles.ihe.net/ITI/MHD/index.html</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IT Infrastructure Technical Framework Supplement Mobile Health Document Sharing (MHDS), accessed March 17, 2026, </w:t>
      </w:r>
      <w:hyperlink r:id="rId58">
        <w:r w:rsidDel="00000000" w:rsidR="00000000" w:rsidRPr="00000000">
          <w:rPr>
            <w:rFonts w:ascii="Google Sans" w:cs="Google Sans" w:eastAsia="Google Sans" w:hAnsi="Google Sans"/>
            <w:color w:val="0000ee"/>
            <w:sz w:val="24"/>
            <w:szCs w:val="24"/>
            <w:u w:val="single"/>
            <w:rtl w:val="0"/>
          </w:rPr>
          <w:t xml:space="preserve">https://www.ihe.net/uploadedFiles/Documents/ITI/IHE_ITI_Suppl_MHDS_Rev2-1_TI_2020-05-29.pdf</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Cross-Enterprise Document Data Element Extraction (mXDE) v1.3.0, accessed March 17, 2026, </w:t>
      </w:r>
      <w:hyperlink r:id="rId59">
        <w:r w:rsidDel="00000000" w:rsidR="00000000" w:rsidRPr="00000000">
          <w:rPr>
            <w:rFonts w:ascii="Google Sans" w:cs="Google Sans" w:eastAsia="Google Sans" w:hAnsi="Google Sans"/>
            <w:color w:val="0000ee"/>
            <w:sz w:val="24"/>
            <w:szCs w:val="24"/>
            <w:u w:val="single"/>
            <w:rtl w:val="0"/>
          </w:rPr>
          <w:t xml:space="preserve">https://developer.digitalhealth.gov.au/standards/mobile-cross-enterprise-document-data-element-extraction-mxde-v1-3-0</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Cross-Enterprise Document Data Element Extraction (mXDE) - IHE Publications, accessed March 17, 2026, </w:t>
      </w:r>
      <w:hyperlink r:id="rId60">
        <w:r w:rsidDel="00000000" w:rsidR="00000000" w:rsidRPr="00000000">
          <w:rPr>
            <w:rFonts w:ascii="Google Sans" w:cs="Google Sans" w:eastAsia="Google Sans" w:hAnsi="Google Sans"/>
            <w:color w:val="0000ee"/>
            <w:sz w:val="24"/>
            <w:szCs w:val="24"/>
            <w:u w:val="single"/>
            <w:rtl w:val="0"/>
          </w:rPr>
          <w:t xml:space="preserve">https://profiles.ihe.net/ITI/mXDE/index.html</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ITI Technical Framework Supplement Mobile Cross-Enterprise Document Data Element Extraction (mXDE) Rev. 1.1, accessed March 17, 2026, </w:t>
      </w:r>
      <w:hyperlink r:id="rId61">
        <w:r w:rsidDel="00000000" w:rsidR="00000000" w:rsidRPr="00000000">
          <w:rPr>
            <w:rFonts w:ascii="Google Sans" w:cs="Google Sans" w:eastAsia="Google Sans" w:hAnsi="Google Sans"/>
            <w:color w:val="0000ee"/>
            <w:sz w:val="24"/>
            <w:szCs w:val="24"/>
            <w:u w:val="single"/>
            <w:rtl w:val="0"/>
          </w:rPr>
          <w:t xml:space="preserve">https://www.ihe.net/uploadedFiles/Documents/ITI/IHE_ITI_Suppl_mXDE_Rev1.1_TI_2017-08-04.pdf</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and Health Middleware: Pathways to Real-Time Data Integration in Hospitals - SHIFT, accessed March 17, 2026, </w:t>
      </w:r>
      <w:hyperlink r:id="rId62">
        <w:r w:rsidDel="00000000" w:rsidR="00000000" w:rsidRPr="00000000">
          <w:rPr>
            <w:rFonts w:ascii="Google Sans" w:cs="Google Sans" w:eastAsia="Google Sans" w:hAnsi="Google Sans"/>
            <w:color w:val="0000ee"/>
            <w:sz w:val="24"/>
            <w:szCs w:val="24"/>
            <w:u w:val="single"/>
            <w:rtl w:val="0"/>
          </w:rPr>
          <w:t xml:space="preserve">https://future.hospital/en/wissensdatenbank/details/fhir-and-health-middleware-pathways-to-real-time-data-integration-in-hospitals</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Secure Implementation of an IHE XUA-Based Protocol for Authenticating Healthcare Professionals - ResearchGate, accessed March 17, 2026,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https://www.researchgate.net/publication/221160767_On_Secure_Implementation_of_an_IHE_XUA-Based_Protocol_for_Authenticating_Healthcare_Professionals</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Cross Enterprise User Assertion (XUA) - IHE ITI TF Vol1, accessed March 17, 2026, </w:t>
      </w:r>
      <w:hyperlink r:id="rId64">
        <w:r w:rsidDel="00000000" w:rsidR="00000000" w:rsidRPr="00000000">
          <w:rPr>
            <w:rFonts w:ascii="Google Sans" w:cs="Google Sans" w:eastAsia="Google Sans" w:hAnsi="Google Sans"/>
            <w:color w:val="0000ee"/>
            <w:sz w:val="24"/>
            <w:szCs w:val="24"/>
            <w:u w:val="single"/>
            <w:rtl w:val="0"/>
          </w:rPr>
          <w:t xml:space="preserve">https://profiles.ihe.net/ITI/TF/Volume1/ch-13.html</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Framework Volume 1 (ITI TF-1) Integration Profiles - IHE International, accessed March 17, 2026, </w:t>
      </w:r>
      <w:hyperlink r:id="rId65">
        <w:r w:rsidDel="00000000" w:rsidR="00000000" w:rsidRPr="00000000">
          <w:rPr>
            <w:rFonts w:ascii="Google Sans" w:cs="Google Sans" w:eastAsia="Google Sans" w:hAnsi="Google Sans"/>
            <w:color w:val="0000ee"/>
            <w:sz w:val="24"/>
            <w:szCs w:val="24"/>
            <w:u w:val="single"/>
            <w:rtl w:val="0"/>
          </w:rPr>
          <w:t xml:space="preserve">https://www.ihe.net/uploadedFiles/Documents/ITI/IHE_ITI_TF_Rev16-0_Vol1_FT_2019-07-12.pdf</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IHE Integration Statement - Fujifilm Healthcare Solutions, accessed March 17, 2026, </w:t>
      </w:r>
      <w:hyperlink r:id="rId66">
        <w:r w:rsidDel="00000000" w:rsidR="00000000" w:rsidRPr="00000000">
          <w:rPr>
            <w:rFonts w:ascii="Google Sans" w:cs="Google Sans" w:eastAsia="Google Sans" w:hAnsi="Google Sans"/>
            <w:color w:val="0000ee"/>
            <w:sz w:val="24"/>
            <w:szCs w:val="24"/>
            <w:u w:val="single"/>
            <w:rtl w:val="0"/>
          </w:rPr>
          <w:t xml:space="preserve">https://healthcaresolutions-us.fujifilm.com/wp-content/uploads/2023/02/SynapseVNAVersion7_X_IHEIntegration.pdf</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Tunisia's Data Protection Law (Law 2004-63): A Practical Compliance Guide for 2026, accessed March 17, 2026, </w:t>
      </w:r>
      <w:hyperlink r:id="rId67">
        <w:r w:rsidDel="00000000" w:rsidR="00000000" w:rsidRPr="00000000">
          <w:rPr>
            <w:rFonts w:ascii="Google Sans" w:cs="Google Sans" w:eastAsia="Google Sans" w:hAnsi="Google Sans"/>
            <w:color w:val="0000ee"/>
            <w:sz w:val="24"/>
            <w:szCs w:val="24"/>
            <w:u w:val="single"/>
            <w:rtl w:val="0"/>
          </w:rPr>
          <w:t xml:space="preserve">https://www.dpo-consulting.com/blog/tunisia-data-protection-lsaw</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FACTSHEET: TUNISIA | Data Protection Africa, accessed March 17, 2026, </w:t>
      </w:r>
      <w:hyperlink r:id="rId68">
        <w:r w:rsidDel="00000000" w:rsidR="00000000" w:rsidRPr="00000000">
          <w:rPr>
            <w:rFonts w:ascii="Google Sans" w:cs="Google Sans" w:eastAsia="Google Sans" w:hAnsi="Google Sans"/>
            <w:color w:val="0000ee"/>
            <w:sz w:val="24"/>
            <w:szCs w:val="24"/>
            <w:u w:val="single"/>
            <w:rtl w:val="0"/>
          </w:rPr>
          <w:t xml:space="preserve">https://dataprotection.africa/wp-content/uploads/2019/10/Tunisia-Factsheet.pdf</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Santé Numérique Schéma Directeur - Smart Africa, accessed March 17, 2026, </w:t>
      </w:r>
      <w:hyperlink r:id="rId69">
        <w:r w:rsidDel="00000000" w:rsidR="00000000" w:rsidRPr="00000000">
          <w:rPr>
            <w:rFonts w:ascii="Google Sans" w:cs="Google Sans" w:eastAsia="Google Sans" w:hAnsi="Google Sans"/>
            <w:color w:val="0000ee"/>
            <w:sz w:val="24"/>
            <w:szCs w:val="24"/>
            <w:u w:val="single"/>
            <w:rtl w:val="0"/>
          </w:rPr>
          <w:t xml:space="preserve">https://smartafrica.org/wp-content/uploads/2025/11/Digital-Health-Blueprint-French.pdf</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Tunisia Privacy Policy - Abbott, accessed March 17, 2026, </w:t>
      </w:r>
      <w:hyperlink r:id="rId70">
        <w:r w:rsidDel="00000000" w:rsidR="00000000" w:rsidRPr="00000000">
          <w:rPr>
            <w:rFonts w:ascii="Google Sans" w:cs="Google Sans" w:eastAsia="Google Sans" w:hAnsi="Google Sans"/>
            <w:color w:val="0000ee"/>
            <w:sz w:val="24"/>
            <w:szCs w:val="24"/>
            <w:u w:val="single"/>
            <w:rtl w:val="0"/>
          </w:rPr>
          <w:t xml:space="preserve">https://www.abbott.com/en-us/privacy-policy/tunisia-privacy-policy</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protection laws in Tunisia, accessed March 17, 2026, </w:t>
      </w:r>
      <w:hyperlink r:id="rId71">
        <w:r w:rsidDel="00000000" w:rsidR="00000000" w:rsidRPr="00000000">
          <w:rPr>
            <w:rFonts w:ascii="Google Sans" w:cs="Google Sans" w:eastAsia="Google Sans" w:hAnsi="Google Sans"/>
            <w:color w:val="0000ee"/>
            <w:sz w:val="24"/>
            <w:szCs w:val="24"/>
            <w:u w:val="single"/>
            <w:rtl w:val="0"/>
          </w:rPr>
          <w:t xml:space="preserve">https://www.dlapiperdataprotection.com/?t=law&amp;c=TN</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a Hybrid Decision-Making Model in Anesthesiology: Applications of Artificial Intelligence in the Perioperative Setting - MDPI, accessed March 17, 2026, </w:t>
      </w:r>
      <w:hyperlink r:id="rId72">
        <w:r w:rsidDel="00000000" w:rsidR="00000000" w:rsidRPr="00000000">
          <w:rPr>
            <w:rFonts w:ascii="Google Sans" w:cs="Google Sans" w:eastAsia="Google Sans" w:hAnsi="Google Sans"/>
            <w:color w:val="0000ee"/>
            <w:sz w:val="24"/>
            <w:szCs w:val="24"/>
            <w:u w:val="single"/>
            <w:rtl w:val="0"/>
          </w:rPr>
          <w:t xml:space="preserve">https://www.mdpi.com/2227-9032/14/1/97</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Anesthesiology: Current Techniques, Clinical Applications, and Limitations - PMC, accessed March 17, 2026,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https://pmc.ncbi.nlm.nih.gov/articles/PMC7643051/</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Explained: The Key to Agentic Healthcare - Artera, accessed March 17, 2026, </w:t>
      </w:r>
      <w:hyperlink r:id="rId74">
        <w:r w:rsidDel="00000000" w:rsidR="00000000" w:rsidRPr="00000000">
          <w:rPr>
            <w:rFonts w:ascii="Google Sans" w:cs="Google Sans" w:eastAsia="Google Sans" w:hAnsi="Google Sans"/>
            <w:color w:val="0000ee"/>
            <w:sz w:val="24"/>
            <w:szCs w:val="24"/>
            <w:u w:val="single"/>
            <w:rtl w:val="0"/>
          </w:rPr>
          <w:t xml:space="preserve">https://artera.io/blog/model-context-protocol-explanation/</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Agentic Model Context Protocol Framework for Medical Concept Standardization, accessed March 17, 2026,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https://www.researchgate.net/publication/395270603_An_Agentic_Model_Context_Protocol_Framework_for_Medical_Concept_Standardization</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in Healthcare: Secure AI Integration - Vouched ID, accessed March 17, 2026, </w:t>
      </w:r>
      <w:hyperlink r:id="rId76">
        <w:r w:rsidDel="00000000" w:rsidR="00000000" w:rsidRPr="00000000">
          <w:rPr>
            <w:rFonts w:ascii="Google Sans" w:cs="Google Sans" w:eastAsia="Google Sans" w:hAnsi="Google Sans"/>
            <w:color w:val="0000ee"/>
            <w:sz w:val="24"/>
            <w:szCs w:val="24"/>
            <w:u w:val="single"/>
            <w:rtl w:val="0"/>
          </w:rPr>
          <w:t xml:space="preserve">https://www.vouched.id/learn/blog/the-model-context-protocol-unlocking-trust-and-efficiency-for-ai-in-healthcare</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Model Context Protocol - Anthropic, accessed March 17, 2026, </w:t>
      </w:r>
      <w:hyperlink r:id="rId77">
        <w:r w:rsidDel="00000000" w:rsidR="00000000" w:rsidRPr="00000000">
          <w:rPr>
            <w:rFonts w:ascii="Google Sans" w:cs="Google Sans" w:eastAsia="Google Sans" w:hAnsi="Google Sans"/>
            <w:color w:val="0000ee"/>
            <w:sz w:val="24"/>
            <w:szCs w:val="24"/>
            <w:u w:val="single"/>
            <w:rtl w:val="0"/>
          </w:rPr>
          <w:t xml:space="preserve">https://www.anthropic.com/news/model-context-protocol</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AI's Model Context Protocol – Everything You Wanted to Know but Were Afraid to Ask, accessed March 17, 2026, </w:t>
      </w:r>
      <w:hyperlink r:id="rId78">
        <w:r w:rsidDel="00000000" w:rsidR="00000000" w:rsidRPr="00000000">
          <w:rPr>
            <w:rFonts w:ascii="Google Sans" w:cs="Google Sans" w:eastAsia="Google Sans" w:hAnsi="Google Sans"/>
            <w:color w:val="0000ee"/>
            <w:sz w:val="24"/>
            <w:szCs w:val="24"/>
            <w:u w:val="single"/>
            <w:rtl w:val="0"/>
          </w:rPr>
          <w:t xml:space="preserve">https://www.fdbhealth.com/about-us/media-coverage/2025-11-12-ais-model-context-protocol-everything-you-wanted-to-know-but-were-afraid-to-ask</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Trusted Intelligence for AI in Medicine - Mednosis, accessed March 17, 2026, </w:t>
      </w:r>
      <w:hyperlink r:id="rId79">
        <w:r w:rsidDel="00000000" w:rsidR="00000000" w:rsidRPr="00000000">
          <w:rPr>
            <w:rFonts w:ascii="Google Sans" w:cs="Google Sans" w:eastAsia="Google Sans" w:hAnsi="Google Sans"/>
            <w:color w:val="0000ee"/>
            <w:sz w:val="24"/>
            <w:szCs w:val="24"/>
            <w:u w:val="single"/>
            <w:rtl w:val="0"/>
          </w:rPr>
          <w:t xml:space="preserve">https://www.mednosis.com/digest?impact=promising</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Vasopressor use as a surrogate for post-intubation hemodynamic instability is associated with in-hospital and 90-day mortality: a retrospective cohort study - PMC, accessed March 17, 2026, </w:t>
      </w:r>
      <w:hyperlink r:id="rId80">
        <w:r w:rsidDel="00000000" w:rsidR="00000000" w:rsidRPr="00000000">
          <w:rPr>
            <w:rFonts w:ascii="Google Sans" w:cs="Google Sans" w:eastAsia="Google Sans" w:hAnsi="Google Sans"/>
            <w:color w:val="0000ee"/>
            <w:sz w:val="24"/>
            <w:szCs w:val="24"/>
            <w:u w:val="single"/>
            <w:rtl w:val="0"/>
          </w:rPr>
          <w:t xml:space="preserve">https://pmc.ncbi.nlm.nih.gov/articles/PMC4572685/</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Defining Postinduction Hemodynamic Instability With an Automated Classification Model - Amsterdam UMC, accessed March 17, 2026, </w:t>
      </w:r>
      <w:hyperlink r:id="rId81">
        <w:r w:rsidDel="00000000" w:rsidR="00000000" w:rsidRPr="00000000">
          <w:rPr>
            <w:rFonts w:ascii="Google Sans" w:cs="Google Sans" w:eastAsia="Google Sans" w:hAnsi="Google Sans"/>
            <w:color w:val="0000ee"/>
            <w:sz w:val="24"/>
            <w:szCs w:val="24"/>
            <w:u w:val="single"/>
            <w:rtl w:val="0"/>
          </w:rPr>
          <w:t xml:space="preserve">https://pure.amsterdamumc.nl/files/142220557/Defining-postinduction-hemodynamic-instability-with-an-automated-classification-model.pdf</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Perioperative Patients With Hemodynamic Instability: Consensus Recommendations of the Anesthesia Patient Safety Foundation - PMC, accessed March 17, 2026, </w:t>
      </w:r>
      <w:hyperlink r:id="rId82">
        <w:r w:rsidDel="00000000" w:rsidR="00000000" w:rsidRPr="00000000">
          <w:rPr>
            <w:rFonts w:ascii="Google Sans" w:cs="Google Sans" w:eastAsia="Google Sans" w:hAnsi="Google Sans"/>
            <w:color w:val="0000ee"/>
            <w:sz w:val="24"/>
            <w:szCs w:val="24"/>
            <w:u w:val="single"/>
            <w:rtl w:val="0"/>
          </w:rPr>
          <w:t xml:space="preserve">https://pmc.ncbi.nlm.nih.gov/articles/PMC10916753/</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approach for predicting post-intubation hemodynamic instability (PIHI) index values: towards enhanced perioperative anesthesia quality and safety - PMC, accessed March 17, 2026, </w:t>
      </w:r>
      <w:hyperlink r:id="rId83">
        <w:r w:rsidDel="00000000" w:rsidR="00000000" w:rsidRPr="00000000">
          <w:rPr>
            <w:rFonts w:ascii="Google Sans" w:cs="Google Sans" w:eastAsia="Google Sans" w:hAnsi="Google Sans"/>
            <w:color w:val="0000ee"/>
            <w:sz w:val="24"/>
            <w:szCs w:val="24"/>
            <w:u w:val="single"/>
            <w:rtl w:val="0"/>
          </w:rPr>
          <w:t xml:space="preserve">https://pmc.ncbi.nlm.nih.gov/articles/PMC11003123/</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Hemodynamic Management with the Hypotension Prediction Index during Elective Open Abdominal Aortic Surgery: A Pilot Observational Report, accessed March 17, 2026, </w:t>
      </w:r>
      <w:hyperlink r:id="rId84">
        <w:r w:rsidDel="00000000" w:rsidR="00000000" w:rsidRPr="00000000">
          <w:rPr>
            <w:rFonts w:ascii="Google Sans" w:cs="Google Sans" w:eastAsia="Google Sans" w:hAnsi="Google Sans"/>
            <w:color w:val="0000ee"/>
            <w:sz w:val="24"/>
            <w:szCs w:val="24"/>
            <w:u w:val="single"/>
            <w:rtl w:val="0"/>
          </w:rPr>
          <w:t xml:space="preserve">http://clinmedjournals.org/articles/ijaa/international-journal-of-anesthetics-and-anesthesiology-ijaa-11-175.php?jid=ijaa</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Fractional-order Model Predictive Control Design for Anesthesia–Hemodynamic stabilization During Surgical Procedures - ResearchGate, accessed March 17, 2026, </w:t>
      </w:r>
      <w:hyperlink r:id="rId85">
        <w:r w:rsidDel="00000000" w:rsidR="00000000" w:rsidRPr="00000000">
          <w:rPr>
            <w:rFonts w:ascii="Google Sans" w:cs="Google Sans" w:eastAsia="Google Sans" w:hAnsi="Google Sans"/>
            <w:color w:val="0000ee"/>
            <w:sz w:val="24"/>
            <w:szCs w:val="24"/>
            <w:u w:val="single"/>
            <w:rtl w:val="0"/>
          </w:rPr>
          <w:t xml:space="preserve">https://www.researchgate.net/publication/400259717_Fractional-order_Model_Predictive_Control_Design_for_Anesthesia-Hemodynamic_stabilization_During_Surgical_Procedures</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Selected Abstracts from the 2025 Conference on Artificial Intelligence in Medical Imaging (CAIMI) of the Society for Imaging Informatics in Medicine (SIIM) - PMC, accessed March 17, 2026, </w:t>
      </w:r>
      <w:hyperlink r:id="rId86">
        <w:r w:rsidDel="00000000" w:rsidR="00000000" w:rsidRPr="00000000">
          <w:rPr>
            <w:rFonts w:ascii="Google Sans" w:cs="Google Sans" w:eastAsia="Google Sans" w:hAnsi="Google Sans"/>
            <w:color w:val="0000ee"/>
            <w:sz w:val="24"/>
            <w:szCs w:val="24"/>
            <w:u w:val="single"/>
            <w:rtl w:val="0"/>
          </w:rPr>
          <w:t xml:space="preserve">https://pmc.ncbi.nlm.nih.gov/articles/PMC12705894/</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Days to Minutes: An Autonomous AI Agent Achieves Reliable Clinical Triage in Remote Patient Monitoring - ResearchGate, accessed March 17, 2026, </w:t>
      </w:r>
      <w:hyperlink r:id="rId87">
        <w:r w:rsidDel="00000000" w:rsidR="00000000" w:rsidRPr="00000000">
          <w:rPr>
            <w:rFonts w:ascii="Google Sans" w:cs="Google Sans" w:eastAsia="Google Sans" w:hAnsi="Google Sans"/>
            <w:color w:val="0000ee"/>
            <w:sz w:val="24"/>
            <w:szCs w:val="24"/>
            <w:u w:val="single"/>
            <w:rtl w:val="0"/>
          </w:rPr>
          <w:t xml:space="preserve">https://www.researchgate.net/publication/401771501_From_Days_to_Minutes_An_Autonomous_AI_Agent_Achieves_Reliable_Clinical_Triage_in_Remote_Patient_Monitoring/download</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Gives Landmark Clearance to CLEW'S AI-Driven ICU Predictive Tool - MarkTechPost, accessed March 17, 2026, </w:t>
      </w:r>
      <w:hyperlink r:id="rId88">
        <w:r w:rsidDel="00000000" w:rsidR="00000000" w:rsidRPr="00000000">
          <w:rPr>
            <w:rFonts w:ascii="Google Sans" w:cs="Google Sans" w:eastAsia="Google Sans" w:hAnsi="Google Sans"/>
            <w:color w:val="0000ee"/>
            <w:sz w:val="24"/>
            <w:szCs w:val="24"/>
            <w:u w:val="single"/>
            <w:rtl w:val="0"/>
          </w:rPr>
          <w:t xml:space="preserve">https://www.marktechpost.com/2021/02/11/fda-gives-landmark-clearance-to-clews-ai-driven-icu-predictive-tool/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hl7.org/driving-change-in-2026-use-case-progress-and-preparing-for-hl7-fhir-adoption" TargetMode="External"/><Relationship Id="rId84" Type="http://schemas.openxmlformats.org/officeDocument/2006/relationships/hyperlink" Target="http://clinmedjournals.org/articles/ijaa/international-journal-of-anesthetics-and-anesthesiology-ijaa-11-175.php?jid=ijaa" TargetMode="External"/><Relationship Id="rId83" Type="http://schemas.openxmlformats.org/officeDocument/2006/relationships/hyperlink" Target="https://pmc.ncbi.nlm.nih.gov/articles/PMC11003123/" TargetMode="External"/><Relationship Id="rId42" Type="http://schemas.openxmlformats.org/officeDocument/2006/relationships/hyperlink" Target="https://build.fhir.org/ig/HL7/CDA-core-sd/overview.html" TargetMode="External"/><Relationship Id="rId86" Type="http://schemas.openxmlformats.org/officeDocument/2006/relationships/hyperlink" Target="https://pmc.ncbi.nlm.nih.gov/articles/PMC12705894/" TargetMode="External"/><Relationship Id="rId41" Type="http://schemas.openxmlformats.org/officeDocument/2006/relationships/hyperlink" Target="https://www.lantanagroup.com/transitioning-from-cda-to-fhir/" TargetMode="External"/><Relationship Id="rId85" Type="http://schemas.openxmlformats.org/officeDocument/2006/relationships/hyperlink" Target="https://www.researchgate.net/publication/400259717_Fractional-order_Model_Predictive_Control_Design_for_Anesthesia-Hemodynamic_stabilization_During_Surgical_Procedures" TargetMode="External"/><Relationship Id="rId44" Type="http://schemas.openxmlformats.org/officeDocument/2006/relationships/hyperlink" Target="https://www.intersystems.com/fr/fhir/interoperabilite-evoluee/" TargetMode="External"/><Relationship Id="rId88" Type="http://schemas.openxmlformats.org/officeDocument/2006/relationships/hyperlink" Target="https://www.marktechpost.com/2021/02/11/fda-gives-landmark-clearance-to-clews-ai-driven-icu-predictive-tool/" TargetMode="External"/><Relationship Id="rId43" Type="http://schemas.openxmlformats.org/officeDocument/2006/relationships/hyperlink" Target="https://emorphis.health/blogs/hl7-integration-vs-fhir-vs-cda/" TargetMode="External"/><Relationship Id="rId87" Type="http://schemas.openxmlformats.org/officeDocument/2006/relationships/hyperlink" Target="https://www.researchgate.net/publication/401771501_From_Days_to_Minutes_An_Autonomous_AI_Agent_Achieves_Reliable_Clinical_Triage_in_Remote_Patient_Monitoring/download" TargetMode="External"/><Relationship Id="rId46" Type="http://schemas.openxmlformats.org/officeDocument/2006/relationships/hyperlink" Target="https://medium.com/@awatson1978/hl7-v2-to-fhir-interface-mapping-f83c6ecf6bee" TargetMode="External"/><Relationship Id="rId45" Type="http://schemas.openxmlformats.org/officeDocument/2006/relationships/hyperlink" Target="https://www.intersystems.com/resources/streamlining-health-data-integration-with-fhir/" TargetMode="External"/><Relationship Id="rId80" Type="http://schemas.openxmlformats.org/officeDocument/2006/relationships/hyperlink" Target="https://pmc.ncbi.nlm.nih.gov/articles/PMC4572685/" TargetMode="External"/><Relationship Id="rId82" Type="http://schemas.openxmlformats.org/officeDocument/2006/relationships/hyperlink" Target="https://pmc.ncbi.nlm.nih.gov/articles/PMC10916753/" TargetMode="External"/><Relationship Id="rId81" Type="http://schemas.openxmlformats.org/officeDocument/2006/relationships/hyperlink" Target="https://pure.amsterdamumc.nl/files/142220557/Defining-postinduction-hemodynamic-instability-with-an-automated-classification-model.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1424-8220/25/23/7116" TargetMode="External"/><Relationship Id="rId48" Type="http://schemas.openxmlformats.org/officeDocument/2006/relationships/hyperlink" Target="https://www.edifecs.com/solutions/fhir-gateway/" TargetMode="External"/><Relationship Id="rId47" Type="http://schemas.openxmlformats.org/officeDocument/2006/relationships/hyperlink" Target="https://www.youtube.com/watch?v=VjERRkPQ_eU" TargetMode="External"/><Relationship Id="rId49" Type="http://schemas.openxmlformats.org/officeDocument/2006/relationships/hyperlink" Target="https://www.researchgate.net/figure/HE-PCD-01-transaction-interaction-diagram_fig2_323172606" TargetMode="External"/><Relationship Id="rId5" Type="http://schemas.openxmlformats.org/officeDocument/2006/relationships/styles" Target="styles.xml"/><Relationship Id="rId6" Type="http://schemas.openxmlformats.org/officeDocument/2006/relationships/hyperlink" Target="https://digitalcommons.library.tmc.edu/cgi/viewcontent.cgi?article=1019&amp;context=uthoustonjqualsafe" TargetMode="External"/><Relationship Id="rId7" Type="http://schemas.openxmlformats.org/officeDocument/2006/relationships/hyperlink" Target="https://www.mdpi.com/2076-3417/14/23/10808" TargetMode="External"/><Relationship Id="rId8" Type="http://schemas.openxmlformats.org/officeDocument/2006/relationships/hyperlink" Target="https://www.trustcloud.ai/hipaa/mastering-hipaa-compliance-in-telemedicine-securer-remote-healthcare-delivery-in-2025/" TargetMode="External"/><Relationship Id="rId73" Type="http://schemas.openxmlformats.org/officeDocument/2006/relationships/hyperlink" Target="https://pmc.ncbi.nlm.nih.gov/articles/PMC7643051/" TargetMode="External"/><Relationship Id="rId72" Type="http://schemas.openxmlformats.org/officeDocument/2006/relationships/hyperlink" Target="https://www.mdpi.com/2227-9032/14/1/97" TargetMode="External"/><Relationship Id="rId31" Type="http://schemas.openxmlformats.org/officeDocument/2006/relationships/hyperlink" Target="https://www.ihe.net/Technical_Framework/upload/IHE_PCD_TF_Rev1-2_Vol2_TI_2010-09-30.pdf" TargetMode="External"/><Relationship Id="rId75" Type="http://schemas.openxmlformats.org/officeDocument/2006/relationships/hyperlink" Target="https://www.researchgate.net/publication/395270603_An_Agentic_Model_Context_Protocol_Framework_for_Medical_Concept_Standardization" TargetMode="External"/><Relationship Id="rId30" Type="http://schemas.openxmlformats.org/officeDocument/2006/relationships/hyperlink" Target="https://pmc.ncbi.nlm.nih.gov/articles/PMC10922302/" TargetMode="External"/><Relationship Id="rId74" Type="http://schemas.openxmlformats.org/officeDocument/2006/relationships/hyperlink" Target="https://artera.io/blog/model-context-protocol-explanation/" TargetMode="External"/><Relationship Id="rId33" Type="http://schemas.openxmlformats.org/officeDocument/2006/relationships/hyperlink" Target="https://www.medtecheurope.org/wp-content/uploads/2021/01/210113-mte-ihe-himss_webinar.pdf" TargetMode="External"/><Relationship Id="rId77" Type="http://schemas.openxmlformats.org/officeDocument/2006/relationships/hyperlink" Target="https://www.anthropic.com/news/model-context-protocol" TargetMode="External"/><Relationship Id="rId32" Type="http://schemas.openxmlformats.org/officeDocument/2006/relationships/hyperlink" Target="https://wiki.ihe.net/index.php/PCD_Technical_Framework" TargetMode="External"/><Relationship Id="rId76" Type="http://schemas.openxmlformats.org/officeDocument/2006/relationships/hyperlink" Target="https://www.vouched.id/learn/blog/the-model-context-protocol-unlocking-trust-and-efficiency-for-ai-in-healthcare" TargetMode="External"/><Relationship Id="rId35" Type="http://schemas.openxmlformats.org/officeDocument/2006/relationships/hyperlink" Target="https://www.ihe.net/uploadedFiles/Documents/PCD/IHE_PCD_White_Paper_Message_Optimization_Rev1.0_2014-04-30.pdf" TargetMode="External"/><Relationship Id="rId79" Type="http://schemas.openxmlformats.org/officeDocument/2006/relationships/hyperlink" Target="https://www.mednosis.com/digest?impact=promising" TargetMode="External"/><Relationship Id="rId34" Type="http://schemas.openxmlformats.org/officeDocument/2006/relationships/hyperlink" Target="https://pmc.ncbi.nlm.nih.gov/articles/PMC5820086/" TargetMode="External"/><Relationship Id="rId78" Type="http://schemas.openxmlformats.org/officeDocument/2006/relationships/hyperlink" Target="https://www.fdbhealth.com/about-us/media-coverage/2025-11-12-ais-model-context-protocol-everything-you-wanted-to-know-but-were-afraid-to-ask" TargetMode="External"/><Relationship Id="rId71" Type="http://schemas.openxmlformats.org/officeDocument/2006/relationships/hyperlink" Target="https://www.dlapiperdataprotection.com/?t=law&amp;c=TN" TargetMode="External"/><Relationship Id="rId70" Type="http://schemas.openxmlformats.org/officeDocument/2006/relationships/hyperlink" Target="https://www.abbott.com/en-us/privacy-policy/tunisia-privacy-policy" TargetMode="External"/><Relationship Id="rId37" Type="http://schemas.openxmlformats.org/officeDocument/2006/relationships/hyperlink" Target="https://www.ihe.net/resources/technical_frameworks/" TargetMode="External"/><Relationship Id="rId36" Type="http://schemas.openxmlformats.org/officeDocument/2006/relationships/hyperlink" Target="https://accenet.org/NewsEvents/Documents/Symposiums/Schluter_ACCE_AAMI_Symposium.pdf" TargetMode="External"/><Relationship Id="rId39" Type="http://schemas.openxmlformats.org/officeDocument/2006/relationships/hyperlink" Target="https://pmc.ncbi.nlm.nih.gov/articles/PMC12183129/" TargetMode="External"/><Relationship Id="rId38" Type="http://schemas.openxmlformats.org/officeDocument/2006/relationships/hyperlink" Target="https://www.ihe.net/uploadedFiles/Documents/ITI/IHE_ITI_Suppl_MHD_Rev3-2_TI_2020-08-28.pdf" TargetMode="External"/><Relationship Id="rId62" Type="http://schemas.openxmlformats.org/officeDocument/2006/relationships/hyperlink" Target="https://future.hospital/en/wissensdatenbank/details/fhir-and-health-middleware-pathways-to-real-time-data-integration-in-hospitals" TargetMode="External"/><Relationship Id="rId61" Type="http://schemas.openxmlformats.org/officeDocument/2006/relationships/hyperlink" Target="https://www.ihe.net/uploadedFiles/Documents/ITI/IHE_ITI_Suppl_mXDE_Rev1.1_TI_2017-08-04.pdf" TargetMode="External"/><Relationship Id="rId20" Type="http://schemas.openxmlformats.org/officeDocument/2006/relationships/hyperlink" Target="https://blogs.infosys.com/digital-experience/artificial-intelligence/scaling-advanced-bmad-techniques-ai-driven-development-with-context-engineering.html" TargetMode="External"/><Relationship Id="rId64" Type="http://schemas.openxmlformats.org/officeDocument/2006/relationships/hyperlink" Target="https://profiles.ihe.net/ITI/TF/Volume1/ch-13.html" TargetMode="External"/><Relationship Id="rId63" Type="http://schemas.openxmlformats.org/officeDocument/2006/relationships/hyperlink" Target="https://www.researchgate.net/publication/221160767_On_Secure_Implementation_of_an_IHE_XUA-Based_Protocol_for_Authenticating_Healthcare_Professionals" TargetMode="External"/><Relationship Id="rId22" Type="http://schemas.openxmlformats.org/officeDocument/2006/relationships/hyperlink" Target="https://xbsoftware.com/blog/spec-driven-development-ai-assisted-software-engineering/" TargetMode="External"/><Relationship Id="rId66" Type="http://schemas.openxmlformats.org/officeDocument/2006/relationships/hyperlink" Target="https://healthcaresolutions-us.fujifilm.com/wp-content/uploads/2023/02/SynapseVNAVersion7_X_IHEIntegration.pdf" TargetMode="External"/><Relationship Id="rId21" Type="http://schemas.openxmlformats.org/officeDocument/2006/relationships/hyperlink" Target="https://github.com/EvolutionAPI/BMAD-METHOD-BY-EVOLUTION" TargetMode="External"/><Relationship Id="rId65" Type="http://schemas.openxmlformats.org/officeDocument/2006/relationships/hyperlink" Target="https://www.ihe.net/uploadedFiles/Documents/ITI/IHE_ITI_TF_Rev16-0_Vol1_FT_2019-07-12.pdf" TargetMode="External"/><Relationship Id="rId24" Type="http://schemas.openxmlformats.org/officeDocument/2006/relationships/hyperlink" Target="https://github.com/bmad-code-org/BMAD-METHOD" TargetMode="External"/><Relationship Id="rId68" Type="http://schemas.openxmlformats.org/officeDocument/2006/relationships/hyperlink" Target="https://dataprotection.africa/wp-content/uploads/2019/10/Tunisia-Factsheet.pdf" TargetMode="External"/><Relationship Id="rId23" Type="http://schemas.openxmlformats.org/officeDocument/2006/relationships/hyperlink" Target="https://medium.com/@mariussabaliauskas/a-comparative-analysis-of-ai-agentic-frameworks-bmad-method-vs-github-spec-kit-edd8a9c65c5e" TargetMode="External"/><Relationship Id="rId67" Type="http://schemas.openxmlformats.org/officeDocument/2006/relationships/hyperlink" Target="https://www.dpo-consulting.com/blog/tunisia-data-protection-lsaw" TargetMode="External"/><Relationship Id="rId60" Type="http://schemas.openxmlformats.org/officeDocument/2006/relationships/hyperlink" Target="https://profiles.ihe.net/ITI/mXDE/index.html" TargetMode="External"/><Relationship Id="rId26" Type="http://schemas.openxmlformats.org/officeDocument/2006/relationships/hyperlink" Target="https://www.ihe.net/resources/profiles/" TargetMode="External"/><Relationship Id="rId25" Type="http://schemas.openxmlformats.org/officeDocument/2006/relationships/hyperlink" Target="https://medium.com/@hieutrantrung.it/from-token-hell-to-90-savings-how-bmad-v6-revolutionized-ai-assisted-development-09c175013085" TargetMode="External"/><Relationship Id="rId69" Type="http://schemas.openxmlformats.org/officeDocument/2006/relationships/hyperlink" Target="https://smartafrica.org/wp-content/uploads/2025/11/Digital-Health-Blueprint-French.pdf" TargetMode="External"/><Relationship Id="rId28" Type="http://schemas.openxmlformats.org/officeDocument/2006/relationships/hyperlink" Target="https://implementer.digitalhealth.gov.au/standards/ihe-patient-care-device-pcd-technical-framework-volume-1-ihe-pcd-tf-1-profiles-v9" TargetMode="External"/><Relationship Id="rId27" Type="http://schemas.openxmlformats.org/officeDocument/2006/relationships/hyperlink" Target="https://wiki.ihe.net/index.php/Profiles" TargetMode="External"/><Relationship Id="rId29" Type="http://schemas.openxmlformats.org/officeDocument/2006/relationships/hyperlink" Target="https://www.ihe.net/uploadedFiles/Documents/PCD/IHE_PCD_TF_Rev9-0_Vol1_FT_2019-12-12.pdf" TargetMode="External"/><Relationship Id="rId51" Type="http://schemas.openxmlformats.org/officeDocument/2006/relationships/hyperlink" Target="https://confluence.hl7.org/download/attachments/113674346/Gemini%20SDPi%201.0%20Reviewer%20Briefings%202022.12%20to%202023.01C%20-%20Session%20%233%202022.12.21.pdf?version=1&amp;modificationDate=1671642075125&amp;api=v2" TargetMode="External"/><Relationship Id="rId50" Type="http://schemas.openxmlformats.org/officeDocument/2006/relationships/hyperlink" Target="https://www.ihe.net/uploadedFiles/Documents/PCD/IHE_PCD_WP_SDPi_Rev1-0_PC_2019-08-23.pdf" TargetMode="External"/><Relationship Id="rId53" Type="http://schemas.openxmlformats.org/officeDocument/2006/relationships/hyperlink" Target="https://profiles.ihe.net/DEV/SDPi/index.html" TargetMode="External"/><Relationship Id="rId52" Type="http://schemas.openxmlformats.org/officeDocument/2006/relationships/hyperlink" Target="https://www.ihe.net/uploadedFiles/Documents/Devices/IHE_DEV_Suppl_SDPi_Rev1-2-0_TI_2023-12-08.pdf" TargetMode="External"/><Relationship Id="rId11" Type="http://schemas.openxmlformats.org/officeDocument/2006/relationships/hyperlink" Target="https://pmc.ncbi.nlm.nih.gov/articles/PMC11058599/" TargetMode="External"/><Relationship Id="rId55" Type="http://schemas.openxmlformats.org/officeDocument/2006/relationships/hyperlink" Target="https://www.devdays.com/wp-content/uploads/2023/08/230608_GregorioCanal_XDSonFHIR.pdf" TargetMode="External"/><Relationship Id="rId10" Type="http://schemas.openxmlformats.org/officeDocument/2006/relationships/hyperlink" Target="https://www.ihe.net/uploadedFiles/Documents/DEV/IHE_DEV_TF_Vol1.pdf" TargetMode="External"/><Relationship Id="rId54" Type="http://schemas.openxmlformats.org/officeDocument/2006/relationships/hyperlink" Target="https://pmc.ncbi.nlm.nih.gov/articles/PMC11693713/" TargetMode="External"/><Relationship Id="rId13" Type="http://schemas.openxmlformats.org/officeDocument/2006/relationships/hyperlink" Target="https://pmc.ncbi.nlm.nih.gov/articles/PMC7654525/" TargetMode="External"/><Relationship Id="rId57" Type="http://schemas.openxmlformats.org/officeDocument/2006/relationships/hyperlink" Target="https://profiles.ihe.net/ITI/MHD/index.html" TargetMode="External"/><Relationship Id="rId12" Type="http://schemas.openxmlformats.org/officeDocument/2006/relationships/hyperlink" Target="https://profiles.ihe.net/ITI/TF/Volume1/ch-27.html" TargetMode="External"/><Relationship Id="rId56" Type="http://schemas.openxmlformats.org/officeDocument/2006/relationships/hyperlink" Target="https://build.fhir.org/ig/IHE/ITI.MHD/1334_overview.html" TargetMode="External"/><Relationship Id="rId15" Type="http://schemas.openxmlformats.org/officeDocument/2006/relationships/hyperlink" Target="https://kaduceo.com/fr/resources/etat-de-lart-modelisation-des-parcours-de-soins" TargetMode="External"/><Relationship Id="rId59" Type="http://schemas.openxmlformats.org/officeDocument/2006/relationships/hyperlink" Target="https://developer.digitalhealth.gov.au/standards/mobile-cross-enterprise-document-data-element-extraction-mxde-v1-3-0" TargetMode="External"/><Relationship Id="rId14" Type="http://schemas.openxmlformats.org/officeDocument/2006/relationships/hyperlink" Target="https://journals.openedition.org/educationdidactique/2659" TargetMode="External"/><Relationship Id="rId58" Type="http://schemas.openxmlformats.org/officeDocument/2006/relationships/hyperlink" Target="https://www.ihe.net/uploadedFiles/Documents/ITI/IHE_ITI_Suppl_MHDS_Rev2-1_TI_2020-05-29.pdf" TargetMode="External"/><Relationship Id="rId17" Type="http://schemas.openxmlformats.org/officeDocument/2006/relationships/hyperlink" Target="https://www.ibm.com/fr-fr/think/topics/process-modeling" TargetMode="External"/><Relationship Id="rId16" Type="http://schemas.openxmlformats.org/officeDocument/2006/relationships/hyperlink" Target="https://businessmap.io/fr/business-process-management/modelisation-processus" TargetMode="External"/><Relationship Id="rId19" Type="http://schemas.openxmlformats.org/officeDocument/2006/relationships/hyperlink" Target="https://medium.com/@visrow/bmad-method-vs-vibe-coding-structured-ai-development-vs-intuitive-programming-6d57957a42d5" TargetMode="External"/><Relationship Id="rId18" Type="http://schemas.openxmlformats.org/officeDocument/2006/relationships/hyperlink" Target="https://www.elo.com/fr-fr/guide-pratique/modelisation-processus-metie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