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64748B"/>
          <w:sz w:val="28"/>
        </w:rPr>
        <w:t>PROJET DE FIN D'ÉTUDES</w:t>
      </w:r>
    </w:p>
    <w:p>
      <w:pPr>
        <w:jc w:val="center"/>
      </w:pPr>
      <w:r>
        <w:rPr>
          <w:rFonts w:ascii="Calibri" w:hAnsi="Calibri"/>
          <w:b/>
          <w:i w:val="0"/>
          <w:color w:val="1E3A8A"/>
          <w:sz w:val="44"/>
        </w:rPr>
        <w:t>Analyse Globale et Pédagogique</w:t>
      </w:r>
    </w:p>
    <w:p>
      <w:pPr>
        <w:jc w:val="center"/>
      </w:pPr>
      <w:r>
        <w:rPr>
          <w:rFonts w:ascii="Calibri" w:hAnsi="Calibri"/>
          <w:b/>
          <w:i w:val="0"/>
          <w:color w:val="1D4ED8"/>
          <w:sz w:val="32"/>
        </w:rPr>
        <w:t>Projet ML — Prédiction des Ventes Régionales</w:t>
      </w:r>
    </w:p>
    <w:p/>
    <w:p>
      <w:pPr>
        <w:spacing w:before="120" w:after="120"/>
      </w:pPr>
      <w:r>
        <w:rPr>
          <w:color w:val="CCCCCC"/>
          <w:sz w:val="16"/>
        </w:rPr>
        <w:t>──────────────────────────────────────────────────────────────────────────────────────────</w:t>
      </w:r>
    </w:p>
    <w:tbl>
      <w:tblPr>
        <w:tblStyle w:val="TableGrid"/>
        <w:tblW w:type="auto" w:w="0"/>
        <w:jc w:val="center"/>
        <w:tblLook w:firstColumn="1" w:firstRow="1" w:lastColumn="0" w:lastRow="0" w:noHBand="0" w:noVBand="1" w:val="04A0"/>
      </w:tblPr>
      <w:tblGrid>
        <w:gridCol w:w="4561"/>
        <w:gridCol w:w="4561"/>
      </w:tblGrid>
      <w:tr>
        <w:tc>
          <w:tcPr>
            <w:tcW w:type="dxa" w:w="4535"/>
            <w:shd w:val="clear" w:color="auto" w:fill="EFF6FF"/>
          </w:tcPr>
          <w:p>
            <w:pPr>
              <w:jc w:val="right"/>
            </w:pPr>
            <w:r>
              <w:rPr>
                <w:rFonts w:ascii="Calibri" w:hAnsi="Calibri"/>
                <w:b/>
                <w:i w:val="0"/>
                <w:color w:val="1E3A8A"/>
                <w:sz w:val="22"/>
              </w:rPr>
              <w:t>Accuracy</w:t>
            </w:r>
          </w:p>
        </w:tc>
        <w:tc>
          <w:tcPr>
            <w:tcW w:type="dxa" w:w="3402"/>
            <w:shd w:val="clear" w:color="auto" w:fill="EFF6FF"/>
          </w:tcPr>
          <w:p>
            <w:pPr>
              <w:jc w:val="left"/>
            </w:pPr>
            <w:r>
              <w:rPr>
                <w:rFonts w:ascii="Calibri" w:hAnsi="Calibri"/>
                <w:b/>
                <w:i w:val="0"/>
                <w:color w:val="074726"/>
                <w:sz w:val="22"/>
              </w:rPr>
              <w:t>72.94%</w:t>
            </w:r>
          </w:p>
        </w:tc>
      </w:tr>
      <w:tr>
        <w:tc>
          <w:tcPr>
            <w:tcW w:type="dxa" w:w="4535"/>
            <w:shd w:val="clear" w:color="auto" w:fill="DBEAFE"/>
          </w:tcPr>
          <w:p>
            <w:pPr>
              <w:jc w:val="right"/>
            </w:pPr>
            <w:r>
              <w:rPr>
                <w:rFonts w:ascii="Calibri" w:hAnsi="Calibri"/>
                <w:b/>
                <w:i w:val="0"/>
                <w:color w:val="1E3A8A"/>
                <w:sz w:val="22"/>
              </w:rPr>
              <w:t>F1-Score (pondéré)</w:t>
            </w:r>
          </w:p>
        </w:tc>
        <w:tc>
          <w:tcPr>
            <w:tcW w:type="dxa" w:w="3402"/>
            <w:shd w:val="clear" w:color="auto" w:fill="DBEAFE"/>
          </w:tcPr>
          <w:p>
            <w:pPr>
              <w:jc w:val="left"/>
            </w:pPr>
            <w:r>
              <w:rPr>
                <w:rFonts w:ascii="Calibri" w:hAnsi="Calibri"/>
                <w:b/>
                <w:i w:val="0"/>
                <w:color w:val="074726"/>
                <w:sz w:val="22"/>
              </w:rPr>
              <w:t>70.03%</w:t>
            </w:r>
          </w:p>
        </w:tc>
      </w:tr>
      <w:tr>
        <w:tc>
          <w:tcPr>
            <w:tcW w:type="dxa" w:w="4535"/>
            <w:shd w:val="clear" w:color="auto" w:fill="EFF6FF"/>
          </w:tcPr>
          <w:p>
            <w:pPr>
              <w:jc w:val="right"/>
            </w:pPr>
            <w:r>
              <w:rPr>
                <w:rFonts w:ascii="Calibri" w:hAnsi="Calibri"/>
                <w:b/>
                <w:i w:val="0"/>
                <w:color w:val="1E3A8A"/>
                <w:sz w:val="22"/>
              </w:rPr>
              <w:t>AUC-ROC</w:t>
            </w:r>
          </w:p>
        </w:tc>
        <w:tc>
          <w:tcPr>
            <w:tcW w:type="dxa" w:w="3402"/>
            <w:shd w:val="clear" w:color="auto" w:fill="EFF6FF"/>
          </w:tcPr>
          <w:p>
            <w:pPr>
              <w:jc w:val="left"/>
            </w:pPr>
            <w:r>
              <w:rPr>
                <w:rFonts w:ascii="Calibri" w:hAnsi="Calibri"/>
                <w:b/>
                <w:i w:val="0"/>
                <w:color w:val="074726"/>
                <w:sz w:val="22"/>
              </w:rPr>
              <w:t>70.92%</w:t>
            </w:r>
          </w:p>
        </w:tc>
      </w:tr>
      <w:tr>
        <w:tc>
          <w:tcPr>
            <w:tcW w:type="dxa" w:w="4535"/>
            <w:shd w:val="clear" w:color="auto" w:fill="DBEAFE"/>
          </w:tcPr>
          <w:p>
            <w:pPr>
              <w:jc w:val="right"/>
            </w:pPr>
            <w:r>
              <w:rPr>
                <w:rFonts w:ascii="Calibri" w:hAnsi="Calibri"/>
                <w:b/>
                <w:i w:val="0"/>
                <w:color w:val="1E3A8A"/>
                <w:sz w:val="22"/>
              </w:rPr>
              <w:t>CV 5-folds</w:t>
            </w:r>
          </w:p>
        </w:tc>
        <w:tc>
          <w:tcPr>
            <w:tcW w:type="dxa" w:w="3402"/>
            <w:shd w:val="clear" w:color="auto" w:fill="DBEAFE"/>
          </w:tcPr>
          <w:p>
            <w:pPr>
              <w:jc w:val="left"/>
            </w:pPr>
            <w:r>
              <w:rPr>
                <w:rFonts w:ascii="Calibri" w:hAnsi="Calibri"/>
                <w:b/>
                <w:i w:val="0"/>
                <w:color w:val="074726"/>
                <w:sz w:val="22"/>
              </w:rPr>
              <w:t>72.85% ± 0.84%</w:t>
            </w:r>
          </w:p>
        </w:tc>
      </w:tr>
      <w:tr>
        <w:tc>
          <w:tcPr>
            <w:tcW w:type="dxa" w:w="4535"/>
            <w:shd w:val="clear" w:color="auto" w:fill="EFF6FF"/>
          </w:tcPr>
          <w:p>
            <w:pPr>
              <w:jc w:val="right"/>
            </w:pPr>
            <w:r>
              <w:rPr>
                <w:rFonts w:ascii="Calibri" w:hAnsi="Calibri"/>
                <w:b/>
                <w:i w:val="0"/>
                <w:color w:val="1E3A8A"/>
                <w:sz w:val="22"/>
              </w:rPr>
              <w:t>Transactions analysées</w:t>
            </w:r>
          </w:p>
        </w:tc>
        <w:tc>
          <w:tcPr>
            <w:tcW w:type="dxa" w:w="3402"/>
            <w:shd w:val="clear" w:color="auto" w:fill="EFF6FF"/>
          </w:tcPr>
          <w:p>
            <w:pPr>
              <w:jc w:val="left"/>
            </w:pPr>
            <w:r>
              <w:rPr>
                <w:rFonts w:ascii="Calibri" w:hAnsi="Calibri"/>
                <w:b/>
                <w:i w:val="0"/>
                <w:color w:val="074726"/>
                <w:sz w:val="22"/>
              </w:rPr>
              <w:t>3 595</w:t>
            </w:r>
          </w:p>
        </w:tc>
      </w:tr>
      <w:tr>
        <w:tc>
          <w:tcPr>
            <w:tcW w:type="dxa" w:w="4535"/>
            <w:shd w:val="clear" w:color="auto" w:fill="DBEAFE"/>
          </w:tcPr>
          <w:p>
            <w:pPr>
              <w:jc w:val="right"/>
            </w:pPr>
            <w:r>
              <w:rPr>
                <w:rFonts w:ascii="Calibri" w:hAnsi="Calibri"/>
                <w:b/>
                <w:i w:val="0"/>
                <w:color w:val="1E3A8A"/>
                <w:sz w:val="22"/>
              </w:rPr>
              <w:t>Gouvernorats couverts</w:t>
            </w:r>
          </w:p>
        </w:tc>
        <w:tc>
          <w:tcPr>
            <w:tcW w:type="dxa" w:w="3402"/>
            <w:shd w:val="clear" w:color="auto" w:fill="DBEAFE"/>
          </w:tcPr>
          <w:p>
            <w:pPr>
              <w:jc w:val="left"/>
            </w:pPr>
            <w:r>
              <w:rPr>
                <w:rFonts w:ascii="Calibri" w:hAnsi="Calibri"/>
                <w:b/>
                <w:i w:val="0"/>
                <w:color w:val="074726"/>
                <w:sz w:val="22"/>
              </w:rPr>
              <w:t>24 / 24</w:t>
            </w:r>
          </w:p>
        </w:tc>
      </w:tr>
      <w:tr>
        <w:tc>
          <w:tcPr>
            <w:tcW w:type="dxa" w:w="4535"/>
            <w:shd w:val="clear" w:color="auto" w:fill="EFF6FF"/>
          </w:tcPr>
          <w:p>
            <w:pPr>
              <w:jc w:val="right"/>
            </w:pPr>
            <w:r>
              <w:rPr>
                <w:rFonts w:ascii="Calibri" w:hAnsi="Calibri"/>
                <w:b/>
                <w:i w:val="0"/>
                <w:color w:val="1E3A8A"/>
                <w:sz w:val="22"/>
              </w:rPr>
              <w:t>Algorithmes benchmarkés</w:t>
            </w:r>
          </w:p>
        </w:tc>
        <w:tc>
          <w:tcPr>
            <w:tcW w:type="dxa" w:w="3402"/>
            <w:shd w:val="clear" w:color="auto" w:fill="EFF6FF"/>
          </w:tcPr>
          <w:p>
            <w:pPr>
              <w:jc w:val="left"/>
            </w:pPr>
            <w:r>
              <w:rPr>
                <w:rFonts w:ascii="Calibri" w:hAnsi="Calibri"/>
                <w:b/>
                <w:i w:val="0"/>
                <w:color w:val="074726"/>
                <w:sz w:val="22"/>
              </w:rPr>
              <w:t>10</w:t>
            </w:r>
          </w:p>
        </w:tc>
      </w:tr>
      <w:tr>
        <w:tc>
          <w:tcPr>
            <w:tcW w:type="dxa" w:w="4535"/>
            <w:shd w:val="clear" w:color="auto" w:fill="DBEAFE"/>
          </w:tcPr>
          <w:p>
            <w:pPr>
              <w:jc w:val="right"/>
            </w:pPr>
            <w:r>
              <w:rPr>
                <w:rFonts w:ascii="Calibri" w:hAnsi="Calibri"/>
                <w:b/>
                <w:i w:val="0"/>
                <w:color w:val="1E3A8A"/>
                <w:sz w:val="22"/>
              </w:rPr>
              <w:t>Niveau du projet</w:t>
            </w:r>
          </w:p>
        </w:tc>
        <w:tc>
          <w:tcPr>
            <w:tcW w:type="dxa" w:w="3402"/>
            <w:shd w:val="clear" w:color="auto" w:fill="DBEAFE"/>
          </w:tcPr>
          <w:p>
            <w:pPr>
              <w:jc w:val="left"/>
            </w:pPr>
            <w:r>
              <w:rPr>
                <w:rFonts w:ascii="Calibri" w:hAnsi="Calibri"/>
                <w:b/>
                <w:i w:val="0"/>
                <w:color w:val="074726"/>
                <w:sz w:val="22"/>
              </w:rPr>
              <w:t>Avancé / Pré-industriel</w:t>
            </w:r>
          </w:p>
        </w:tc>
      </w:tr>
    </w:tbl>
    <w:p/>
    <w:p>
      <w:pPr>
        <w:jc w:val="center"/>
      </w:pPr>
      <w:r>
        <w:rPr>
          <w:rFonts w:ascii="Calibri" w:hAnsi="Calibri"/>
          <w:b w:val="0"/>
          <w:i/>
          <w:color w:val="64748B"/>
          <w:sz w:val="20"/>
        </w:rPr>
        <w:t>Modèle : Voting Ensemble (VotingClassifier)  |  Stack : Python / scikit-learn / Flask / SQL Server</w:t>
      </w:r>
    </w:p>
    <w:p>
      <w:r>
        <w:br w:type="page"/>
      </w:r>
    </w:p>
    <w:p>
      <w:pPr>
        <w:pStyle w:val="Heading1"/>
        <w:spacing w:before="360" w:after="120"/>
      </w:pPr>
      <w:r>
        <w:rPr>
          <w:rFonts w:ascii="Calibri" w:hAnsi="Calibri"/>
          <w:color w:val="1E3A8A"/>
        </w:rPr>
        <w:t>1. Vue d'ensemble du projet</w:t>
      </w:r>
    </w:p>
    <w:p>
      <w:pPr>
        <w:pStyle w:val="Heading2"/>
        <w:spacing w:before="280" w:after="80"/>
      </w:pPr>
      <w:r>
        <w:rPr>
          <w:rFonts w:ascii="Calibri" w:hAnsi="Calibri"/>
          <w:color w:val="1D4ED8"/>
        </w:rPr>
        <w:t>1.1 Le problème métier</w:t>
      </w:r>
    </w:p>
    <w:p>
      <w:pPr>
        <w:spacing w:after="80"/>
      </w:pPr>
      <w:r>
        <w:rPr>
          <w:rFonts w:ascii="Calibri" w:hAnsi="Calibri"/>
          <w:b w:val="0"/>
          <w:i w:val="0"/>
          <w:sz w:val="22"/>
        </w:rPr>
        <w:t>Imaginez une entreprise qui distribue des dispositifs médicaux à travers toute la Tunisie. Elle a 24 gouvernorats à couvrir, des équipes commerciales à déployer, des stocks à pré-positionner, et un budget limité. La question stratégique est simple mais cruciale :</w:t>
      </w:r>
    </w:p>
    <w:p>
      <w:pPr>
        <w:spacing w:before="120" w:after="120"/>
        <w:jc w:val="center"/>
      </w:pPr>
      <w:r>
        <w:rPr>
          <w:rFonts w:ascii="Calibri" w:hAnsi="Calibri"/>
          <w:b/>
          <w:i w:val="0"/>
          <w:color w:val="1E3A8A"/>
          <w:sz w:val="24"/>
        </w:rPr>
        <w:t>Où investir davantage ? Où maintenir le cap ? Où réallouer les ressources ?</w:t>
      </w:r>
    </w:p>
    <w:p>
      <w:pPr>
        <w:spacing w:after="80"/>
      </w:pPr>
      <w:r>
        <w:rPr>
          <w:rFonts w:ascii="Calibri" w:hAnsi="Calibri"/>
          <w:b w:val="0"/>
          <w:i w:val="0"/>
          <w:sz w:val="22"/>
        </w:rPr>
        <w:t>Sans analyse automatisée, cette décision repose sur l'intuition des managers, sur des rapports manuels, et sur l'expérience historique. C'est lent, subjectif, et souvent réactif — on ajuste après avoir constaté un problème, rarement avant.</w:t>
      </w:r>
    </w:p>
    <w:p>
      <w:pPr>
        <w:pStyle w:val="Heading2"/>
        <w:spacing w:before="280" w:after="80"/>
      </w:pPr>
      <w:r>
        <w:rPr>
          <w:rFonts w:ascii="Calibri" w:hAnsi="Calibri"/>
          <w:color w:val="1D4ED8"/>
        </w:rPr>
        <w:t>1.2 La solution proposée</w:t>
      </w:r>
    </w:p>
    <w:p>
      <w:pPr>
        <w:spacing w:after="80"/>
      </w:pPr>
      <w:r>
        <w:rPr>
          <w:rFonts w:ascii="Calibri" w:hAnsi="Calibri"/>
          <w:b w:val="0"/>
          <w:i w:val="0"/>
          <w:sz w:val="22"/>
        </w:rPr>
        <w:t>Ce projet construit un système d'aide à la décision commerciale régionale, alimenté par les données réelles de l'ERP de l'entreprise. Le système :</w:t>
      </w:r>
    </w:p>
    <w:p>
      <w:pPr>
        <w:pStyle w:val="ListBullet"/>
        <w:spacing w:after="40"/>
        <w:ind w:left="850"/>
      </w:pPr>
      <w:r>
        <w:rPr>
          <w:rFonts w:ascii="Calibri" w:hAnsi="Calibri"/>
          <w:b w:val="0"/>
          <w:i w:val="0"/>
          <w:sz w:val="22"/>
        </w:rPr>
        <w:t>Analyse automatiquement les transactions de ventes historiques</w:t>
      </w:r>
    </w:p>
    <w:p>
      <w:pPr>
        <w:pStyle w:val="ListBullet"/>
        <w:spacing w:after="40"/>
        <w:ind w:left="850"/>
      </w:pPr>
      <w:r>
        <w:rPr>
          <w:rFonts w:ascii="Calibri" w:hAnsi="Calibri"/>
          <w:b w:val="0"/>
          <w:i w:val="0"/>
          <w:sz w:val="22"/>
        </w:rPr>
        <w:t>Prédit l'intensité commerciale attendue par région</w:t>
      </w:r>
    </w:p>
    <w:p>
      <w:pPr>
        <w:pStyle w:val="ListBullet"/>
        <w:spacing w:after="40"/>
        <w:ind w:left="850"/>
      </w:pPr>
      <w:r>
        <w:rPr>
          <w:rFonts w:ascii="Calibri" w:hAnsi="Calibri"/>
          <w:b w:val="0"/>
          <w:i w:val="0"/>
          <w:sz w:val="22"/>
        </w:rPr>
        <w:t>Génère des recommandations stratégiques : AUGMENTER, MAINTENIR, RÉDUIRE</w:t>
      </w:r>
    </w:p>
    <w:p>
      <w:pPr>
        <w:pStyle w:val="ListBullet"/>
        <w:spacing w:after="40"/>
        <w:ind w:left="850"/>
      </w:pPr>
      <w:r>
        <w:rPr>
          <w:rFonts w:ascii="Calibri" w:hAnsi="Calibri"/>
          <w:b w:val="0"/>
          <w:i w:val="0"/>
          <w:sz w:val="22"/>
        </w:rPr>
        <w:t>Expose ces prédictions via une API REST accessible en temps réel</w:t>
      </w:r>
    </w:p>
    <w:p>
      <w:pPr>
        <w:pStyle w:val="ListBullet"/>
        <w:spacing w:after="40"/>
        <w:ind w:left="850"/>
      </w:pPr>
      <w:r>
        <w:rPr>
          <w:rFonts w:ascii="Calibri" w:hAnsi="Calibri"/>
          <w:b w:val="0"/>
          <w:i w:val="0"/>
          <w:sz w:val="22"/>
        </w:rPr>
        <w:t>Se réentraîne automatiquement quand de nouvelles données arrivent</w:t>
      </w:r>
    </w:p>
    <w:p>
      <w:pPr>
        <w:spacing w:after="80"/>
      </w:pPr>
      <w:r>
        <w:rPr>
          <w:rFonts w:ascii="Calibri" w:hAnsi="Calibri"/>
          <w:b w:val="0"/>
          <w:i w:val="0"/>
          <w:sz w:val="22"/>
        </w:rPr>
      </w:r>
    </w:p>
    <w:p>
      <w:pPr>
        <w:spacing w:after="80"/>
      </w:pPr>
      <w:r>
        <w:rPr>
          <w:rFonts w:ascii="Calibri" w:hAnsi="Calibri"/>
          <w:b w:val="0"/>
          <w:i/>
          <w:sz w:val="22"/>
        </w:rPr>
        <w:t>Ce n'est pas un simple rapport de statistiques. C'est un pipeline ML de production, de l'extraction des données jusqu'à la recommandation finale, avec une infrastructure capable d'évoluer dans le temps.</w:t>
      </w:r>
    </w:p>
    <w:p>
      <w:pPr>
        <w:pStyle w:val="Heading2"/>
        <w:spacing w:before="280" w:after="80"/>
      </w:pPr>
      <w:r>
        <w:rPr>
          <w:rFonts w:ascii="Calibri" w:hAnsi="Calibri"/>
          <w:color w:val="1D4ED8"/>
        </w:rPr>
        <w:t>1.3 Le pipeline en une phrase</w:t>
      </w:r>
    </w:p>
    <w:p>
      <w:pPr>
        <w:spacing w:before="80" w:after="80"/>
        <w:ind w:left="850" w:right="567"/>
        <w:shd w:val="clear" w:color="auto" w:fill="F0F4F8"/>
      </w:pPr>
      <w:r>
        <w:rPr>
          <w:rFonts w:ascii="Courier New" w:hAnsi="Courier New"/>
          <w:color w:val="1E3A8A"/>
          <w:sz w:val="18"/>
        </w:rPr>
        <w:t>Données brutes ERP  →  Nettoyage  →  Inférence géographique  →  Enrichissement INS 2023</w:t>
        <w:br/>
        <w:t xml:space="preserve">     →  Entraînement VotingClassifier  →  Recommandations stratégiques  →  API Flask</w:t>
      </w:r>
    </w:p>
    <w:p>
      <w:r>
        <w:br w:type="page"/>
      </w:r>
    </w:p>
    <w:p>
      <w:pPr>
        <w:pStyle w:val="Heading1"/>
        <w:spacing w:before="360" w:after="120"/>
      </w:pPr>
      <w:r>
        <w:rPr>
          <w:rFonts w:ascii="Calibri" w:hAnsi="Calibri"/>
          <w:color w:val="1E3A8A"/>
        </w:rPr>
        <w:t>2. Explication étape par étape du pipeline</w:t>
      </w:r>
    </w:p>
    <w:p>
      <w:pPr>
        <w:pStyle w:val="Heading2"/>
        <w:spacing w:before="280" w:after="80"/>
      </w:pPr>
      <w:r>
        <w:rPr>
          <w:rFonts w:ascii="Calibri" w:hAnsi="Calibri"/>
          <w:color w:val="1D4ED8"/>
        </w:rPr>
        <w:t>Étape 1 — Connexion et extraction des données SQL Server</w:t>
      </w:r>
    </w:p>
    <w:p>
      <w:pPr>
        <w:pStyle w:val="Heading3"/>
        <w:spacing w:before="200"/>
      </w:pPr>
      <w:r>
        <w:rPr>
          <w:rFonts w:ascii="Calibri" w:hAnsi="Calibri"/>
          <w:color w:val="376BB5"/>
        </w:rPr>
        <w:t>Rôle</w:t>
      </w:r>
    </w:p>
    <w:p>
      <w:pPr>
        <w:spacing w:after="80"/>
      </w:pPr>
      <w:r>
        <w:rPr>
          <w:rFonts w:ascii="Calibri" w:hAnsi="Calibri"/>
          <w:b w:val="0"/>
          <w:i w:val="0"/>
          <w:sz w:val="22"/>
        </w:rPr>
        <w:t>Récupérer les données transactionnelles réelles depuis la base ERP de l'entreprise.</w:t>
      </w:r>
    </w:p>
    <w:p>
      <w:pPr>
        <w:pStyle w:val="Heading3"/>
        <w:spacing w:before="200"/>
      </w:pPr>
      <w:r>
        <w:rPr>
          <w:rFonts w:ascii="Calibri" w:hAnsi="Calibri"/>
          <w:color w:val="376BB5"/>
        </w:rPr>
        <w:t>Ce qui se passe concrètement</w:t>
      </w:r>
    </w:p>
    <w:p>
      <w:pPr>
        <w:spacing w:after="80"/>
      </w:pPr>
      <w:r>
        <w:rPr>
          <w:rFonts w:ascii="Calibri" w:hAnsi="Calibri"/>
          <w:b w:val="0"/>
          <w:i w:val="0"/>
          <w:sz w:val="22"/>
        </w:rPr>
        <w:t>Le notebook se connecte au serveur SQL Server local (127.0.0.1:1433, base AA) et exécute une requête qui joint quatre tables :</w:t>
      </w:r>
    </w:p>
    <w:p>
      <w:pPr>
        <w:pStyle w:val="ListBullet"/>
        <w:spacing w:after="40"/>
        <w:ind w:left="850"/>
      </w:pPr>
      <w:r>
        <w:rPr>
          <w:rFonts w:ascii="Calibri" w:hAnsi="Calibri"/>
          <w:b w:val="0"/>
          <w:i w:val="0"/>
          <w:sz w:val="22"/>
        </w:rPr>
        <w:t>TabBcvd — les lignes de commandes (produit, quantité, date)</w:t>
      </w:r>
    </w:p>
    <w:p>
      <w:pPr>
        <w:pStyle w:val="ListBullet"/>
        <w:spacing w:after="40"/>
        <w:ind w:left="850"/>
      </w:pPr>
      <w:r>
        <w:rPr>
          <w:rFonts w:ascii="Calibri" w:hAnsi="Calibri"/>
          <w:b w:val="0"/>
          <w:i w:val="0"/>
          <w:sz w:val="22"/>
        </w:rPr>
        <w:t>TabStock — le catalogue produits (désignation, prix)</w:t>
      </w:r>
    </w:p>
    <w:p>
      <w:pPr>
        <w:pStyle w:val="ListBullet"/>
        <w:spacing w:after="40"/>
        <w:ind w:left="850"/>
      </w:pPr>
      <w:r>
        <w:rPr>
          <w:rFonts w:ascii="Calibri" w:hAnsi="Calibri"/>
          <w:b w:val="0"/>
          <w:i w:val="0"/>
          <w:sz w:val="22"/>
        </w:rPr>
        <w:t>TabBcvm — les entêtes de commandes (lien vers le client)</w:t>
      </w:r>
    </w:p>
    <w:p>
      <w:pPr>
        <w:pStyle w:val="ListBullet"/>
        <w:spacing w:after="40"/>
        <w:ind w:left="850"/>
      </w:pPr>
      <w:r>
        <w:rPr>
          <w:rFonts w:ascii="Calibri" w:hAnsi="Calibri"/>
          <w:b w:val="0"/>
          <w:i w:val="0"/>
          <w:sz w:val="22"/>
        </w:rPr>
        <w:t>TabTiers — les clients (ville, gouvernorat)</w:t>
      </w:r>
    </w:p>
    <w:p>
      <w:pPr>
        <w:spacing w:after="80"/>
      </w:pPr>
      <w:r>
        <w:rPr>
          <w:rFonts w:ascii="Calibri" w:hAnsi="Calibri"/>
          <w:b w:val="0"/>
          <w:i w:val="0"/>
          <w:sz w:val="22"/>
        </w:rPr>
        <w:t>La requête filtre sur les commandes depuis 2022 avec des quantités positives, récupérant ainsi 3 625 transactions réelles.</w:t>
      </w:r>
    </w:p>
    <w:p>
      <w:pPr>
        <w:pStyle w:val="Heading3"/>
        <w:spacing w:before="200"/>
      </w:pPr>
      <w:r>
        <w:rPr>
          <w:rFonts w:ascii="Calibri" w:hAnsi="Calibri"/>
          <w:color w:val="376BB5"/>
        </w:rPr>
        <w:t>Logique métier</w:t>
      </w:r>
    </w:p>
    <w:p>
      <w:pPr>
        <w:spacing w:after="80"/>
      </w:pPr>
      <w:r>
        <w:rPr>
          <w:rFonts w:ascii="Calibri" w:hAnsi="Calibri"/>
          <w:b w:val="0"/>
          <w:i w:val="0"/>
          <w:sz w:val="22"/>
        </w:rPr>
        <w:t>On part des vraies ventes de l'entreprise, pas de données simulées. Chaque ligne représente une commande réelle d'un client réel pour un produit médical réel.</w:t>
      </w:r>
    </w:p>
    <w:p>
      <w:pPr>
        <w:spacing w:before="120" w:after="120"/>
        <w:ind w:left="567" w:right="567"/>
        <w:shd w:val="clear" w:color="auto" w:fill="FEF3C7"/>
      </w:pPr>
      <w:r>
        <w:rPr>
          <w:rFonts w:ascii="Calibri" w:hAnsi="Calibri"/>
          <w:b w:val="0"/>
          <w:i/>
          <w:color w:val="92400E"/>
          <w:sz w:val="20"/>
        </w:rPr>
        <w:t>⚠  Si la connexion SQL échoue, le pipeline bascule automatiquement sur un jeu de données synthétique qui permet de continuer le développement. En production, c'est la connexion réelle qui prime.</w:t>
      </w:r>
    </w:p>
    <w:p>
      <w:pPr>
        <w:spacing w:before="120" w:after="120"/>
      </w:pPr>
      <w:r>
        <w:rPr>
          <w:color w:val="CCCCCC"/>
          <w:sz w:val="16"/>
        </w:rPr>
        <w:t>──────────────────────────────────────────────────────────────────────────────────────────</w:t>
      </w:r>
    </w:p>
    <w:p>
      <w:pPr>
        <w:pStyle w:val="Heading2"/>
        <w:spacing w:before="280" w:after="80"/>
      </w:pPr>
      <w:r>
        <w:rPr>
          <w:rFonts w:ascii="Calibri" w:hAnsi="Calibri"/>
          <w:color w:val="1D4ED8"/>
        </w:rPr>
        <w:t>Étape 2 — Nettoyage et contrôle qualité des données</w:t>
      </w:r>
    </w:p>
    <w:p>
      <w:pPr>
        <w:pStyle w:val="Heading3"/>
        <w:spacing w:before="200"/>
      </w:pPr>
      <w:r>
        <w:rPr>
          <w:rFonts w:ascii="Calibri" w:hAnsi="Calibri"/>
          <w:color w:val="376BB5"/>
        </w:rPr>
        <w:t>Rôle</w:t>
      </w:r>
    </w:p>
    <w:p>
      <w:pPr>
        <w:spacing w:after="80"/>
      </w:pPr>
      <w:r>
        <w:rPr>
          <w:rFonts w:ascii="Calibri" w:hAnsi="Calibri"/>
          <w:b w:val="0"/>
          <w:i w:val="0"/>
          <w:sz w:val="22"/>
        </w:rPr>
        <w:t>S'assurer que les données sont exploitables avant tout traitement.</w:t>
      </w:r>
    </w:p>
    <w:p>
      <w:pPr>
        <w:pStyle w:val="Heading3"/>
        <w:spacing w:before="200"/>
      </w:pPr>
      <w:r>
        <w:rPr>
          <w:rFonts w:ascii="Calibri" w:hAnsi="Calibri"/>
          <w:color w:val="376BB5"/>
        </w:rPr>
        <w:t>Trois opérations successives</w:t>
      </w:r>
    </w:p>
    <w:p>
      <w:pPr>
        <w:pStyle w:val="ListBullet"/>
        <w:spacing w:after="40"/>
        <w:ind w:left="850"/>
      </w:pPr>
      <w:r>
        <w:rPr>
          <w:rFonts w:ascii="Calibri" w:hAnsi="Calibri"/>
          <w:b w:val="0"/>
          <w:i w:val="0"/>
          <w:sz w:val="22"/>
        </w:rPr>
        <w:t>Suppression des valeurs manquantes sur Vente, Prix, Date. 82 lignes avec désignation manquante sont conservées (champ non utilisé comme feature).</w:t>
      </w:r>
    </w:p>
    <w:p>
      <w:pPr>
        <w:pStyle w:val="ListBullet"/>
        <w:spacing w:after="40"/>
        <w:ind w:left="850"/>
      </w:pPr>
      <w:r>
        <w:rPr>
          <w:rFonts w:ascii="Calibri" w:hAnsi="Calibri"/>
          <w:b w:val="0"/>
          <w:i w:val="0"/>
          <w:sz w:val="22"/>
        </w:rPr>
        <w:t>Suppression des doublons exacts : 30 lignes retirées (0.83% du dataset).</w:t>
      </w:r>
    </w:p>
    <w:p>
      <w:pPr>
        <w:pStyle w:val="ListBullet"/>
        <w:spacing w:after="40"/>
        <w:ind w:left="850"/>
      </w:pPr>
      <w:r>
        <w:rPr>
          <w:rFonts w:ascii="Calibri" w:hAnsi="Calibri"/>
          <w:b w:val="0"/>
          <w:i w:val="0"/>
          <w:sz w:val="22"/>
        </w:rPr>
        <w:t>Traitement des prix aberrants par la méthode IQR : les prix au-dessus de 100 DT sont ramenés à 100 DT (clamping). 519 transactions (14.4%) concernées.</w:t>
      </w:r>
    </w:p>
    <w:p>
      <w:pPr>
        <w:spacing w:before="120" w:after="120"/>
        <w:ind w:left="567" w:right="567"/>
        <w:shd w:val="clear" w:color="auto" w:fill="DCFCE7"/>
      </w:pPr>
      <w:r>
        <w:rPr>
          <w:rFonts w:ascii="Calibri" w:hAnsi="Calibri"/>
          <w:b w:val="0"/>
          <w:i w:val="0"/>
          <w:color w:val="166534"/>
          <w:sz w:val="20"/>
        </w:rPr>
        <w:t>✅  Résultat : 3 595 transactions propres, prêtes pour l'analyse.</w:t>
      </w:r>
    </w:p>
    <w:p>
      <w:pPr>
        <w:pStyle w:val="Heading3"/>
        <w:spacing w:before="200"/>
      </w:pPr>
      <w:r>
        <w:rPr>
          <w:rFonts w:ascii="Calibri" w:hAnsi="Calibri"/>
          <w:color w:val="376BB5"/>
        </w:rPr>
        <w:t>Logique métier</w:t>
      </w:r>
    </w:p>
    <w:p>
      <w:pPr>
        <w:spacing w:after="80"/>
      </w:pPr>
      <w:r>
        <w:rPr>
          <w:rFonts w:ascii="Calibri" w:hAnsi="Calibri"/>
          <w:b w:val="0"/>
          <w:i w:val="0"/>
          <w:sz w:val="22"/>
        </w:rPr>
        <w:t>Un modèle entraîné sur des données mal nettoyées apprend des patterns fictifs. Le nettoyage n'est pas une formalité — c'est ce qui garantit que les décisions reposent sur la réalité.</w:t>
      </w:r>
    </w:p>
    <w:p>
      <w:pPr>
        <w:spacing w:before="120" w:after="120"/>
      </w:pPr>
      <w:r>
        <w:rPr>
          <w:color w:val="CCCCCC"/>
          <w:sz w:val="16"/>
        </w:rPr>
        <w:t>──────────────────────────────────────────────────────────────────────────────────────────</w:t>
      </w:r>
    </w:p>
    <w:p>
      <w:pPr>
        <w:pStyle w:val="Heading2"/>
        <w:spacing w:before="280" w:after="80"/>
      </w:pPr>
      <w:r>
        <w:rPr>
          <w:rFonts w:ascii="Calibri" w:hAnsi="Calibri"/>
          <w:color w:val="1D4ED8"/>
        </w:rPr>
        <w:t>Étape 3 — Inférence géographique et augmentation des données</w:t>
      </w:r>
    </w:p>
    <w:p>
      <w:pPr>
        <w:pStyle w:val="Heading3"/>
        <w:spacing w:before="200"/>
      </w:pPr>
      <w:r>
        <w:rPr>
          <w:rFonts w:ascii="Calibri" w:hAnsi="Calibri"/>
          <w:color w:val="376BB5"/>
        </w:rPr>
        <w:t>Le défi réel</w:t>
      </w:r>
    </w:p>
    <w:p>
      <w:pPr>
        <w:spacing w:after="80"/>
      </w:pPr>
      <w:r>
        <w:rPr>
          <w:rFonts w:ascii="Calibri" w:hAnsi="Calibri"/>
          <w:b w:val="0"/>
          <w:i w:val="0"/>
          <w:sz w:val="22"/>
        </w:rPr>
        <w:t>L'ERP contient un champ "gouvernorat" dans la table clients — mais après analyse, ce champ contient le code 17 pour 99.9% des clients. Il n'a jamais été correctement renseigné. On ne peut pas l'utiliser pour savoir si un client est à Tunis ou à Tataouine.</w:t>
      </w:r>
    </w:p>
    <w:p>
      <w:pPr>
        <w:pStyle w:val="Heading3"/>
        <w:spacing w:before="200"/>
      </w:pPr>
      <w:r>
        <w:rPr>
          <w:rFonts w:ascii="Calibri" w:hAnsi="Calibri"/>
          <w:color w:val="376BB5"/>
        </w:rPr>
        <w:t>La solution — Inférence par proxy économique</w:t>
      </w:r>
    </w:p>
    <w:p>
      <w:pPr>
        <w:spacing w:after="80"/>
      </w:pPr>
      <w:r>
        <w:rPr>
          <w:rFonts w:ascii="Calibri" w:hAnsi="Calibri"/>
          <w:b w:val="0"/>
          <w:i w:val="0"/>
          <w:sz w:val="22"/>
        </w:rPr>
        <w:t>L'idée repose sur une logique économique réelle : les dispositifs médicaux à prix élevé sont vendus majoritairement dans des régions à fort pouvoir d'achat (Grand Tunis, Sfax, Nabeul). On normalise le prix de chaque transaction sur la plage des indices d'achat régionaux (INS 2023) et on assigne à chaque transaction le gouvernorat dont l'indice économique est le plus proche de son prix normalisé.</w:t>
      </w:r>
    </w:p>
    <w:p>
      <w:pPr>
        <w:pStyle w:val="Heading3"/>
        <w:spacing w:before="200"/>
      </w:pPr>
      <w:r>
        <w:rPr>
          <w:rFonts w:ascii="Calibri" w:hAnsi="Calibri"/>
          <w:color w:val="376BB5"/>
        </w:rPr>
        <w:t>L'augmentation géographique pondérée</w:t>
      </w:r>
    </w:p>
    <w:p>
      <w:pPr>
        <w:spacing w:after="80"/>
      </w:pPr>
      <w:r>
        <w:rPr>
          <w:rFonts w:ascii="Calibri" w:hAnsi="Calibri"/>
          <w:b w:val="0"/>
          <w:i w:val="0"/>
          <w:sz w:val="22"/>
        </w:rPr>
        <w:t>L'inférence par prix seule crée un déséquilibre : TATAOUINE reçoit 30% des transactions car son indice d'achat est proche du prix médian. Pour corriger ce biais, 40% des transactions sont redistribuées selon la population réelle de chaque gouvernorat (INS 2023).</w:t>
      </w:r>
    </w:p>
    <w:p>
      <w:pPr>
        <w:spacing w:before="120" w:after="120"/>
        <w:ind w:left="567" w:right="567"/>
        <w:shd w:val="clear" w:color="auto" w:fill="DCFCE7"/>
      </w:pPr>
      <w:r>
        <w:rPr>
          <w:rFonts w:ascii="Calibri" w:hAnsi="Calibri"/>
          <w:b w:val="0"/>
          <w:i w:val="0"/>
          <w:color w:val="166534"/>
          <w:sz w:val="20"/>
        </w:rPr>
        <w:t>✅  Expérience contrôlée : suppression de l'augmentation dégrade le F1 de -3.3% et l'AUC-ROC de -4.8%. L'augmentation est donc bénéfique et conservée.</w:t>
      </w:r>
    </w:p>
    <w:p>
      <w:pPr>
        <w:pStyle w:val="Heading3"/>
        <w:spacing w:before="200"/>
      </w:pPr>
      <w:r>
        <w:rPr>
          <w:rFonts w:ascii="Calibri" w:hAnsi="Calibri"/>
          <w:color w:val="376BB5"/>
        </w:rPr>
        <w:t>Le Quality Gate adaptatif</w:t>
      </w:r>
    </w:p>
    <w:p>
      <w:pPr>
        <w:spacing w:after="80"/>
      </w:pPr>
      <w:r>
        <w:rPr>
          <w:rFonts w:ascii="Calibri" w:hAnsi="Calibri"/>
          <w:b w:val="0"/>
          <w:i w:val="0"/>
          <w:sz w:val="22"/>
        </w:rPr>
        <w:t>Un module dédié (data_quality.py) mesure automatiquement la couverture géographique réelle de l'ERP avant chaque réentraînement. Si la couverture dépasse 50%, l'augmentation se désactive automatiquement — sans intervention manuelle.</w:t>
      </w:r>
    </w:p>
    <w:p>
      <w:pPr>
        <w:spacing w:before="120" w:after="120"/>
        <w:ind w:left="567" w:right="567"/>
        <w:shd w:val="clear" w:color="auto" w:fill="FEF3C7"/>
      </w:pPr>
      <w:r>
        <w:rPr>
          <w:rFonts w:ascii="Calibri" w:hAnsi="Calibri"/>
          <w:b w:val="0"/>
          <w:i/>
          <w:color w:val="92400E"/>
          <w:sz w:val="20"/>
        </w:rPr>
        <w:t>⚠  Limite reconnue : l'assignation géographique est une approximation basée sur un proxy économique. Les résultats régionaux sont des estimations, pas des mesures directes.</w:t>
      </w:r>
    </w:p>
    <w:p>
      <w:pPr>
        <w:spacing w:before="120" w:after="120"/>
      </w:pPr>
      <w:r>
        <w:rPr>
          <w:color w:val="CCCCCC"/>
          <w:sz w:val="16"/>
        </w:rPr>
        <w:t>──────────────────────────────────────────────────────────────────────────────────────────</w:t>
      </w:r>
    </w:p>
    <w:p>
      <w:pPr>
        <w:pStyle w:val="Heading2"/>
        <w:spacing w:before="280" w:after="80"/>
      </w:pPr>
      <w:r>
        <w:rPr>
          <w:rFonts w:ascii="Calibri" w:hAnsi="Calibri"/>
          <w:color w:val="1D4ED8"/>
        </w:rPr>
        <w:t>Étape 4 — Enrichissement démographique</w:t>
      </w:r>
    </w:p>
    <w:p>
      <w:pPr>
        <w:pStyle w:val="Heading3"/>
        <w:spacing w:before="200"/>
      </w:pPr>
      <w:r>
        <w:rPr>
          <w:rFonts w:ascii="Calibri" w:hAnsi="Calibri"/>
          <w:color w:val="376BB5"/>
        </w:rPr>
        <w:t>Rôle</w:t>
      </w:r>
    </w:p>
    <w:p>
      <w:pPr>
        <w:spacing w:after="80"/>
      </w:pPr>
      <w:r>
        <w:rPr>
          <w:rFonts w:ascii="Calibri" w:hAnsi="Calibri"/>
          <w:b w:val="0"/>
          <w:i w:val="0"/>
          <w:sz w:val="22"/>
        </w:rPr>
        <w:t>Ajouter des informations sur chaque gouvernorat pour enrichir le contexte de chaque transaction.</w:t>
      </w:r>
    </w:p>
    <w:p>
      <w:pPr>
        <w:spacing w:after="80"/>
      </w:pPr>
      <w:r>
        <w:rPr>
          <w:rFonts w:ascii="Calibri" w:hAnsi="Calibri"/>
          <w:b w:val="0"/>
          <w:i w:val="0"/>
          <w:sz w:val="22"/>
        </w:rPr>
        <w:t>Une fois la région identifiée, on joint des données INS 2023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val="clear" w:color="auto" w:fill="1E3A8A"/>
          </w:tcPr>
          <w:p>
            <w:pPr>
              <w:jc w:val="center"/>
            </w:pPr>
            <w:r>
              <w:rPr>
                <w:rFonts w:ascii="Calibri" w:hAnsi="Calibri"/>
                <w:b/>
                <w:i w:val="0"/>
                <w:color w:val="FFFFFF"/>
                <w:sz w:val="20"/>
              </w:rPr>
              <w:t>Variable</w:t>
            </w:r>
          </w:p>
        </w:tc>
        <w:tc>
          <w:tcPr>
            <w:tcW w:type="dxa" w:w="2551"/>
            <w:vAlign w:val="center"/>
            <w:shd w:val="clear" w:color="auto" w:fill="1E3A8A"/>
          </w:tcPr>
          <w:p>
            <w:pPr>
              <w:jc w:val="center"/>
            </w:pPr>
            <w:r>
              <w:rPr>
                <w:rFonts w:ascii="Calibri" w:hAnsi="Calibri"/>
                <w:b/>
                <w:i w:val="0"/>
                <w:color w:val="FFFFFF"/>
                <w:sz w:val="20"/>
              </w:rPr>
              <w:t>Valeur min</w:t>
            </w:r>
          </w:p>
        </w:tc>
        <w:tc>
          <w:tcPr>
            <w:tcW w:type="dxa" w:w="2551"/>
            <w:vAlign w:val="center"/>
            <w:shd w:val="clear" w:color="auto" w:fill="1E3A8A"/>
          </w:tcPr>
          <w:p>
            <w:pPr>
              <w:jc w:val="center"/>
            </w:pPr>
            <w:r>
              <w:rPr>
                <w:rFonts w:ascii="Calibri" w:hAnsi="Calibri"/>
                <w:b/>
                <w:i w:val="0"/>
                <w:color w:val="FFFFFF"/>
                <w:sz w:val="20"/>
              </w:rPr>
              <w:t>Valeur max</w:t>
            </w:r>
          </w:p>
        </w:tc>
        <w:tc>
          <w:tcPr>
            <w:tcW w:type="dxa" w:w="2268"/>
            <w:vAlign w:val="center"/>
            <w:shd w:val="clear" w:color="auto" w:fill="1E3A8A"/>
          </w:tcPr>
          <w:p>
            <w:pPr>
              <w:jc w:val="center"/>
            </w:pPr>
            <w:r>
              <w:rPr>
                <w:rFonts w:ascii="Calibri" w:hAnsi="Calibri"/>
                <w:b/>
                <w:i w:val="0"/>
                <w:color w:val="FFFFFF"/>
                <w:sz w:val="20"/>
              </w:rPr>
              <w:t>Logique</w:t>
            </w:r>
          </w:p>
        </w:tc>
      </w:tr>
      <w:tr>
        <w:tc>
          <w:tcPr>
            <w:tcW w:type="dxa" w:w="2268"/>
            <w:vAlign w:val="center"/>
            <w:shd w:val="clear" w:color="auto" w:fill="EFF6FF"/>
          </w:tcPr>
          <w:p>
            <w:pPr>
              <w:jc w:val="center"/>
            </w:pPr>
            <w:r>
              <w:rPr>
                <w:rFonts w:ascii="Calibri" w:hAnsi="Calibri"/>
                <w:b w:val="0"/>
                <w:i w:val="0"/>
                <w:sz w:val="20"/>
              </w:rPr>
              <w:t>Population</w:t>
            </w:r>
          </w:p>
        </w:tc>
        <w:tc>
          <w:tcPr>
            <w:tcW w:type="dxa" w:w="2551"/>
            <w:vAlign w:val="center"/>
            <w:shd w:val="clear" w:color="auto" w:fill="EFF6FF"/>
          </w:tcPr>
          <w:p>
            <w:pPr>
              <w:jc w:val="center"/>
            </w:pPr>
            <w:r>
              <w:rPr>
                <w:rFonts w:ascii="Calibri" w:hAnsi="Calibri"/>
                <w:b w:val="0"/>
                <w:i w:val="0"/>
                <w:sz w:val="20"/>
              </w:rPr>
              <w:t>140 000 (Tozeur)</w:t>
            </w:r>
          </w:p>
        </w:tc>
        <w:tc>
          <w:tcPr>
            <w:tcW w:type="dxa" w:w="2551"/>
            <w:vAlign w:val="center"/>
            <w:shd w:val="clear" w:color="auto" w:fill="EFF6FF"/>
          </w:tcPr>
          <w:p>
            <w:pPr>
              <w:jc w:val="center"/>
            </w:pPr>
            <w:r>
              <w:rPr>
                <w:rFonts w:ascii="Calibri" w:hAnsi="Calibri"/>
                <w:b w:val="0"/>
                <w:i w:val="0"/>
                <w:sz w:val="20"/>
              </w:rPr>
              <w:t>1 200 000 (Ariana)</w:t>
            </w:r>
          </w:p>
        </w:tc>
        <w:tc>
          <w:tcPr>
            <w:tcW w:type="dxa" w:w="2268"/>
            <w:vAlign w:val="center"/>
            <w:shd w:val="clear" w:color="auto" w:fill="EFF6FF"/>
          </w:tcPr>
          <w:p>
            <w:pPr>
              <w:jc w:val="center"/>
            </w:pPr>
            <w:r>
              <w:rPr>
                <w:rFonts w:ascii="Calibri" w:hAnsi="Calibri"/>
                <w:b w:val="0"/>
                <w:i w:val="0"/>
                <w:sz w:val="20"/>
              </w:rPr>
              <w:t>Taille du marché</w:t>
            </w:r>
          </w:p>
        </w:tc>
      </w:tr>
      <w:tr>
        <w:tc>
          <w:tcPr>
            <w:tcW w:type="dxa" w:w="2268"/>
            <w:vAlign w:val="center"/>
            <w:shd w:val="clear" w:color="auto" w:fill="FFFFFF"/>
          </w:tcPr>
          <w:p>
            <w:pPr>
              <w:jc w:val="center"/>
            </w:pPr>
            <w:r>
              <w:rPr>
                <w:rFonts w:ascii="Calibri" w:hAnsi="Calibri"/>
                <w:b w:val="0"/>
                <w:i w:val="0"/>
                <w:sz w:val="20"/>
              </w:rPr>
              <w:t>Indice d'achat</w:t>
            </w:r>
          </w:p>
        </w:tc>
        <w:tc>
          <w:tcPr>
            <w:tcW w:type="dxa" w:w="2551"/>
            <w:vAlign w:val="center"/>
            <w:shd w:val="clear" w:color="auto" w:fill="FFFFFF"/>
          </w:tcPr>
          <w:p>
            <w:pPr>
              <w:jc w:val="center"/>
            </w:pPr>
            <w:r>
              <w:rPr>
                <w:rFonts w:ascii="Calibri" w:hAnsi="Calibri"/>
                <w:b w:val="0"/>
                <w:i w:val="0"/>
                <w:sz w:val="20"/>
              </w:rPr>
              <w:t>83.0 (Tataouine)</w:t>
            </w:r>
          </w:p>
        </w:tc>
        <w:tc>
          <w:tcPr>
            <w:tcW w:type="dxa" w:w="2551"/>
            <w:vAlign w:val="center"/>
            <w:shd w:val="clear" w:color="auto" w:fill="FFFFFF"/>
          </w:tcPr>
          <w:p>
            <w:pPr>
              <w:jc w:val="center"/>
            </w:pPr>
            <w:r>
              <w:rPr>
                <w:rFonts w:ascii="Calibri" w:hAnsi="Calibri"/>
                <w:b w:val="0"/>
                <w:i w:val="0"/>
                <w:sz w:val="20"/>
              </w:rPr>
              <w:t>135.0 (Tunis)</w:t>
            </w:r>
          </w:p>
        </w:tc>
        <w:tc>
          <w:tcPr>
            <w:tcW w:type="dxa" w:w="2268"/>
            <w:vAlign w:val="center"/>
            <w:shd w:val="clear" w:color="auto" w:fill="FFFFFF"/>
          </w:tcPr>
          <w:p>
            <w:pPr>
              <w:jc w:val="center"/>
            </w:pPr>
            <w:r>
              <w:rPr>
                <w:rFonts w:ascii="Calibri" w:hAnsi="Calibri"/>
                <w:b w:val="0"/>
                <w:i w:val="0"/>
                <w:sz w:val="20"/>
              </w:rPr>
              <w:t>Pouvoir d'achat régional</w:t>
            </w:r>
          </w:p>
        </w:tc>
      </w:tr>
      <w:tr>
        <w:tc>
          <w:tcPr>
            <w:tcW w:type="dxa" w:w="2268"/>
            <w:vAlign w:val="center"/>
            <w:shd w:val="clear" w:color="auto" w:fill="EFF6FF"/>
          </w:tcPr>
          <w:p>
            <w:pPr>
              <w:jc w:val="center"/>
            </w:pPr>
            <w:r>
              <w:rPr>
                <w:rFonts w:ascii="Calibri" w:hAnsi="Calibri"/>
                <w:b w:val="0"/>
                <w:i w:val="0"/>
                <w:sz w:val="20"/>
              </w:rPr>
              <w:t>Nb_Hopitaux</w:t>
            </w:r>
          </w:p>
        </w:tc>
        <w:tc>
          <w:tcPr>
            <w:tcW w:type="dxa" w:w="2551"/>
            <w:vAlign w:val="center"/>
            <w:shd w:val="clear" w:color="auto" w:fill="EFF6FF"/>
          </w:tcPr>
          <w:p>
            <w:pPr>
              <w:jc w:val="center"/>
            </w:pPr>
            <w:r>
              <w:rPr>
                <w:rFonts w:ascii="Calibri" w:hAnsi="Calibri"/>
                <w:b w:val="0"/>
                <w:i w:val="0"/>
                <w:sz w:val="20"/>
              </w:rPr>
              <w:t>2 (Tataouine/Tozeur)</w:t>
            </w:r>
          </w:p>
        </w:tc>
        <w:tc>
          <w:tcPr>
            <w:tcW w:type="dxa" w:w="2551"/>
            <w:vAlign w:val="center"/>
            <w:shd w:val="clear" w:color="auto" w:fill="EFF6FF"/>
          </w:tcPr>
          <w:p>
            <w:pPr>
              <w:jc w:val="center"/>
            </w:pPr>
            <w:r>
              <w:rPr>
                <w:rFonts w:ascii="Calibri" w:hAnsi="Calibri"/>
                <w:b w:val="0"/>
                <w:i w:val="0"/>
                <w:sz w:val="20"/>
              </w:rPr>
              <w:t>12 (Tunis)</w:t>
            </w:r>
          </w:p>
        </w:tc>
        <w:tc>
          <w:tcPr>
            <w:tcW w:type="dxa" w:w="2268"/>
            <w:vAlign w:val="center"/>
            <w:shd w:val="clear" w:color="auto" w:fill="EFF6FF"/>
          </w:tcPr>
          <w:p>
            <w:pPr>
              <w:jc w:val="center"/>
            </w:pPr>
            <w:r>
              <w:rPr>
                <w:rFonts w:ascii="Calibri" w:hAnsi="Calibri"/>
                <w:b w:val="0"/>
                <w:i w:val="0"/>
                <w:sz w:val="20"/>
              </w:rPr>
              <w:t>Densité structures santé</w:t>
            </w:r>
          </w:p>
        </w:tc>
      </w:tr>
      <w:tr>
        <w:tc>
          <w:tcPr>
            <w:tcW w:type="dxa" w:w="2268"/>
            <w:vAlign w:val="center"/>
            <w:shd w:val="clear" w:color="auto" w:fill="FFFFFF"/>
          </w:tcPr>
          <w:p>
            <w:pPr>
              <w:jc w:val="center"/>
            </w:pPr>
            <w:r>
              <w:rPr>
                <w:rFonts w:ascii="Calibri" w:hAnsi="Calibri"/>
                <w:b w:val="0"/>
                <w:i w:val="0"/>
                <w:sz w:val="20"/>
              </w:rPr>
              <w:t>Nb_Laboratoires</w:t>
            </w:r>
          </w:p>
        </w:tc>
        <w:tc>
          <w:tcPr>
            <w:tcW w:type="dxa" w:w="2551"/>
            <w:vAlign w:val="center"/>
            <w:shd w:val="clear" w:color="auto" w:fill="FFFFFF"/>
          </w:tcPr>
          <w:p>
            <w:pPr>
              <w:jc w:val="center"/>
            </w:pPr>
            <w:r>
              <w:rPr>
                <w:rFonts w:ascii="Calibri" w:hAnsi="Calibri"/>
                <w:b w:val="0"/>
                <w:i w:val="0"/>
                <w:sz w:val="20"/>
              </w:rPr>
              <w:t>7 (Tozeur)</w:t>
            </w:r>
          </w:p>
        </w:tc>
        <w:tc>
          <w:tcPr>
            <w:tcW w:type="dxa" w:w="2551"/>
            <w:vAlign w:val="center"/>
            <w:shd w:val="clear" w:color="auto" w:fill="FFFFFF"/>
          </w:tcPr>
          <w:p>
            <w:pPr>
              <w:jc w:val="center"/>
            </w:pPr>
            <w:r>
              <w:rPr>
                <w:rFonts w:ascii="Calibri" w:hAnsi="Calibri"/>
                <w:b w:val="0"/>
                <w:i w:val="0"/>
                <w:sz w:val="20"/>
              </w:rPr>
              <w:t>40 (Tunis)</w:t>
            </w:r>
          </w:p>
        </w:tc>
        <w:tc>
          <w:tcPr>
            <w:tcW w:type="dxa" w:w="2268"/>
            <w:vAlign w:val="center"/>
            <w:shd w:val="clear" w:color="auto" w:fill="FFFFFF"/>
          </w:tcPr>
          <w:p>
            <w:pPr>
              <w:jc w:val="center"/>
            </w:pPr>
            <w:r>
              <w:rPr>
                <w:rFonts w:ascii="Calibri" w:hAnsi="Calibri"/>
                <w:b w:val="0"/>
                <w:i w:val="0"/>
                <w:sz w:val="20"/>
              </w:rPr>
              <w:t>Densité acheteurs spécialisés</w:t>
            </w:r>
          </w:p>
        </w:tc>
      </w:tr>
    </w:tbl>
    <w:p/>
    <w:p>
      <w:pPr>
        <w:spacing w:before="120" w:after="120"/>
        <w:ind w:left="567" w:right="567"/>
        <w:shd w:val="clear" w:color="auto" w:fill="DCFCE7"/>
      </w:pPr>
      <w:r>
        <w:rPr>
          <w:rFonts w:ascii="Calibri" w:hAnsi="Calibri"/>
          <w:b w:val="0"/>
          <w:i w:val="0"/>
          <w:color w:val="166534"/>
          <w:sz w:val="20"/>
        </w:rPr>
        <w:t>✅  Résultat : chaque transaction est décrite par 8 variables prêtes pour le modèle.</w:t>
      </w:r>
    </w:p>
    <w:p>
      <w:pPr>
        <w:spacing w:before="120" w:after="120"/>
      </w:pPr>
      <w:r>
        <w:rPr>
          <w:color w:val="CCCCCC"/>
          <w:sz w:val="16"/>
        </w:rPr>
        <w:t>──────────────────────────────────────────────────────────────────────────────────────────</w:t>
      </w:r>
    </w:p>
    <w:p>
      <w:pPr>
        <w:pStyle w:val="Heading2"/>
        <w:spacing w:before="280" w:after="80"/>
      </w:pPr>
      <w:r>
        <w:rPr>
          <w:rFonts w:ascii="Calibri" w:hAnsi="Calibri"/>
          <w:color w:val="1D4ED8"/>
        </w:rPr>
        <w:t>Étape 5 — Définition de la variable cible</w:t>
      </w:r>
    </w:p>
    <w:p>
      <w:pPr>
        <w:pStyle w:val="Heading3"/>
        <w:spacing w:before="200"/>
      </w:pPr>
      <w:r>
        <w:rPr>
          <w:rFonts w:ascii="Calibri" w:hAnsi="Calibri"/>
          <w:color w:val="376BB5"/>
        </w:rPr>
        <w:t>La définition exacte</w:t>
      </w:r>
    </w:p>
    <w:p>
      <w:pPr>
        <w:spacing w:before="80" w:after="80"/>
        <w:ind w:left="850" w:right="567"/>
        <w:shd w:val="clear" w:color="auto" w:fill="F0F4F8"/>
      </w:pPr>
      <w:r>
        <w:rPr>
          <w:rFonts w:ascii="Courier New" w:hAnsi="Courier New"/>
          <w:color w:val="1E3A8A"/>
          <w:sz w:val="18"/>
        </w:rPr>
        <w:t>Pour chaque région → calculer le 75e percentile des quantités vendues</w:t>
        <w:br/>
        <w:t>Si Vente &gt;= Q75_région  →  HAUSSE (classe 1)</w:t>
        <w:br/>
        <w:t>Sinon                   →  BAISSE (classe 0)</w:t>
      </w:r>
    </w:p>
    <w:p>
      <w:pPr>
        <w:pStyle w:val="Heading3"/>
        <w:spacing w:before="200"/>
      </w:pPr>
      <w:r>
        <w:rPr>
          <w:rFonts w:ascii="Calibri" w:hAnsi="Calibri"/>
          <w:color w:val="376BB5"/>
        </w:rPr>
        <w:t>Pourquoi le 75e percentile par région ?</w:t>
      </w:r>
    </w:p>
    <w:p>
      <w:pPr>
        <w:spacing w:after="80"/>
      </w:pPr>
      <w:r>
        <w:rPr>
          <w:rFonts w:ascii="Calibri" w:hAnsi="Calibri"/>
          <w:b w:val="0"/>
          <w:i w:val="0"/>
          <w:sz w:val="22"/>
        </w:rPr>
        <w:t>Cette approche normalise les différences de taille de marché. Vendre 10 unités à Tozeur (petit marché) est une performance élevée. Vendre les mêmes 10 unités à Tunis (grand marché) est banal. En calculant le seuil au sein de chaque région, on compare chaque transaction à son propre contexte.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vAlign w:val="center"/>
            <w:shd w:val="clear" w:color="auto" w:fill="1E3A8A"/>
          </w:tcPr>
          <w:p>
            <w:pPr>
              <w:jc w:val="center"/>
            </w:pPr>
            <w:r>
              <w:rPr>
                <w:rFonts w:ascii="Calibri" w:hAnsi="Calibri"/>
                <w:b/>
                <w:i w:val="0"/>
                <w:color w:val="FFFFFF"/>
                <w:sz w:val="20"/>
              </w:rPr>
              <w:t>Classe</w:t>
            </w:r>
          </w:p>
        </w:tc>
        <w:tc>
          <w:tcPr>
            <w:tcW w:type="dxa" w:w="1701"/>
            <w:vAlign w:val="center"/>
            <w:shd w:val="clear" w:color="auto" w:fill="1E3A8A"/>
          </w:tcPr>
          <w:p>
            <w:pPr>
              <w:jc w:val="center"/>
            </w:pPr>
            <w:r>
              <w:rPr>
                <w:rFonts w:ascii="Calibri" w:hAnsi="Calibri"/>
                <w:b/>
                <w:i w:val="0"/>
                <w:color w:val="FFFFFF"/>
                <w:sz w:val="20"/>
              </w:rPr>
              <w:t>Nombre</w:t>
            </w:r>
          </w:p>
        </w:tc>
        <w:tc>
          <w:tcPr>
            <w:tcW w:type="dxa" w:w="1701"/>
            <w:vAlign w:val="center"/>
            <w:shd w:val="clear" w:color="auto" w:fill="1E3A8A"/>
          </w:tcPr>
          <w:p>
            <w:pPr>
              <w:jc w:val="center"/>
            </w:pPr>
            <w:r>
              <w:rPr>
                <w:rFonts w:ascii="Calibri" w:hAnsi="Calibri"/>
                <w:b/>
                <w:i w:val="0"/>
                <w:color w:val="FFFFFF"/>
                <w:sz w:val="20"/>
              </w:rPr>
              <w:t>Proportion</w:t>
            </w:r>
          </w:p>
        </w:tc>
        <w:tc>
          <w:tcPr>
            <w:tcW w:type="dxa" w:w="4252"/>
            <w:vAlign w:val="center"/>
            <w:shd w:val="clear" w:color="auto" w:fill="1E3A8A"/>
          </w:tcPr>
          <w:p>
            <w:pPr>
              <w:jc w:val="center"/>
            </w:pPr>
            <w:r>
              <w:rPr>
                <w:rFonts w:ascii="Calibri" w:hAnsi="Calibri"/>
                <w:b/>
                <w:i w:val="0"/>
                <w:color w:val="FFFFFF"/>
                <w:sz w:val="20"/>
              </w:rPr>
              <w:t>Signification</w:t>
            </w:r>
          </w:p>
        </w:tc>
      </w:tr>
      <w:tr>
        <w:tc>
          <w:tcPr>
            <w:tcW w:type="dxa" w:w="1984"/>
            <w:vAlign w:val="center"/>
            <w:shd w:val="clear" w:color="auto" w:fill="EFF6FF"/>
          </w:tcPr>
          <w:p>
            <w:pPr>
              <w:jc w:val="center"/>
            </w:pPr>
            <w:r>
              <w:rPr>
                <w:rFonts w:ascii="Calibri" w:hAnsi="Calibri"/>
                <w:b w:val="0"/>
                <w:i w:val="0"/>
                <w:sz w:val="20"/>
              </w:rPr>
              <w:t>BAISSE</w:t>
            </w:r>
          </w:p>
        </w:tc>
        <w:tc>
          <w:tcPr>
            <w:tcW w:type="dxa" w:w="1701"/>
            <w:vAlign w:val="center"/>
            <w:shd w:val="clear" w:color="auto" w:fill="EFF6FF"/>
          </w:tcPr>
          <w:p>
            <w:pPr>
              <w:jc w:val="center"/>
            </w:pPr>
            <w:r>
              <w:rPr>
                <w:rFonts w:ascii="Calibri" w:hAnsi="Calibri"/>
                <w:b w:val="0"/>
                <w:i w:val="0"/>
                <w:sz w:val="20"/>
              </w:rPr>
              <w:t>2 578</w:t>
            </w:r>
          </w:p>
        </w:tc>
        <w:tc>
          <w:tcPr>
            <w:tcW w:type="dxa" w:w="1701"/>
            <w:vAlign w:val="center"/>
            <w:shd w:val="clear" w:color="auto" w:fill="EFF6FF"/>
          </w:tcPr>
          <w:p>
            <w:pPr>
              <w:jc w:val="center"/>
            </w:pPr>
            <w:r>
              <w:rPr>
                <w:rFonts w:ascii="Calibri" w:hAnsi="Calibri"/>
                <w:b w:val="0"/>
                <w:i w:val="0"/>
                <w:sz w:val="20"/>
              </w:rPr>
              <w:t>71.7%</w:t>
            </w:r>
          </w:p>
        </w:tc>
        <w:tc>
          <w:tcPr>
            <w:tcW w:type="dxa" w:w="4252"/>
            <w:vAlign w:val="center"/>
            <w:shd w:val="clear" w:color="auto" w:fill="EFF6FF"/>
          </w:tcPr>
          <w:p>
            <w:pPr>
              <w:jc w:val="center"/>
            </w:pPr>
            <w:r>
              <w:rPr>
                <w:rFonts w:ascii="Calibri" w:hAnsi="Calibri"/>
                <w:b w:val="0"/>
                <w:i w:val="0"/>
                <w:sz w:val="20"/>
              </w:rPr>
              <w:t>Transaction sous le 75e percentile régional</w:t>
            </w:r>
          </w:p>
        </w:tc>
      </w:tr>
      <w:tr>
        <w:tc>
          <w:tcPr>
            <w:tcW w:type="dxa" w:w="1984"/>
            <w:vAlign w:val="center"/>
            <w:shd w:val="clear" w:color="auto" w:fill="FFFFFF"/>
          </w:tcPr>
          <w:p>
            <w:pPr>
              <w:jc w:val="center"/>
            </w:pPr>
            <w:r>
              <w:rPr>
                <w:rFonts w:ascii="Calibri" w:hAnsi="Calibri"/>
                <w:b w:val="0"/>
                <w:i w:val="0"/>
                <w:sz w:val="20"/>
              </w:rPr>
              <w:t>HAUSSE</w:t>
            </w:r>
          </w:p>
        </w:tc>
        <w:tc>
          <w:tcPr>
            <w:tcW w:type="dxa" w:w="1701"/>
            <w:vAlign w:val="center"/>
            <w:shd w:val="clear" w:color="auto" w:fill="FFFFFF"/>
          </w:tcPr>
          <w:p>
            <w:pPr>
              <w:jc w:val="center"/>
            </w:pPr>
            <w:r>
              <w:rPr>
                <w:rFonts w:ascii="Calibri" w:hAnsi="Calibri"/>
                <w:b w:val="0"/>
                <w:i w:val="0"/>
                <w:sz w:val="20"/>
              </w:rPr>
              <w:t>1 017</w:t>
            </w:r>
          </w:p>
        </w:tc>
        <w:tc>
          <w:tcPr>
            <w:tcW w:type="dxa" w:w="1701"/>
            <w:vAlign w:val="center"/>
            <w:shd w:val="clear" w:color="auto" w:fill="FFFFFF"/>
          </w:tcPr>
          <w:p>
            <w:pPr>
              <w:jc w:val="center"/>
            </w:pPr>
            <w:r>
              <w:rPr>
                <w:rFonts w:ascii="Calibri" w:hAnsi="Calibri"/>
                <w:b w:val="0"/>
                <w:i w:val="0"/>
                <w:sz w:val="20"/>
              </w:rPr>
              <w:t>28.3%</w:t>
            </w:r>
          </w:p>
        </w:tc>
        <w:tc>
          <w:tcPr>
            <w:tcW w:type="dxa" w:w="4252"/>
            <w:vAlign w:val="center"/>
            <w:shd w:val="clear" w:color="auto" w:fill="FFFFFF"/>
          </w:tcPr>
          <w:p>
            <w:pPr>
              <w:jc w:val="center"/>
            </w:pPr>
            <w:r>
              <w:rPr>
                <w:rFonts w:ascii="Calibri" w:hAnsi="Calibri"/>
                <w:b w:val="0"/>
                <w:i w:val="0"/>
                <w:sz w:val="20"/>
              </w:rPr>
              <w:t>Transaction au-dessus du 75e percentile régional</w:t>
            </w:r>
          </w:p>
        </w:tc>
      </w:tr>
    </w:tbl>
    <w:p/>
    <w:p>
      <w:pPr>
        <w:pStyle w:val="Heading3"/>
        <w:spacing w:before="200"/>
      </w:pPr>
      <w:r>
        <w:rPr>
          <w:rFonts w:ascii="Calibri" w:hAnsi="Calibri"/>
          <w:color w:val="376BB5"/>
        </w:rPr>
        <w:t>Signification métier</w:t>
      </w:r>
    </w:p>
    <w:p>
      <w:pPr>
        <w:spacing w:after="80"/>
      </w:pPr>
      <w:r>
        <w:rPr>
          <w:rFonts w:ascii="Calibri" w:hAnsi="Calibri"/>
          <w:b w:val="0"/>
          <w:i w:val="0"/>
          <w:sz w:val="22"/>
        </w:rPr>
        <w:t>Une région dont le modèle prédit 44% de transactions HAUSSE génère régulièrement des commandes importantes dans son contexte local — c'est le signal pour y investir davantage.</w:t>
      </w:r>
    </w:p>
    <w:p>
      <w:pPr>
        <w:spacing w:before="120" w:after="120"/>
      </w:pPr>
      <w:r>
        <w:rPr>
          <w:color w:val="CCCCCC"/>
          <w:sz w:val="16"/>
        </w:rPr>
        <w:t>──────────────────────────────────────────────────────────────────────────────────────────</w:t>
      </w:r>
    </w:p>
    <w:p>
      <w:r>
        <w:br w:type="page"/>
      </w:r>
    </w:p>
    <w:p>
      <w:pPr>
        <w:pStyle w:val="Heading2"/>
        <w:spacing w:before="280" w:after="80"/>
      </w:pPr>
      <w:r>
        <w:rPr>
          <w:rFonts w:ascii="Calibri" w:hAnsi="Calibri"/>
          <w:color w:val="1D4ED8"/>
        </w:rPr>
        <w:t>Étape 6 — Entraînement et sélection du modèle</w:t>
      </w:r>
    </w:p>
    <w:p>
      <w:pPr>
        <w:pStyle w:val="Heading3"/>
        <w:spacing w:before="200"/>
      </w:pPr>
      <w:r>
        <w:rPr>
          <w:rFonts w:ascii="Calibri" w:hAnsi="Calibri"/>
          <w:color w:val="376BB5"/>
        </w:rPr>
        <w:t>Benchmark de 10 algorithmes</w:t>
      </w:r>
    </w:p>
    <w:p>
      <w:pPr>
        <w:spacing w:after="80"/>
      </w:pPr>
      <w:r>
        <w:rPr>
          <w:rFonts w:ascii="Calibri" w:hAnsi="Calibri"/>
          <w:b w:val="0"/>
          <w:i w:val="0"/>
          <w:sz w:val="22"/>
        </w:rPr>
        <w:t>Plutôt que de choisir un algorithme à l'intuition, 10 algorithmes sont entraînés et comparés sur les mêmes données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vAlign w:val="center"/>
            <w:shd w:val="clear" w:color="auto" w:fill="1E3A8A"/>
          </w:tcPr>
          <w:p>
            <w:pPr>
              <w:jc w:val="center"/>
            </w:pPr>
            <w:r>
              <w:rPr>
                <w:rFonts w:ascii="Calibri" w:hAnsi="Calibri"/>
                <w:b/>
                <w:i w:val="0"/>
                <w:color w:val="FFFFFF"/>
                <w:sz w:val="20"/>
              </w:rPr>
              <w:t>Rang</w:t>
            </w:r>
          </w:p>
        </w:tc>
        <w:tc>
          <w:tcPr>
            <w:tcW w:type="dxa" w:w="2835"/>
            <w:vAlign w:val="center"/>
            <w:shd w:val="clear" w:color="auto" w:fill="1E3A8A"/>
          </w:tcPr>
          <w:p>
            <w:pPr>
              <w:jc w:val="center"/>
            </w:pPr>
            <w:r>
              <w:rPr>
                <w:rFonts w:ascii="Calibri" w:hAnsi="Calibri"/>
                <w:b/>
                <w:i w:val="0"/>
                <w:color w:val="FFFFFF"/>
                <w:sz w:val="20"/>
              </w:rPr>
              <w:t>Algorithme</w:t>
            </w:r>
          </w:p>
        </w:tc>
        <w:tc>
          <w:tcPr>
            <w:tcW w:type="dxa" w:w="1701"/>
            <w:vAlign w:val="center"/>
            <w:shd w:val="clear" w:color="auto" w:fill="1E3A8A"/>
          </w:tcPr>
          <w:p>
            <w:pPr>
              <w:jc w:val="center"/>
            </w:pPr>
            <w:r>
              <w:rPr>
                <w:rFonts w:ascii="Calibri" w:hAnsi="Calibri"/>
                <w:b/>
                <w:i w:val="0"/>
                <w:color w:val="FFFFFF"/>
                <w:sz w:val="20"/>
              </w:rPr>
              <w:t>Accuracy</w:t>
            </w:r>
          </w:p>
        </w:tc>
        <w:tc>
          <w:tcPr>
            <w:tcW w:type="dxa" w:w="1701"/>
            <w:vAlign w:val="center"/>
            <w:shd w:val="clear" w:color="auto" w:fill="1E3A8A"/>
          </w:tcPr>
          <w:p>
            <w:pPr>
              <w:jc w:val="center"/>
            </w:pPr>
            <w:r>
              <w:rPr>
                <w:rFonts w:ascii="Calibri" w:hAnsi="Calibri"/>
                <w:b/>
                <w:i w:val="0"/>
                <w:color w:val="FFFFFF"/>
                <w:sz w:val="20"/>
              </w:rPr>
              <w:t>F1-Score</w:t>
            </w:r>
          </w:p>
        </w:tc>
        <w:tc>
          <w:tcPr>
            <w:tcW w:type="dxa" w:w="2268"/>
            <w:vAlign w:val="center"/>
            <w:shd w:val="clear" w:color="auto" w:fill="1E3A8A"/>
          </w:tcPr>
          <w:p>
            <w:pPr>
              <w:jc w:val="center"/>
            </w:pPr>
            <w:r>
              <w:rPr>
                <w:rFonts w:ascii="Calibri" w:hAnsi="Calibri"/>
                <w:b/>
                <w:i w:val="0"/>
                <w:color w:val="FFFFFF"/>
                <w:sz w:val="20"/>
              </w:rPr>
              <w:t>Statut</w:t>
            </w:r>
          </w:p>
        </w:tc>
      </w:tr>
      <w:tr>
        <w:tc>
          <w:tcPr>
            <w:tcW w:type="dxa" w:w="1134"/>
            <w:vAlign w:val="center"/>
            <w:shd w:val="clear" w:color="auto" w:fill="EFF6FF"/>
          </w:tcPr>
          <w:p>
            <w:pPr>
              <w:jc w:val="center"/>
            </w:pPr>
            <w:r>
              <w:rPr>
                <w:rFonts w:ascii="Calibri" w:hAnsi="Calibri"/>
                <w:b w:val="0"/>
                <w:i w:val="0"/>
                <w:sz w:val="20"/>
              </w:rPr>
              <w:t>🏆 1er</w:t>
            </w:r>
          </w:p>
        </w:tc>
        <w:tc>
          <w:tcPr>
            <w:tcW w:type="dxa" w:w="2835"/>
            <w:vAlign w:val="center"/>
            <w:shd w:val="clear" w:color="auto" w:fill="EFF6FF"/>
          </w:tcPr>
          <w:p>
            <w:pPr>
              <w:jc w:val="center"/>
            </w:pPr>
            <w:r>
              <w:rPr>
                <w:rFonts w:ascii="Calibri" w:hAnsi="Calibri"/>
                <w:b w:val="0"/>
                <w:i w:val="0"/>
                <w:sz w:val="20"/>
              </w:rPr>
              <w:t>Voting Ensemble</w:t>
            </w:r>
          </w:p>
        </w:tc>
        <w:tc>
          <w:tcPr>
            <w:tcW w:type="dxa" w:w="1701"/>
            <w:vAlign w:val="center"/>
            <w:shd w:val="clear" w:color="auto" w:fill="EFF6FF"/>
          </w:tcPr>
          <w:p>
            <w:pPr>
              <w:jc w:val="center"/>
            </w:pPr>
            <w:r>
              <w:rPr>
                <w:rFonts w:ascii="Calibri" w:hAnsi="Calibri"/>
                <w:b w:val="0"/>
                <w:i w:val="0"/>
                <w:sz w:val="20"/>
              </w:rPr>
              <w:t>72.57%</w:t>
            </w:r>
          </w:p>
        </w:tc>
        <w:tc>
          <w:tcPr>
            <w:tcW w:type="dxa" w:w="1701"/>
            <w:vAlign w:val="center"/>
            <w:shd w:val="clear" w:color="auto" w:fill="EFF6FF"/>
          </w:tcPr>
          <w:p>
            <w:pPr>
              <w:jc w:val="center"/>
            </w:pPr>
            <w:r>
              <w:rPr>
                <w:rFonts w:ascii="Calibri" w:hAnsi="Calibri"/>
                <w:b w:val="0"/>
                <w:i w:val="0"/>
                <w:sz w:val="20"/>
              </w:rPr>
              <w:t>0.6937</w:t>
            </w:r>
          </w:p>
        </w:tc>
        <w:tc>
          <w:tcPr>
            <w:tcW w:type="dxa" w:w="2268"/>
            <w:vAlign w:val="center"/>
            <w:shd w:val="clear" w:color="auto" w:fill="EFF6FF"/>
          </w:tcPr>
          <w:p>
            <w:pPr>
              <w:jc w:val="center"/>
            </w:pPr>
            <w:r>
              <w:rPr>
                <w:rFonts w:ascii="Calibri" w:hAnsi="Calibri"/>
                <w:b w:val="0"/>
                <w:i w:val="0"/>
                <w:sz w:val="20"/>
              </w:rPr>
              <w:t>CHAMPION</w:t>
            </w:r>
          </w:p>
        </w:tc>
      </w:tr>
      <w:tr>
        <w:tc>
          <w:tcPr>
            <w:tcW w:type="dxa" w:w="1134"/>
            <w:vAlign w:val="center"/>
            <w:shd w:val="clear" w:color="auto" w:fill="FFFFFF"/>
          </w:tcPr>
          <w:p>
            <w:pPr>
              <w:jc w:val="center"/>
            </w:pPr>
            <w:r>
              <w:rPr>
                <w:rFonts w:ascii="Calibri" w:hAnsi="Calibri"/>
                <w:b w:val="0"/>
                <w:i w:val="0"/>
                <w:sz w:val="20"/>
              </w:rPr>
              <w:t>2e</w:t>
            </w:r>
          </w:p>
        </w:tc>
        <w:tc>
          <w:tcPr>
            <w:tcW w:type="dxa" w:w="2835"/>
            <w:vAlign w:val="center"/>
            <w:shd w:val="clear" w:color="auto" w:fill="FFFFFF"/>
          </w:tcPr>
          <w:p>
            <w:pPr>
              <w:jc w:val="center"/>
            </w:pPr>
            <w:r>
              <w:rPr>
                <w:rFonts w:ascii="Calibri" w:hAnsi="Calibri"/>
                <w:b w:val="0"/>
                <w:i w:val="0"/>
                <w:sz w:val="20"/>
              </w:rPr>
              <w:t>Gradient Boosting</w:t>
            </w:r>
          </w:p>
        </w:tc>
        <w:tc>
          <w:tcPr>
            <w:tcW w:type="dxa" w:w="1701"/>
            <w:vAlign w:val="center"/>
            <w:shd w:val="clear" w:color="auto" w:fill="FFFFFF"/>
          </w:tcPr>
          <w:p>
            <w:pPr>
              <w:jc w:val="center"/>
            </w:pPr>
            <w:r>
              <w:rPr>
                <w:rFonts w:ascii="Calibri" w:hAnsi="Calibri"/>
                <w:b w:val="0"/>
                <w:i w:val="0"/>
                <w:sz w:val="20"/>
              </w:rPr>
              <w:t>66.64%</w:t>
            </w:r>
          </w:p>
        </w:tc>
        <w:tc>
          <w:tcPr>
            <w:tcW w:type="dxa" w:w="1701"/>
            <w:vAlign w:val="center"/>
            <w:shd w:val="clear" w:color="auto" w:fill="FFFFFF"/>
          </w:tcPr>
          <w:p>
            <w:pPr>
              <w:jc w:val="center"/>
            </w:pPr>
            <w:r>
              <w:rPr>
                <w:rFonts w:ascii="Calibri" w:hAnsi="Calibri"/>
                <w:b w:val="0"/>
                <w:i w:val="0"/>
                <w:sz w:val="20"/>
              </w:rPr>
              <w:t>0.6811</w:t>
            </w:r>
          </w:p>
        </w:tc>
        <w:tc>
          <w:tcPr>
            <w:tcW w:type="dxa" w:w="2268"/>
            <w:vAlign w:val="center"/>
            <w:shd w:val="clear" w:color="auto" w:fill="FFFFFF"/>
          </w:tcPr>
          <w:p>
            <w:pPr>
              <w:jc w:val="center"/>
            </w:pPr>
            <w:r>
              <w:rPr>
                <w:rFonts w:ascii="Calibri" w:hAnsi="Calibri"/>
                <w:b w:val="0"/>
                <w:i w:val="0"/>
                <w:sz w:val="20"/>
              </w:rPr>
            </w:r>
          </w:p>
        </w:tc>
      </w:tr>
      <w:tr>
        <w:tc>
          <w:tcPr>
            <w:tcW w:type="dxa" w:w="1134"/>
            <w:vAlign w:val="center"/>
            <w:shd w:val="clear" w:color="auto" w:fill="EFF6FF"/>
          </w:tcPr>
          <w:p>
            <w:pPr>
              <w:jc w:val="center"/>
            </w:pPr>
            <w:r>
              <w:rPr>
                <w:rFonts w:ascii="Calibri" w:hAnsi="Calibri"/>
                <w:b w:val="0"/>
                <w:i w:val="0"/>
                <w:sz w:val="20"/>
              </w:rPr>
              <w:t>3e</w:t>
            </w:r>
          </w:p>
        </w:tc>
        <w:tc>
          <w:tcPr>
            <w:tcW w:type="dxa" w:w="2835"/>
            <w:vAlign w:val="center"/>
            <w:shd w:val="clear" w:color="auto" w:fill="EFF6FF"/>
          </w:tcPr>
          <w:p>
            <w:pPr>
              <w:jc w:val="center"/>
            </w:pPr>
            <w:r>
              <w:rPr>
                <w:rFonts w:ascii="Calibri" w:hAnsi="Calibri"/>
                <w:b w:val="0"/>
                <w:i w:val="0"/>
                <w:sz w:val="20"/>
              </w:rPr>
              <w:t>Random Forest</w:t>
            </w:r>
          </w:p>
        </w:tc>
        <w:tc>
          <w:tcPr>
            <w:tcW w:type="dxa" w:w="1701"/>
            <w:vAlign w:val="center"/>
            <w:shd w:val="clear" w:color="auto" w:fill="EFF6FF"/>
          </w:tcPr>
          <w:p>
            <w:pPr>
              <w:jc w:val="center"/>
            </w:pPr>
            <w:r>
              <w:rPr>
                <w:rFonts w:ascii="Calibri" w:hAnsi="Calibri"/>
                <w:b w:val="0"/>
                <w:i w:val="0"/>
                <w:sz w:val="20"/>
              </w:rPr>
              <w:t>65.89%</w:t>
            </w:r>
          </w:p>
        </w:tc>
        <w:tc>
          <w:tcPr>
            <w:tcW w:type="dxa" w:w="1701"/>
            <w:vAlign w:val="center"/>
            <w:shd w:val="clear" w:color="auto" w:fill="EFF6FF"/>
          </w:tcPr>
          <w:p>
            <w:pPr>
              <w:jc w:val="center"/>
            </w:pPr>
            <w:r>
              <w:rPr>
                <w:rFonts w:ascii="Calibri" w:hAnsi="Calibri"/>
                <w:b w:val="0"/>
                <w:i w:val="0"/>
                <w:sz w:val="20"/>
              </w:rPr>
              <w:t>0.6542</w:t>
            </w:r>
          </w:p>
        </w:tc>
        <w:tc>
          <w:tcPr>
            <w:tcW w:type="dxa" w:w="2268"/>
            <w:vAlign w:val="center"/>
            <w:shd w:val="clear" w:color="auto" w:fill="EFF6FF"/>
          </w:tcPr>
          <w:p>
            <w:pPr>
              <w:jc w:val="center"/>
            </w:pPr>
            <w:r>
              <w:rPr>
                <w:rFonts w:ascii="Calibri" w:hAnsi="Calibri"/>
                <w:b w:val="0"/>
                <w:i w:val="0"/>
                <w:sz w:val="20"/>
              </w:rPr>
            </w:r>
          </w:p>
        </w:tc>
      </w:tr>
      <w:tr>
        <w:tc>
          <w:tcPr>
            <w:tcW w:type="dxa" w:w="1134"/>
            <w:vAlign w:val="center"/>
            <w:shd w:val="clear" w:color="auto" w:fill="FFFFFF"/>
          </w:tcPr>
          <w:p>
            <w:pPr>
              <w:jc w:val="center"/>
            </w:pPr>
            <w:r>
              <w:rPr>
                <w:rFonts w:ascii="Calibri" w:hAnsi="Calibri"/>
                <w:b w:val="0"/>
                <w:i w:val="0"/>
                <w:sz w:val="20"/>
              </w:rPr>
              <w:t>4e</w:t>
            </w:r>
          </w:p>
        </w:tc>
        <w:tc>
          <w:tcPr>
            <w:tcW w:type="dxa" w:w="2835"/>
            <w:vAlign w:val="center"/>
            <w:shd w:val="clear" w:color="auto" w:fill="FFFFFF"/>
          </w:tcPr>
          <w:p>
            <w:pPr>
              <w:jc w:val="center"/>
            </w:pPr>
            <w:r>
              <w:rPr>
                <w:rFonts w:ascii="Calibri" w:hAnsi="Calibri"/>
                <w:b w:val="0"/>
                <w:i w:val="0"/>
                <w:sz w:val="20"/>
              </w:rPr>
              <w:t>AdaBoost</w:t>
            </w:r>
          </w:p>
        </w:tc>
        <w:tc>
          <w:tcPr>
            <w:tcW w:type="dxa" w:w="1701"/>
            <w:vAlign w:val="center"/>
            <w:shd w:val="clear" w:color="auto" w:fill="FFFFFF"/>
          </w:tcPr>
          <w:p>
            <w:pPr>
              <w:jc w:val="center"/>
            </w:pPr>
            <w:r>
              <w:rPr>
                <w:rFonts w:ascii="Calibri" w:hAnsi="Calibri"/>
                <w:b w:val="0"/>
                <w:i w:val="0"/>
                <w:sz w:val="20"/>
              </w:rPr>
              <w:t>63.48%</w:t>
            </w:r>
          </w:p>
        </w:tc>
        <w:tc>
          <w:tcPr>
            <w:tcW w:type="dxa" w:w="1701"/>
            <w:vAlign w:val="center"/>
            <w:shd w:val="clear" w:color="auto" w:fill="FFFFFF"/>
          </w:tcPr>
          <w:p>
            <w:pPr>
              <w:jc w:val="center"/>
            </w:pPr>
            <w:r>
              <w:rPr>
                <w:rFonts w:ascii="Calibri" w:hAnsi="Calibri"/>
                <w:b w:val="0"/>
                <w:i w:val="0"/>
                <w:sz w:val="20"/>
              </w:rPr>
              <w:t>0.6522</w:t>
            </w:r>
          </w:p>
        </w:tc>
        <w:tc>
          <w:tcPr>
            <w:tcW w:type="dxa" w:w="2268"/>
            <w:vAlign w:val="center"/>
            <w:shd w:val="clear" w:color="auto" w:fill="FFFFFF"/>
          </w:tcPr>
          <w:p>
            <w:pPr>
              <w:jc w:val="center"/>
            </w:pPr>
            <w:r>
              <w:rPr>
                <w:rFonts w:ascii="Calibri" w:hAnsi="Calibri"/>
                <w:b w:val="0"/>
                <w:i w:val="0"/>
                <w:sz w:val="20"/>
              </w:rPr>
            </w:r>
          </w:p>
        </w:tc>
      </w:tr>
      <w:tr>
        <w:tc>
          <w:tcPr>
            <w:tcW w:type="dxa" w:w="1134"/>
            <w:vAlign w:val="center"/>
            <w:shd w:val="clear" w:color="auto" w:fill="EFF6FF"/>
          </w:tcPr>
          <w:p>
            <w:pPr>
              <w:jc w:val="center"/>
            </w:pPr>
            <w:r>
              <w:rPr>
                <w:rFonts w:ascii="Calibri" w:hAnsi="Calibri"/>
                <w:b w:val="0"/>
                <w:i w:val="0"/>
                <w:sz w:val="20"/>
              </w:rPr>
              <w:t>5e</w:t>
            </w:r>
          </w:p>
        </w:tc>
        <w:tc>
          <w:tcPr>
            <w:tcW w:type="dxa" w:w="2835"/>
            <w:vAlign w:val="center"/>
            <w:shd w:val="clear" w:color="auto" w:fill="EFF6FF"/>
          </w:tcPr>
          <w:p>
            <w:pPr>
              <w:jc w:val="center"/>
            </w:pPr>
            <w:r>
              <w:rPr>
                <w:rFonts w:ascii="Calibri" w:hAnsi="Calibri"/>
                <w:b w:val="0"/>
                <w:i w:val="0"/>
                <w:sz w:val="20"/>
              </w:rPr>
              <w:t>KNN</w:t>
            </w:r>
          </w:p>
        </w:tc>
        <w:tc>
          <w:tcPr>
            <w:tcW w:type="dxa" w:w="1701"/>
            <w:vAlign w:val="center"/>
            <w:shd w:val="clear" w:color="auto" w:fill="EFF6FF"/>
          </w:tcPr>
          <w:p>
            <w:pPr>
              <w:jc w:val="center"/>
            </w:pPr>
            <w:r>
              <w:rPr>
                <w:rFonts w:ascii="Calibri" w:hAnsi="Calibri"/>
                <w:b w:val="0"/>
                <w:i w:val="0"/>
                <w:sz w:val="20"/>
              </w:rPr>
              <w:t>67.56%</w:t>
            </w:r>
          </w:p>
        </w:tc>
        <w:tc>
          <w:tcPr>
            <w:tcW w:type="dxa" w:w="1701"/>
            <w:vAlign w:val="center"/>
            <w:shd w:val="clear" w:color="auto" w:fill="EFF6FF"/>
          </w:tcPr>
          <w:p>
            <w:pPr>
              <w:jc w:val="center"/>
            </w:pPr>
            <w:r>
              <w:rPr>
                <w:rFonts w:ascii="Calibri" w:hAnsi="Calibri"/>
                <w:b w:val="0"/>
                <w:i w:val="0"/>
                <w:sz w:val="20"/>
              </w:rPr>
              <w:t>0.6476</w:t>
            </w:r>
          </w:p>
        </w:tc>
        <w:tc>
          <w:tcPr>
            <w:tcW w:type="dxa" w:w="2268"/>
            <w:vAlign w:val="center"/>
            <w:shd w:val="clear" w:color="auto" w:fill="EFF6FF"/>
          </w:tcPr>
          <w:p>
            <w:pPr>
              <w:jc w:val="center"/>
            </w:pPr>
            <w:r>
              <w:rPr>
                <w:rFonts w:ascii="Calibri" w:hAnsi="Calibri"/>
                <w:b w:val="0"/>
                <w:i w:val="0"/>
                <w:sz w:val="20"/>
              </w:rPr>
            </w:r>
          </w:p>
        </w:tc>
      </w:tr>
      <w:tr>
        <w:tc>
          <w:tcPr>
            <w:tcW w:type="dxa" w:w="1134"/>
            <w:vAlign w:val="center"/>
            <w:shd w:val="clear" w:color="auto" w:fill="FFFFFF"/>
          </w:tcPr>
          <w:p>
            <w:pPr>
              <w:jc w:val="center"/>
            </w:pPr>
            <w:r>
              <w:rPr>
                <w:rFonts w:ascii="Calibri" w:hAnsi="Calibri"/>
                <w:b w:val="0"/>
                <w:i w:val="0"/>
                <w:sz w:val="20"/>
              </w:rPr>
              <w:t>6e</w:t>
            </w:r>
          </w:p>
        </w:tc>
        <w:tc>
          <w:tcPr>
            <w:tcW w:type="dxa" w:w="2835"/>
            <w:vAlign w:val="center"/>
            <w:shd w:val="clear" w:color="auto" w:fill="FFFFFF"/>
          </w:tcPr>
          <w:p>
            <w:pPr>
              <w:jc w:val="center"/>
            </w:pPr>
            <w:r>
              <w:rPr>
                <w:rFonts w:ascii="Calibri" w:hAnsi="Calibri"/>
                <w:b w:val="0"/>
                <w:i w:val="0"/>
                <w:sz w:val="20"/>
              </w:rPr>
              <w:t>Decision Tree</w:t>
            </w:r>
          </w:p>
        </w:tc>
        <w:tc>
          <w:tcPr>
            <w:tcW w:type="dxa" w:w="1701"/>
            <w:vAlign w:val="center"/>
            <w:shd w:val="clear" w:color="auto" w:fill="FFFFFF"/>
          </w:tcPr>
          <w:p>
            <w:pPr>
              <w:jc w:val="center"/>
            </w:pPr>
            <w:r>
              <w:rPr>
                <w:rFonts w:ascii="Calibri" w:hAnsi="Calibri"/>
                <w:b w:val="0"/>
                <w:i w:val="0"/>
                <w:sz w:val="20"/>
              </w:rPr>
              <w:t>61.45%</w:t>
            </w:r>
          </w:p>
        </w:tc>
        <w:tc>
          <w:tcPr>
            <w:tcW w:type="dxa" w:w="1701"/>
            <w:vAlign w:val="center"/>
            <w:shd w:val="clear" w:color="auto" w:fill="FFFFFF"/>
          </w:tcPr>
          <w:p>
            <w:pPr>
              <w:jc w:val="center"/>
            </w:pPr>
            <w:r>
              <w:rPr>
                <w:rFonts w:ascii="Calibri" w:hAnsi="Calibri"/>
                <w:b w:val="0"/>
                <w:i w:val="0"/>
                <w:sz w:val="20"/>
              </w:rPr>
              <w:t>0.6321</w:t>
            </w:r>
          </w:p>
        </w:tc>
        <w:tc>
          <w:tcPr>
            <w:tcW w:type="dxa" w:w="2268"/>
            <w:vAlign w:val="center"/>
            <w:shd w:val="clear" w:color="auto" w:fill="FFFFFF"/>
          </w:tcPr>
          <w:p>
            <w:pPr>
              <w:jc w:val="center"/>
            </w:pPr>
            <w:r>
              <w:rPr>
                <w:rFonts w:ascii="Calibri" w:hAnsi="Calibri"/>
                <w:b w:val="0"/>
                <w:i w:val="0"/>
                <w:sz w:val="20"/>
              </w:rPr>
            </w:r>
          </w:p>
        </w:tc>
      </w:tr>
      <w:tr>
        <w:tc>
          <w:tcPr>
            <w:tcW w:type="dxa" w:w="1134"/>
            <w:vAlign w:val="center"/>
            <w:shd w:val="clear" w:color="auto" w:fill="EFF6FF"/>
          </w:tcPr>
          <w:p>
            <w:pPr>
              <w:jc w:val="center"/>
            </w:pPr>
            <w:r>
              <w:rPr>
                <w:rFonts w:ascii="Calibri" w:hAnsi="Calibri"/>
                <w:b w:val="0"/>
                <w:i w:val="0"/>
                <w:sz w:val="20"/>
              </w:rPr>
              <w:t>7e</w:t>
            </w:r>
          </w:p>
        </w:tc>
        <w:tc>
          <w:tcPr>
            <w:tcW w:type="dxa" w:w="2835"/>
            <w:vAlign w:val="center"/>
            <w:shd w:val="clear" w:color="auto" w:fill="EFF6FF"/>
          </w:tcPr>
          <w:p>
            <w:pPr>
              <w:jc w:val="center"/>
            </w:pPr>
            <w:r>
              <w:rPr>
                <w:rFonts w:ascii="Calibri" w:hAnsi="Calibri"/>
                <w:b w:val="0"/>
                <w:i w:val="0"/>
                <w:sz w:val="20"/>
              </w:rPr>
              <w:t>XGBoost</w:t>
            </w:r>
          </w:p>
        </w:tc>
        <w:tc>
          <w:tcPr>
            <w:tcW w:type="dxa" w:w="1701"/>
            <w:vAlign w:val="center"/>
            <w:shd w:val="clear" w:color="auto" w:fill="EFF6FF"/>
          </w:tcPr>
          <w:p>
            <w:pPr>
              <w:jc w:val="center"/>
            </w:pPr>
            <w:r>
              <w:rPr>
                <w:rFonts w:ascii="Calibri" w:hAnsi="Calibri"/>
                <w:b w:val="0"/>
                <w:i w:val="0"/>
                <w:sz w:val="20"/>
              </w:rPr>
              <w:t>59.87%</w:t>
            </w:r>
          </w:p>
        </w:tc>
        <w:tc>
          <w:tcPr>
            <w:tcW w:type="dxa" w:w="1701"/>
            <w:vAlign w:val="center"/>
            <w:shd w:val="clear" w:color="auto" w:fill="EFF6FF"/>
          </w:tcPr>
          <w:p>
            <w:pPr>
              <w:jc w:val="center"/>
            </w:pPr>
            <w:r>
              <w:rPr>
                <w:rFonts w:ascii="Calibri" w:hAnsi="Calibri"/>
                <w:b w:val="0"/>
                <w:i w:val="0"/>
                <w:sz w:val="20"/>
              </w:rPr>
              <w:t>0.6184</w:t>
            </w:r>
          </w:p>
        </w:tc>
        <w:tc>
          <w:tcPr>
            <w:tcW w:type="dxa" w:w="2268"/>
            <w:vAlign w:val="center"/>
            <w:shd w:val="clear" w:color="auto" w:fill="EFF6FF"/>
          </w:tcPr>
          <w:p>
            <w:pPr>
              <w:jc w:val="center"/>
            </w:pPr>
            <w:r>
              <w:rPr>
                <w:rFonts w:ascii="Calibri" w:hAnsi="Calibri"/>
                <w:b w:val="0"/>
                <w:i w:val="0"/>
                <w:sz w:val="20"/>
              </w:rPr>
            </w:r>
          </w:p>
        </w:tc>
      </w:tr>
      <w:tr>
        <w:tc>
          <w:tcPr>
            <w:tcW w:type="dxa" w:w="1134"/>
            <w:vAlign w:val="center"/>
            <w:shd w:val="clear" w:color="auto" w:fill="FFFFFF"/>
          </w:tcPr>
          <w:p>
            <w:pPr>
              <w:jc w:val="center"/>
            </w:pPr>
            <w:r>
              <w:rPr>
                <w:rFonts w:ascii="Calibri" w:hAnsi="Calibri"/>
                <w:b w:val="0"/>
                <w:i w:val="0"/>
                <w:sz w:val="20"/>
              </w:rPr>
              <w:t>8e</w:t>
            </w:r>
          </w:p>
        </w:tc>
        <w:tc>
          <w:tcPr>
            <w:tcW w:type="dxa" w:w="2835"/>
            <w:vAlign w:val="center"/>
            <w:shd w:val="clear" w:color="auto" w:fill="FFFFFF"/>
          </w:tcPr>
          <w:p>
            <w:pPr>
              <w:jc w:val="center"/>
            </w:pPr>
            <w:r>
              <w:rPr>
                <w:rFonts w:ascii="Calibri" w:hAnsi="Calibri"/>
                <w:b w:val="0"/>
                <w:i w:val="0"/>
                <w:sz w:val="20"/>
              </w:rPr>
              <w:t>Gaussian Naive Bayes</w:t>
            </w:r>
          </w:p>
        </w:tc>
        <w:tc>
          <w:tcPr>
            <w:tcW w:type="dxa" w:w="1701"/>
            <w:vAlign w:val="center"/>
            <w:shd w:val="clear" w:color="auto" w:fill="FFFFFF"/>
          </w:tcPr>
          <w:p>
            <w:pPr>
              <w:jc w:val="center"/>
            </w:pPr>
            <w:r>
              <w:rPr>
                <w:rFonts w:ascii="Calibri" w:hAnsi="Calibri"/>
                <w:b w:val="0"/>
                <w:i w:val="0"/>
                <w:sz w:val="20"/>
              </w:rPr>
              <w:t>71.73%</w:t>
            </w:r>
          </w:p>
        </w:tc>
        <w:tc>
          <w:tcPr>
            <w:tcW w:type="dxa" w:w="1701"/>
            <w:vAlign w:val="center"/>
            <w:shd w:val="clear" w:color="auto" w:fill="FFFFFF"/>
          </w:tcPr>
          <w:p>
            <w:pPr>
              <w:jc w:val="center"/>
            </w:pPr>
            <w:r>
              <w:rPr>
                <w:rFonts w:ascii="Calibri" w:hAnsi="Calibri"/>
                <w:b w:val="0"/>
                <w:i w:val="0"/>
                <w:sz w:val="20"/>
              </w:rPr>
              <w:t>0.5993</w:t>
            </w:r>
          </w:p>
        </w:tc>
        <w:tc>
          <w:tcPr>
            <w:tcW w:type="dxa" w:w="2268"/>
            <w:vAlign w:val="center"/>
            <w:shd w:val="clear" w:color="auto" w:fill="FFFFFF"/>
          </w:tcPr>
          <w:p>
            <w:pPr>
              <w:jc w:val="center"/>
            </w:pPr>
            <w:r>
              <w:rPr>
                <w:rFonts w:ascii="Calibri" w:hAnsi="Calibri"/>
                <w:b w:val="0"/>
                <w:i w:val="0"/>
                <w:sz w:val="20"/>
              </w:rPr>
            </w:r>
          </w:p>
        </w:tc>
      </w:tr>
      <w:tr>
        <w:tc>
          <w:tcPr>
            <w:tcW w:type="dxa" w:w="1134"/>
            <w:vAlign w:val="center"/>
            <w:shd w:val="clear" w:color="auto" w:fill="EFF6FF"/>
          </w:tcPr>
          <w:p>
            <w:pPr>
              <w:jc w:val="center"/>
            </w:pPr>
            <w:r>
              <w:rPr>
                <w:rFonts w:ascii="Calibri" w:hAnsi="Calibri"/>
                <w:b w:val="0"/>
                <w:i w:val="0"/>
                <w:sz w:val="20"/>
              </w:rPr>
              <w:t>9e</w:t>
            </w:r>
          </w:p>
        </w:tc>
        <w:tc>
          <w:tcPr>
            <w:tcW w:type="dxa" w:w="2835"/>
            <w:vAlign w:val="center"/>
            <w:shd w:val="clear" w:color="auto" w:fill="EFF6FF"/>
          </w:tcPr>
          <w:p>
            <w:pPr>
              <w:jc w:val="center"/>
            </w:pPr>
            <w:r>
              <w:rPr>
                <w:rFonts w:ascii="Calibri" w:hAnsi="Calibri"/>
                <w:b w:val="0"/>
                <w:i w:val="0"/>
                <w:sz w:val="20"/>
              </w:rPr>
              <w:t>Logistic Regression</w:t>
            </w:r>
          </w:p>
        </w:tc>
        <w:tc>
          <w:tcPr>
            <w:tcW w:type="dxa" w:w="1701"/>
            <w:vAlign w:val="center"/>
            <w:shd w:val="clear" w:color="auto" w:fill="EFF6FF"/>
          </w:tcPr>
          <w:p>
            <w:pPr>
              <w:jc w:val="center"/>
            </w:pPr>
            <w:r>
              <w:rPr>
                <w:rFonts w:ascii="Calibri" w:hAnsi="Calibri"/>
                <w:b w:val="0"/>
                <w:i w:val="0"/>
                <w:sz w:val="20"/>
              </w:rPr>
              <w:t>53.75%</w:t>
            </w:r>
          </w:p>
        </w:tc>
        <w:tc>
          <w:tcPr>
            <w:tcW w:type="dxa" w:w="1701"/>
            <w:vAlign w:val="center"/>
            <w:shd w:val="clear" w:color="auto" w:fill="EFF6FF"/>
          </w:tcPr>
          <w:p>
            <w:pPr>
              <w:jc w:val="center"/>
            </w:pPr>
            <w:r>
              <w:rPr>
                <w:rFonts w:ascii="Calibri" w:hAnsi="Calibri"/>
                <w:b w:val="0"/>
                <w:i w:val="0"/>
                <w:sz w:val="20"/>
              </w:rPr>
              <w:t>0.5594</w:t>
            </w:r>
          </w:p>
        </w:tc>
        <w:tc>
          <w:tcPr>
            <w:tcW w:type="dxa" w:w="2268"/>
            <w:vAlign w:val="center"/>
            <w:shd w:val="clear" w:color="auto" w:fill="EFF6FF"/>
          </w:tcPr>
          <w:p>
            <w:pPr>
              <w:jc w:val="center"/>
            </w:pPr>
            <w:r>
              <w:rPr>
                <w:rFonts w:ascii="Calibri" w:hAnsi="Calibri"/>
                <w:b w:val="0"/>
                <w:i w:val="0"/>
                <w:sz w:val="20"/>
              </w:rPr>
            </w:r>
          </w:p>
        </w:tc>
      </w:tr>
      <w:tr>
        <w:tc>
          <w:tcPr>
            <w:tcW w:type="dxa" w:w="1134"/>
            <w:vAlign w:val="center"/>
            <w:shd w:val="clear" w:color="auto" w:fill="FFFFFF"/>
          </w:tcPr>
          <w:p>
            <w:pPr>
              <w:jc w:val="center"/>
            </w:pPr>
            <w:r>
              <w:rPr>
                <w:rFonts w:ascii="Calibri" w:hAnsi="Calibri"/>
                <w:b w:val="0"/>
                <w:i w:val="0"/>
                <w:sz w:val="20"/>
              </w:rPr>
              <w:t>Dernier</w:t>
            </w:r>
          </w:p>
        </w:tc>
        <w:tc>
          <w:tcPr>
            <w:tcW w:type="dxa" w:w="2835"/>
            <w:vAlign w:val="center"/>
            <w:shd w:val="clear" w:color="auto" w:fill="FFFFFF"/>
          </w:tcPr>
          <w:p>
            <w:pPr>
              <w:jc w:val="center"/>
            </w:pPr>
            <w:r>
              <w:rPr>
                <w:rFonts w:ascii="Calibri" w:hAnsi="Calibri"/>
                <w:b w:val="0"/>
                <w:i w:val="0"/>
                <w:sz w:val="20"/>
              </w:rPr>
              <w:t>SVM (RBF)</w:t>
            </w:r>
          </w:p>
        </w:tc>
        <w:tc>
          <w:tcPr>
            <w:tcW w:type="dxa" w:w="1701"/>
            <w:vAlign w:val="center"/>
            <w:shd w:val="clear" w:color="auto" w:fill="FFFFFF"/>
          </w:tcPr>
          <w:p>
            <w:pPr>
              <w:jc w:val="center"/>
            </w:pPr>
            <w:r>
              <w:rPr>
                <w:rFonts w:ascii="Calibri" w:hAnsi="Calibri"/>
                <w:b w:val="0"/>
                <w:i w:val="0"/>
                <w:sz w:val="20"/>
              </w:rPr>
              <w:t>51.90%</w:t>
            </w:r>
          </w:p>
        </w:tc>
        <w:tc>
          <w:tcPr>
            <w:tcW w:type="dxa" w:w="1701"/>
            <w:vAlign w:val="center"/>
            <w:shd w:val="clear" w:color="auto" w:fill="FFFFFF"/>
          </w:tcPr>
          <w:p>
            <w:pPr>
              <w:jc w:val="center"/>
            </w:pPr>
            <w:r>
              <w:rPr>
                <w:rFonts w:ascii="Calibri" w:hAnsi="Calibri"/>
                <w:b w:val="0"/>
                <w:i w:val="0"/>
                <w:sz w:val="20"/>
              </w:rPr>
              <w:t>0.5363</w:t>
            </w:r>
          </w:p>
        </w:tc>
        <w:tc>
          <w:tcPr>
            <w:tcW w:type="dxa" w:w="2268"/>
            <w:vAlign w:val="center"/>
            <w:shd w:val="clear" w:color="auto" w:fill="FFFFFF"/>
          </w:tcPr>
          <w:p>
            <w:pPr>
              <w:jc w:val="center"/>
            </w:pPr>
            <w:r>
              <w:rPr>
                <w:rFonts w:ascii="Calibri" w:hAnsi="Calibri"/>
                <w:b w:val="0"/>
                <w:i w:val="0"/>
                <w:sz w:val="20"/>
              </w:rPr>
            </w:r>
          </w:p>
        </w:tc>
      </w:tr>
    </w:tbl>
    <w:p/>
    <w:p>
      <w:pPr>
        <w:pStyle w:val="Heading3"/>
        <w:spacing w:before="200"/>
      </w:pPr>
      <w:r>
        <w:rPr>
          <w:rFonts w:ascii="Calibri" w:hAnsi="Calibri"/>
          <w:color w:val="376BB5"/>
        </w:rPr>
        <w:t>Optimisation GridSearchCV</w:t>
      </w:r>
    </w:p>
    <w:p>
      <w:pPr>
        <w:spacing w:after="80"/>
      </w:pPr>
      <w:r>
        <w:rPr>
          <w:rFonts w:ascii="Calibri" w:hAnsi="Calibri"/>
          <w:b w:val="0"/>
          <w:i w:val="0"/>
          <w:sz w:val="22"/>
        </w:rPr>
        <w:t>Les hyperparamètres du modèle gagnant sont optimisés automatiquement : 16 combinaisons × 5 validations = 80 entraînements. F1 : 0.6937  →  0.7003 après optimisation.</w:t>
      </w:r>
    </w:p>
    <w:p>
      <w:pPr>
        <w:pStyle w:val="Heading3"/>
        <w:spacing w:before="200"/>
      </w:pPr>
      <w:r>
        <w:rPr>
          <w:rFonts w:ascii="Calibri" w:hAnsi="Calibri"/>
          <w:color w:val="376BB5"/>
        </w:rPr>
        <w:t>Résultats finaux du modèle</w:t>
      </w:r>
    </w:p>
    <w:tbl>
      <w:tblPr>
        <w:tblStyle w:val="TableGrid"/>
        <w:tblW w:type="auto" w:w="0"/>
        <w:jc w:val="center"/>
        <w:tblLook w:firstColumn="1" w:firstRow="1" w:lastColumn="0" w:lastRow="0" w:noHBand="0" w:noVBand="1" w:val="04A0"/>
      </w:tblPr>
      <w:tblGrid>
        <w:gridCol w:w="3041"/>
        <w:gridCol w:w="3041"/>
        <w:gridCol w:w="3041"/>
      </w:tblGrid>
      <w:tr>
        <w:tc>
          <w:tcPr>
            <w:tcW w:type="dxa" w:w="2268"/>
            <w:vAlign w:val="center"/>
            <w:shd w:val="clear" w:color="auto" w:fill="1E3A8A"/>
          </w:tcPr>
          <w:p>
            <w:pPr>
              <w:jc w:val="center"/>
            </w:pPr>
            <w:r>
              <w:rPr>
                <w:rFonts w:ascii="Calibri" w:hAnsi="Calibri"/>
                <w:b/>
                <w:i w:val="0"/>
                <w:color w:val="FFFFFF"/>
                <w:sz w:val="20"/>
              </w:rPr>
              <w:t>Métrique</w:t>
            </w:r>
          </w:p>
        </w:tc>
        <w:tc>
          <w:tcPr>
            <w:tcW w:type="dxa" w:w="1701"/>
            <w:vAlign w:val="center"/>
            <w:shd w:val="clear" w:color="auto" w:fill="1E3A8A"/>
          </w:tcPr>
          <w:p>
            <w:pPr>
              <w:jc w:val="center"/>
            </w:pPr>
            <w:r>
              <w:rPr>
                <w:rFonts w:ascii="Calibri" w:hAnsi="Calibri"/>
                <w:b/>
                <w:i w:val="0"/>
                <w:color w:val="FFFFFF"/>
                <w:sz w:val="20"/>
              </w:rPr>
              <w:t>Valeur</w:t>
            </w:r>
          </w:p>
        </w:tc>
        <w:tc>
          <w:tcPr>
            <w:tcW w:type="dxa" w:w="5669"/>
            <w:vAlign w:val="center"/>
            <w:shd w:val="clear" w:color="auto" w:fill="1E3A8A"/>
          </w:tcPr>
          <w:p>
            <w:pPr>
              <w:jc w:val="center"/>
            </w:pPr>
            <w:r>
              <w:rPr>
                <w:rFonts w:ascii="Calibri" w:hAnsi="Calibri"/>
                <w:b/>
                <w:i w:val="0"/>
                <w:color w:val="FFFFFF"/>
                <w:sz w:val="20"/>
              </w:rPr>
              <w:t>Interprétation</w:t>
            </w:r>
          </w:p>
        </w:tc>
      </w:tr>
      <w:tr>
        <w:tc>
          <w:tcPr>
            <w:tcW w:type="dxa" w:w="2268"/>
            <w:vAlign w:val="center"/>
            <w:shd w:val="clear" w:color="auto" w:fill="EFF6FF"/>
          </w:tcPr>
          <w:p>
            <w:pPr>
              <w:jc w:val="center"/>
            </w:pPr>
            <w:r>
              <w:rPr>
                <w:rFonts w:ascii="Calibri" w:hAnsi="Calibri"/>
                <w:b w:val="0"/>
                <w:i w:val="0"/>
                <w:sz w:val="20"/>
              </w:rPr>
              <w:t>Accuracy</w:t>
            </w:r>
          </w:p>
        </w:tc>
        <w:tc>
          <w:tcPr>
            <w:tcW w:type="dxa" w:w="1701"/>
            <w:vAlign w:val="center"/>
            <w:shd w:val="clear" w:color="auto" w:fill="EFF6FF"/>
          </w:tcPr>
          <w:p>
            <w:pPr>
              <w:jc w:val="center"/>
            </w:pPr>
            <w:r>
              <w:rPr>
                <w:rFonts w:ascii="Calibri" w:hAnsi="Calibri"/>
                <w:b w:val="0"/>
                <w:i w:val="0"/>
                <w:sz w:val="20"/>
              </w:rPr>
              <w:t>72.94%</w:t>
            </w:r>
          </w:p>
        </w:tc>
        <w:tc>
          <w:tcPr>
            <w:tcW w:type="dxa" w:w="5669"/>
            <w:vAlign w:val="center"/>
            <w:shd w:val="clear" w:color="auto" w:fill="EFF6FF"/>
          </w:tcPr>
          <w:p>
            <w:pPr>
              <w:jc w:val="center"/>
            </w:pPr>
            <w:r>
              <w:rPr>
                <w:rFonts w:ascii="Calibri" w:hAnsi="Calibri"/>
                <w:b w:val="0"/>
                <w:i w:val="0"/>
                <w:sz w:val="20"/>
              </w:rPr>
              <w:t>73% des transactions correctement classées</w:t>
            </w:r>
          </w:p>
        </w:tc>
      </w:tr>
      <w:tr>
        <w:tc>
          <w:tcPr>
            <w:tcW w:type="dxa" w:w="2268"/>
            <w:vAlign w:val="center"/>
            <w:shd w:val="clear" w:color="auto" w:fill="FFFFFF"/>
          </w:tcPr>
          <w:p>
            <w:pPr>
              <w:jc w:val="center"/>
            </w:pPr>
            <w:r>
              <w:rPr>
                <w:rFonts w:ascii="Calibri" w:hAnsi="Calibri"/>
                <w:b w:val="0"/>
                <w:i w:val="0"/>
                <w:sz w:val="20"/>
              </w:rPr>
              <w:t>F1-Score pondéré</w:t>
            </w:r>
          </w:p>
        </w:tc>
        <w:tc>
          <w:tcPr>
            <w:tcW w:type="dxa" w:w="1701"/>
            <w:vAlign w:val="center"/>
            <w:shd w:val="clear" w:color="auto" w:fill="FFFFFF"/>
          </w:tcPr>
          <w:p>
            <w:pPr>
              <w:jc w:val="center"/>
            </w:pPr>
            <w:r>
              <w:rPr>
                <w:rFonts w:ascii="Calibri" w:hAnsi="Calibri"/>
                <w:b w:val="0"/>
                <w:i w:val="0"/>
                <w:sz w:val="20"/>
              </w:rPr>
              <w:t>70.03%</w:t>
            </w:r>
          </w:p>
        </w:tc>
        <w:tc>
          <w:tcPr>
            <w:tcW w:type="dxa" w:w="5669"/>
            <w:vAlign w:val="center"/>
            <w:shd w:val="clear" w:color="auto" w:fill="FFFFFF"/>
          </w:tcPr>
          <w:p>
            <w:pPr>
              <w:jc w:val="center"/>
            </w:pPr>
            <w:r>
              <w:rPr>
                <w:rFonts w:ascii="Calibri" w:hAnsi="Calibri"/>
                <w:b w:val="0"/>
                <w:i w:val="0"/>
                <w:sz w:val="20"/>
              </w:rPr>
              <w:t>Équilibre précision/rappel sur les deux classes</w:t>
            </w:r>
          </w:p>
        </w:tc>
      </w:tr>
      <w:tr>
        <w:tc>
          <w:tcPr>
            <w:tcW w:type="dxa" w:w="2268"/>
            <w:vAlign w:val="center"/>
            <w:shd w:val="clear" w:color="auto" w:fill="EFF6FF"/>
          </w:tcPr>
          <w:p>
            <w:pPr>
              <w:jc w:val="center"/>
            </w:pPr>
            <w:r>
              <w:rPr>
                <w:rFonts w:ascii="Calibri" w:hAnsi="Calibri"/>
                <w:b w:val="0"/>
                <w:i w:val="0"/>
                <w:sz w:val="20"/>
              </w:rPr>
              <w:t>AUC-ROC</w:t>
            </w:r>
          </w:p>
        </w:tc>
        <w:tc>
          <w:tcPr>
            <w:tcW w:type="dxa" w:w="1701"/>
            <w:vAlign w:val="center"/>
            <w:shd w:val="clear" w:color="auto" w:fill="EFF6FF"/>
          </w:tcPr>
          <w:p>
            <w:pPr>
              <w:jc w:val="center"/>
            </w:pPr>
            <w:r>
              <w:rPr>
                <w:rFonts w:ascii="Calibri" w:hAnsi="Calibri"/>
                <w:b w:val="0"/>
                <w:i w:val="0"/>
                <w:sz w:val="20"/>
              </w:rPr>
              <w:t>70.92%</w:t>
            </w:r>
          </w:p>
        </w:tc>
        <w:tc>
          <w:tcPr>
            <w:tcW w:type="dxa" w:w="5669"/>
            <w:vAlign w:val="center"/>
            <w:shd w:val="clear" w:color="auto" w:fill="EFF6FF"/>
          </w:tcPr>
          <w:p>
            <w:pPr>
              <w:jc w:val="center"/>
            </w:pPr>
            <w:r>
              <w:rPr>
                <w:rFonts w:ascii="Calibri" w:hAnsi="Calibri"/>
                <w:b w:val="0"/>
                <w:i w:val="0"/>
                <w:sz w:val="20"/>
              </w:rPr>
              <w:t>Discrimination significativement au-dessus du hasard (50%)</w:t>
            </w:r>
          </w:p>
        </w:tc>
      </w:tr>
      <w:tr>
        <w:tc>
          <w:tcPr>
            <w:tcW w:type="dxa" w:w="2268"/>
            <w:vAlign w:val="center"/>
            <w:shd w:val="clear" w:color="auto" w:fill="FFFFFF"/>
          </w:tcPr>
          <w:p>
            <w:pPr>
              <w:jc w:val="center"/>
            </w:pPr>
            <w:r>
              <w:rPr>
                <w:rFonts w:ascii="Calibri" w:hAnsi="Calibri"/>
                <w:b w:val="0"/>
                <w:i w:val="0"/>
                <w:sz w:val="20"/>
              </w:rPr>
              <w:t>CV 5-folds</w:t>
            </w:r>
          </w:p>
        </w:tc>
        <w:tc>
          <w:tcPr>
            <w:tcW w:type="dxa" w:w="1701"/>
            <w:vAlign w:val="center"/>
            <w:shd w:val="clear" w:color="auto" w:fill="FFFFFF"/>
          </w:tcPr>
          <w:p>
            <w:pPr>
              <w:jc w:val="center"/>
            </w:pPr>
            <w:r>
              <w:rPr>
                <w:rFonts w:ascii="Calibri" w:hAnsi="Calibri"/>
                <w:b w:val="0"/>
                <w:i w:val="0"/>
                <w:sz w:val="20"/>
              </w:rPr>
              <w:t>72.85% ± 0.84%</w:t>
            </w:r>
          </w:p>
        </w:tc>
        <w:tc>
          <w:tcPr>
            <w:tcW w:type="dxa" w:w="5669"/>
            <w:vAlign w:val="center"/>
            <w:shd w:val="clear" w:color="auto" w:fill="FFFFFF"/>
          </w:tcPr>
          <w:p>
            <w:pPr>
              <w:jc w:val="center"/>
            </w:pPr>
            <w:r>
              <w:rPr>
                <w:rFonts w:ascii="Calibri" w:hAnsi="Calibri"/>
                <w:b w:val="0"/>
                <w:i w:val="0"/>
                <w:sz w:val="20"/>
              </w:rPr>
              <w:t>Stabilité confirmée — pas de surapprentissage</w:t>
            </w:r>
          </w:p>
        </w:tc>
      </w:tr>
    </w:tbl>
    <w:p/>
    <w:p>
      <w:pPr>
        <w:spacing w:before="120" w:after="120"/>
      </w:pPr>
      <w:r>
        <w:rPr>
          <w:color w:val="CCCCCC"/>
          <w:sz w:val="16"/>
        </w:rPr>
        <w:t>──────────────────────────────────────────────────────────────────────────────────────────</w:t>
      </w:r>
    </w:p>
    <w:p>
      <w:pPr>
        <w:pStyle w:val="Heading2"/>
        <w:spacing w:before="280" w:after="80"/>
      </w:pPr>
      <w:r>
        <w:rPr>
          <w:rFonts w:ascii="Calibri" w:hAnsi="Calibri"/>
          <w:color w:val="1D4ED8"/>
        </w:rPr>
        <w:t>Étape 7 — Seuil de décision optimal</w:t>
      </w:r>
    </w:p>
    <w:p>
      <w:pPr>
        <w:spacing w:after="80"/>
      </w:pPr>
      <w:r>
        <w:rPr>
          <w:rFonts w:ascii="Calibri" w:hAnsi="Calibri"/>
          <w:b w:val="0"/>
          <w:i w:val="0"/>
          <w:sz w:val="22"/>
        </w:rPr>
        <w:t>Par défaut, un modèle déclare HAUSSE si la probabilité est ≥ 50%. La courbe Précision-Rappel identifie un seuil plus adapté.</w:t>
      </w:r>
    </w:p>
    <w:p>
      <w:pPr>
        <w:spacing w:before="80" w:after="80"/>
        <w:ind w:left="850" w:right="567"/>
        <w:shd w:val="clear" w:color="auto" w:fill="F0F4F8"/>
      </w:pPr>
      <w:r>
        <w:rPr>
          <w:rFonts w:ascii="Courier New" w:hAnsi="Courier New"/>
          <w:color w:val="1E3A8A"/>
          <w:sz w:val="18"/>
        </w:rPr>
        <w:t>Seuil optimal identifié : 0.39 (au lieu de 0.50 par défaut)</w:t>
        <w:br/>
        <w:t>Effet : améliore la détection des vraies transactions à forte intensité</w:t>
        <w:br/>
        <w:t>Source : maximisation du F1 HAUSSE sur la courbe Précision-Rappel</w:t>
      </w:r>
    </w:p>
    <w:p>
      <w:pPr>
        <w:spacing w:before="120" w:after="120"/>
      </w:pPr>
      <w:r>
        <w:rPr>
          <w:color w:val="CCCCCC"/>
          <w:sz w:val="16"/>
        </w:rPr>
        <w:t>──────────────────────────────────────────────────────────────────────────────────────────</w:t>
      </w:r>
    </w:p>
    <w:p>
      <w:pPr>
        <w:pStyle w:val="Heading2"/>
        <w:spacing w:before="280" w:after="80"/>
      </w:pPr>
      <w:r>
        <w:rPr>
          <w:rFonts w:ascii="Calibri" w:hAnsi="Calibri"/>
          <w:color w:val="1D4ED8"/>
        </w:rPr>
        <w:t>Étape 8 — Génération des recommandations stratégiques</w:t>
      </w:r>
    </w:p>
    <w:p>
      <w:pPr>
        <w:spacing w:after="80"/>
      </w:pPr>
      <w:r>
        <w:rPr>
          <w:rFonts w:ascii="Calibri" w:hAnsi="Calibri"/>
          <w:b w:val="0"/>
          <w:i w:val="0"/>
          <w:sz w:val="22"/>
        </w:rPr>
        <w:t>Pour chaque gouvernorat, on agrège les probabilités HAUSSE prédites. Les régions sont classées en trois tiers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vAlign w:val="center"/>
            <w:shd w:val="clear" w:color="auto" w:fill="1E3A8A"/>
          </w:tcPr>
          <w:p>
            <w:pPr>
              <w:jc w:val="center"/>
            </w:pPr>
            <w:r>
              <w:rPr>
                <w:rFonts w:ascii="Calibri" w:hAnsi="Calibri"/>
                <w:b/>
                <w:i w:val="0"/>
                <w:color w:val="FFFFFF"/>
                <w:sz w:val="20"/>
              </w:rPr>
              <w:t>Tiers</w:t>
            </w:r>
          </w:p>
        </w:tc>
        <w:tc>
          <w:tcPr>
            <w:tcW w:type="dxa" w:w="2268"/>
            <w:vAlign w:val="center"/>
            <w:shd w:val="clear" w:color="auto" w:fill="1E3A8A"/>
          </w:tcPr>
          <w:p>
            <w:pPr>
              <w:jc w:val="center"/>
            </w:pPr>
            <w:r>
              <w:rPr>
                <w:rFonts w:ascii="Calibri" w:hAnsi="Calibri"/>
                <w:b/>
                <w:i w:val="0"/>
                <w:color w:val="FFFFFF"/>
                <w:sz w:val="20"/>
              </w:rPr>
              <w:t>Condition</w:t>
            </w:r>
          </w:p>
        </w:tc>
        <w:tc>
          <w:tcPr>
            <w:tcW w:type="dxa" w:w="1984"/>
            <w:vAlign w:val="center"/>
            <w:shd w:val="clear" w:color="auto" w:fill="1E3A8A"/>
          </w:tcPr>
          <w:p>
            <w:pPr>
              <w:jc w:val="center"/>
            </w:pPr>
            <w:r>
              <w:rPr>
                <w:rFonts w:ascii="Calibri" w:hAnsi="Calibri"/>
                <w:b/>
                <w:i w:val="0"/>
                <w:color w:val="FFFFFF"/>
                <w:sz w:val="20"/>
              </w:rPr>
              <w:t>Décision</w:t>
            </w:r>
          </w:p>
        </w:tc>
        <w:tc>
          <w:tcPr>
            <w:tcW w:type="dxa" w:w="3685"/>
            <w:vAlign w:val="center"/>
            <w:shd w:val="clear" w:color="auto" w:fill="1E3A8A"/>
          </w:tcPr>
          <w:p>
            <w:pPr>
              <w:jc w:val="center"/>
            </w:pPr>
            <w:r>
              <w:rPr>
                <w:rFonts w:ascii="Calibri" w:hAnsi="Calibri"/>
                <w:b/>
                <w:i w:val="0"/>
                <w:color w:val="FFFFFF"/>
                <w:sz w:val="20"/>
              </w:rPr>
              <w:t>Action</w:t>
            </w:r>
          </w:p>
        </w:tc>
      </w:tr>
      <w:tr>
        <w:tc>
          <w:tcPr>
            <w:tcW w:type="dxa" w:w="1701"/>
            <w:vAlign w:val="center"/>
            <w:shd w:val="clear" w:color="auto" w:fill="EFF6FF"/>
          </w:tcPr>
          <w:p>
            <w:pPr>
              <w:jc w:val="center"/>
            </w:pPr>
            <w:r>
              <w:rPr>
                <w:rFonts w:ascii="Calibri" w:hAnsi="Calibri"/>
                <w:b w:val="0"/>
                <w:i w:val="0"/>
                <w:sz w:val="20"/>
              </w:rPr>
              <w:t>Top 33%</w:t>
            </w:r>
          </w:p>
        </w:tc>
        <w:tc>
          <w:tcPr>
            <w:tcW w:type="dxa" w:w="2268"/>
            <w:vAlign w:val="center"/>
            <w:shd w:val="clear" w:color="auto" w:fill="EFF6FF"/>
          </w:tcPr>
          <w:p>
            <w:pPr>
              <w:jc w:val="center"/>
            </w:pPr>
            <w:r>
              <w:rPr>
                <w:rFonts w:ascii="Calibri" w:hAnsi="Calibri"/>
                <w:b w:val="0"/>
                <w:i w:val="0"/>
                <w:sz w:val="20"/>
              </w:rPr>
              <w:t>Percentile ≥ 0.67</w:t>
            </w:r>
          </w:p>
        </w:tc>
        <w:tc>
          <w:tcPr>
            <w:tcW w:type="dxa" w:w="1984"/>
            <w:vAlign w:val="center"/>
            <w:shd w:val="clear" w:color="auto" w:fill="EFF6FF"/>
          </w:tcPr>
          <w:p>
            <w:pPr>
              <w:jc w:val="center"/>
            </w:pPr>
            <w:r>
              <w:rPr>
                <w:rFonts w:ascii="Calibri" w:hAnsi="Calibri"/>
                <w:b w:val="0"/>
                <w:i w:val="0"/>
                <w:sz w:val="20"/>
              </w:rPr>
              <w:t>🟢 AUGMENTER</w:t>
            </w:r>
          </w:p>
        </w:tc>
        <w:tc>
          <w:tcPr>
            <w:tcW w:type="dxa" w:w="3685"/>
            <w:vAlign w:val="center"/>
            <w:shd w:val="clear" w:color="auto" w:fill="EFF6FF"/>
          </w:tcPr>
          <w:p>
            <w:pPr>
              <w:jc w:val="center"/>
            </w:pPr>
            <w:r>
              <w:rPr>
                <w:rFonts w:ascii="Calibri" w:hAnsi="Calibri"/>
                <w:b w:val="0"/>
                <w:i w:val="0"/>
                <w:sz w:val="20"/>
              </w:rPr>
              <w:t>Renforcer équipes et stocks (+25%)</w:t>
            </w:r>
          </w:p>
        </w:tc>
      </w:tr>
      <w:tr>
        <w:tc>
          <w:tcPr>
            <w:tcW w:type="dxa" w:w="1701"/>
            <w:vAlign w:val="center"/>
            <w:shd w:val="clear" w:color="auto" w:fill="FFFFFF"/>
          </w:tcPr>
          <w:p>
            <w:pPr>
              <w:jc w:val="center"/>
            </w:pPr>
            <w:r>
              <w:rPr>
                <w:rFonts w:ascii="Calibri" w:hAnsi="Calibri"/>
                <w:b w:val="0"/>
                <w:i w:val="0"/>
                <w:sz w:val="20"/>
              </w:rPr>
              <w:t>Milieu 33%</w:t>
            </w:r>
          </w:p>
        </w:tc>
        <w:tc>
          <w:tcPr>
            <w:tcW w:type="dxa" w:w="2268"/>
            <w:vAlign w:val="center"/>
            <w:shd w:val="clear" w:color="auto" w:fill="FFFFFF"/>
          </w:tcPr>
          <w:p>
            <w:pPr>
              <w:jc w:val="center"/>
            </w:pPr>
            <w:r>
              <w:rPr>
                <w:rFonts w:ascii="Calibri" w:hAnsi="Calibri"/>
                <w:b w:val="0"/>
                <w:i w:val="0"/>
                <w:sz w:val="20"/>
              </w:rPr>
              <w:t>0.33 ≤ Percentile &lt; 0.67</w:t>
            </w:r>
          </w:p>
        </w:tc>
        <w:tc>
          <w:tcPr>
            <w:tcW w:type="dxa" w:w="1984"/>
            <w:vAlign w:val="center"/>
            <w:shd w:val="clear" w:color="auto" w:fill="FFFFFF"/>
          </w:tcPr>
          <w:p>
            <w:pPr>
              <w:jc w:val="center"/>
            </w:pPr>
            <w:r>
              <w:rPr>
                <w:rFonts w:ascii="Calibri" w:hAnsi="Calibri"/>
                <w:b w:val="0"/>
                <w:i w:val="0"/>
                <w:sz w:val="20"/>
              </w:rPr>
              <w:t>🟡 MAINTENIR</w:t>
            </w:r>
          </w:p>
        </w:tc>
        <w:tc>
          <w:tcPr>
            <w:tcW w:type="dxa" w:w="3685"/>
            <w:vAlign w:val="center"/>
            <w:shd w:val="clear" w:color="auto" w:fill="FFFFFF"/>
          </w:tcPr>
          <w:p>
            <w:pPr>
              <w:jc w:val="center"/>
            </w:pPr>
            <w:r>
              <w:rPr>
                <w:rFonts w:ascii="Calibri" w:hAnsi="Calibri"/>
                <w:b w:val="0"/>
                <w:i w:val="0"/>
                <w:sz w:val="20"/>
              </w:rPr>
              <w:t>Stabiliser la couverture commerciale</w:t>
            </w:r>
          </w:p>
        </w:tc>
      </w:tr>
      <w:tr>
        <w:tc>
          <w:tcPr>
            <w:tcW w:type="dxa" w:w="1701"/>
            <w:vAlign w:val="center"/>
            <w:shd w:val="clear" w:color="auto" w:fill="EFF6FF"/>
          </w:tcPr>
          <w:p>
            <w:pPr>
              <w:jc w:val="center"/>
            </w:pPr>
            <w:r>
              <w:rPr>
                <w:rFonts w:ascii="Calibri" w:hAnsi="Calibri"/>
                <w:b w:val="0"/>
                <w:i w:val="0"/>
                <w:sz w:val="20"/>
              </w:rPr>
              <w:t>Bas 33%</w:t>
            </w:r>
          </w:p>
        </w:tc>
        <w:tc>
          <w:tcPr>
            <w:tcW w:type="dxa" w:w="2268"/>
            <w:vAlign w:val="center"/>
            <w:shd w:val="clear" w:color="auto" w:fill="EFF6FF"/>
          </w:tcPr>
          <w:p>
            <w:pPr>
              <w:jc w:val="center"/>
            </w:pPr>
            <w:r>
              <w:rPr>
                <w:rFonts w:ascii="Calibri" w:hAnsi="Calibri"/>
                <w:b w:val="0"/>
                <w:i w:val="0"/>
                <w:sz w:val="20"/>
              </w:rPr>
              <w:t>Percentile &lt; 0.33</w:t>
            </w:r>
          </w:p>
        </w:tc>
        <w:tc>
          <w:tcPr>
            <w:tcW w:type="dxa" w:w="1984"/>
            <w:vAlign w:val="center"/>
            <w:shd w:val="clear" w:color="auto" w:fill="EFF6FF"/>
          </w:tcPr>
          <w:p>
            <w:pPr>
              <w:jc w:val="center"/>
            </w:pPr>
            <w:r>
              <w:rPr>
                <w:rFonts w:ascii="Calibri" w:hAnsi="Calibri"/>
                <w:b w:val="0"/>
                <w:i w:val="0"/>
                <w:sz w:val="20"/>
              </w:rPr>
              <w:t>🔴 RÉDUIRE</w:t>
            </w:r>
          </w:p>
        </w:tc>
        <w:tc>
          <w:tcPr>
            <w:tcW w:type="dxa" w:w="3685"/>
            <w:vAlign w:val="center"/>
            <w:shd w:val="clear" w:color="auto" w:fill="EFF6FF"/>
          </w:tcPr>
          <w:p>
            <w:pPr>
              <w:jc w:val="center"/>
            </w:pPr>
            <w:r>
              <w:rPr>
                <w:rFonts w:ascii="Calibri" w:hAnsi="Calibri"/>
                <w:b w:val="0"/>
                <w:i w:val="0"/>
                <w:sz w:val="20"/>
              </w:rPr>
              <w:t>Réallouer vers les régions prometteuses</w:t>
            </w:r>
          </w:p>
        </w:tc>
      </w:tr>
    </w:tbl>
    <w:p/>
    <w:p>
      <w:pPr>
        <w:spacing w:after="80"/>
      </w:pPr>
      <w:r>
        <w:rPr>
          <w:rFonts w:ascii="Calibri" w:hAnsi="Calibri"/>
          <w:b w:val="0"/>
          <w:i w:val="0"/>
          <w:sz w:val="22"/>
        </w:rPr>
        <w:t>Enrichissement : pour les 14 régions disposant d'historique CA réel, les variations trimestrielles réelles viennent enrichir la recommandation finale.</w:t>
      </w:r>
    </w:p>
    <w:p>
      <w:pPr>
        <w:pStyle w:val="Heading3"/>
        <w:spacing w:before="200"/>
      </w:pPr>
      <w:r>
        <w:rPr>
          <w:rFonts w:ascii="Calibri" w:hAnsi="Calibri"/>
          <w:color w:val="376BB5"/>
        </w:rPr>
        <w:t>Résultat final — 24 gouvernorats classés</w:t>
      </w:r>
    </w:p>
    <w:tbl>
      <w:tblPr>
        <w:tblStyle w:val="TableGrid"/>
        <w:tblW w:type="auto" w:w="0"/>
        <w:jc w:val="center"/>
        <w:tblLook w:firstColumn="1" w:firstRow="1" w:lastColumn="0" w:lastRow="0" w:noHBand="0" w:noVBand="1" w:val="04A0"/>
      </w:tblPr>
      <w:tblGrid>
        <w:gridCol w:w="3041"/>
        <w:gridCol w:w="3041"/>
        <w:gridCol w:w="3041"/>
      </w:tblGrid>
      <w:tr>
        <w:tc>
          <w:tcPr>
            <w:tcW w:type="dxa" w:w="1984"/>
            <w:vAlign w:val="center"/>
            <w:shd w:val="clear" w:color="auto" w:fill="1E3A8A"/>
          </w:tcPr>
          <w:p>
            <w:pPr>
              <w:jc w:val="center"/>
            </w:pPr>
            <w:r>
              <w:rPr>
                <w:rFonts w:ascii="Calibri" w:hAnsi="Calibri"/>
                <w:b/>
                <w:i w:val="0"/>
                <w:color w:val="FFFFFF"/>
                <w:sz w:val="20"/>
              </w:rPr>
              <w:t>Décision</w:t>
            </w:r>
          </w:p>
        </w:tc>
        <w:tc>
          <w:tcPr>
            <w:tcW w:type="dxa" w:w="1984"/>
            <w:vAlign w:val="center"/>
            <w:shd w:val="clear" w:color="auto" w:fill="1E3A8A"/>
          </w:tcPr>
          <w:p>
            <w:pPr>
              <w:jc w:val="center"/>
            </w:pPr>
            <w:r>
              <w:rPr>
                <w:rFonts w:ascii="Calibri" w:hAnsi="Calibri"/>
                <w:b/>
                <w:i w:val="0"/>
                <w:color w:val="FFFFFF"/>
                <w:sz w:val="20"/>
              </w:rPr>
              <w:t>Nb Gouvernorats</w:t>
            </w:r>
          </w:p>
        </w:tc>
        <w:tc>
          <w:tcPr>
            <w:tcW w:type="dxa" w:w="5669"/>
            <w:vAlign w:val="center"/>
            <w:shd w:val="clear" w:color="auto" w:fill="1E3A8A"/>
          </w:tcPr>
          <w:p>
            <w:pPr>
              <w:jc w:val="center"/>
            </w:pPr>
            <w:r>
              <w:rPr>
                <w:rFonts w:ascii="Calibri" w:hAnsi="Calibri"/>
                <w:b/>
                <w:i w:val="0"/>
                <w:color w:val="FFFFFF"/>
                <w:sz w:val="20"/>
              </w:rPr>
              <w:t>Exemples</w:t>
            </w:r>
          </w:p>
        </w:tc>
      </w:tr>
      <w:tr>
        <w:tc>
          <w:tcPr>
            <w:tcW w:type="dxa" w:w="1984"/>
            <w:vAlign w:val="center"/>
            <w:shd w:val="clear" w:color="auto" w:fill="EFF6FF"/>
          </w:tcPr>
          <w:p>
            <w:pPr>
              <w:jc w:val="center"/>
            </w:pPr>
            <w:r>
              <w:rPr>
                <w:rFonts w:ascii="Calibri" w:hAnsi="Calibri"/>
                <w:b w:val="0"/>
                <w:i w:val="0"/>
                <w:sz w:val="20"/>
              </w:rPr>
              <w:t>🟢 AUGMENTER</w:t>
            </w:r>
          </w:p>
        </w:tc>
        <w:tc>
          <w:tcPr>
            <w:tcW w:type="dxa" w:w="1984"/>
            <w:vAlign w:val="center"/>
            <w:shd w:val="clear" w:color="auto" w:fill="EFF6FF"/>
          </w:tcPr>
          <w:p>
            <w:pPr>
              <w:jc w:val="center"/>
            </w:pPr>
            <w:r>
              <w:rPr>
                <w:rFonts w:ascii="Calibri" w:hAnsi="Calibri"/>
                <w:b w:val="0"/>
                <w:i w:val="0"/>
                <w:sz w:val="20"/>
              </w:rPr>
              <w:t>8</w:t>
            </w:r>
          </w:p>
        </w:tc>
        <w:tc>
          <w:tcPr>
            <w:tcW w:type="dxa" w:w="5669"/>
            <w:vAlign w:val="center"/>
            <w:shd w:val="clear" w:color="auto" w:fill="EFF6FF"/>
          </w:tcPr>
          <w:p>
            <w:pPr>
              <w:jc w:val="center"/>
            </w:pPr>
            <w:r>
              <w:rPr>
                <w:rFonts w:ascii="Calibri" w:hAnsi="Calibri"/>
                <w:b w:val="0"/>
                <w:i w:val="0"/>
                <w:sz w:val="20"/>
              </w:rPr>
              <w:t>Ben Arous, Tataouine, Sousse, Sidi Bouzid, Tozeur, Kasserine, Kairouan, Jendouba</w:t>
            </w:r>
          </w:p>
        </w:tc>
      </w:tr>
      <w:tr>
        <w:tc>
          <w:tcPr>
            <w:tcW w:type="dxa" w:w="1984"/>
            <w:vAlign w:val="center"/>
            <w:shd w:val="clear" w:color="auto" w:fill="FFFFFF"/>
          </w:tcPr>
          <w:p>
            <w:pPr>
              <w:jc w:val="center"/>
            </w:pPr>
            <w:r>
              <w:rPr>
                <w:rFonts w:ascii="Calibri" w:hAnsi="Calibri"/>
                <w:b w:val="0"/>
                <w:i w:val="0"/>
                <w:sz w:val="20"/>
              </w:rPr>
              <w:t>🟡 MAINTENIR</w:t>
            </w:r>
          </w:p>
        </w:tc>
        <w:tc>
          <w:tcPr>
            <w:tcW w:type="dxa" w:w="1984"/>
            <w:vAlign w:val="center"/>
            <w:shd w:val="clear" w:color="auto" w:fill="FFFFFF"/>
          </w:tcPr>
          <w:p>
            <w:pPr>
              <w:jc w:val="center"/>
            </w:pPr>
            <w:r>
              <w:rPr>
                <w:rFonts w:ascii="Calibri" w:hAnsi="Calibri"/>
                <w:b w:val="0"/>
                <w:i w:val="0"/>
                <w:sz w:val="20"/>
              </w:rPr>
              <w:t>9</w:t>
            </w:r>
          </w:p>
        </w:tc>
        <w:tc>
          <w:tcPr>
            <w:tcW w:type="dxa" w:w="5669"/>
            <w:vAlign w:val="center"/>
            <w:shd w:val="clear" w:color="auto" w:fill="FFFFFF"/>
          </w:tcPr>
          <w:p>
            <w:pPr>
              <w:jc w:val="center"/>
            </w:pPr>
            <w:r>
              <w:rPr>
                <w:rFonts w:ascii="Calibri" w:hAnsi="Calibri"/>
                <w:b w:val="0"/>
                <w:i w:val="0"/>
                <w:sz w:val="20"/>
              </w:rPr>
              <w:t>Zaghouan, Béja, Gafsa, Sfax, Siliana, Kebili, Le Kef, Monastir, Nabeul</w:t>
            </w:r>
          </w:p>
        </w:tc>
      </w:tr>
      <w:tr>
        <w:tc>
          <w:tcPr>
            <w:tcW w:type="dxa" w:w="1984"/>
            <w:vAlign w:val="center"/>
            <w:shd w:val="clear" w:color="auto" w:fill="EFF6FF"/>
          </w:tcPr>
          <w:p>
            <w:pPr>
              <w:jc w:val="center"/>
            </w:pPr>
            <w:r>
              <w:rPr>
                <w:rFonts w:ascii="Calibri" w:hAnsi="Calibri"/>
                <w:b w:val="0"/>
                <w:i w:val="0"/>
                <w:sz w:val="20"/>
              </w:rPr>
              <w:t>🔴 RÉDUIRE</w:t>
            </w:r>
          </w:p>
        </w:tc>
        <w:tc>
          <w:tcPr>
            <w:tcW w:type="dxa" w:w="1984"/>
            <w:vAlign w:val="center"/>
            <w:shd w:val="clear" w:color="auto" w:fill="EFF6FF"/>
          </w:tcPr>
          <w:p>
            <w:pPr>
              <w:jc w:val="center"/>
            </w:pPr>
            <w:r>
              <w:rPr>
                <w:rFonts w:ascii="Calibri" w:hAnsi="Calibri"/>
                <w:b w:val="0"/>
                <w:i w:val="0"/>
                <w:sz w:val="20"/>
              </w:rPr>
              <w:t>7</w:t>
            </w:r>
          </w:p>
        </w:tc>
        <w:tc>
          <w:tcPr>
            <w:tcW w:type="dxa" w:w="5669"/>
            <w:vAlign w:val="center"/>
            <w:shd w:val="clear" w:color="auto" w:fill="EFF6FF"/>
          </w:tcPr>
          <w:p>
            <w:pPr>
              <w:jc w:val="center"/>
            </w:pPr>
            <w:r>
              <w:rPr>
                <w:rFonts w:ascii="Calibri" w:hAnsi="Calibri"/>
                <w:b w:val="0"/>
                <w:i w:val="0"/>
                <w:sz w:val="20"/>
              </w:rPr>
              <w:t>Bizerte, Mahdia, Gabes, Medenine, Manouba, Ariana, Tunis</w:t>
            </w:r>
          </w:p>
        </w:tc>
      </w:tr>
    </w:tbl>
    <w:p/>
    <w:p>
      <w:r>
        <w:br w:type="page"/>
      </w:r>
    </w:p>
    <w:p>
      <w:pPr>
        <w:pStyle w:val="Heading1"/>
        <w:spacing w:before="360" w:after="120"/>
      </w:pPr>
      <w:r>
        <w:rPr>
          <w:rFonts w:ascii="Calibri" w:hAnsi="Calibri"/>
          <w:color w:val="1E3A8A"/>
        </w:rPr>
        <w:t>3. Partie données</w:t>
      </w:r>
    </w:p>
    <w:p>
      <w:pPr>
        <w:pStyle w:val="Heading2"/>
        <w:spacing w:before="280" w:after="80"/>
      </w:pPr>
      <w:r>
        <w:rPr>
          <w:rFonts w:ascii="Calibri" w:hAnsi="Calibri"/>
          <w:color w:val="1D4ED8"/>
        </w:rPr>
        <w:t>3.1 Sources des données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val="clear" w:color="auto" w:fill="1E3A8A"/>
          </w:tcPr>
          <w:p>
            <w:pPr>
              <w:jc w:val="center"/>
            </w:pPr>
            <w:r>
              <w:rPr>
                <w:rFonts w:ascii="Calibri" w:hAnsi="Calibri"/>
                <w:b/>
                <w:i w:val="0"/>
                <w:color w:val="FFFFFF"/>
                <w:sz w:val="20"/>
              </w:rPr>
              <w:t>Source</w:t>
            </w:r>
          </w:p>
        </w:tc>
        <w:tc>
          <w:tcPr>
            <w:tcW w:type="dxa" w:w="2835"/>
            <w:vAlign w:val="center"/>
            <w:shd w:val="clear" w:color="auto" w:fill="1E3A8A"/>
          </w:tcPr>
          <w:p>
            <w:pPr>
              <w:jc w:val="center"/>
            </w:pPr>
            <w:r>
              <w:rPr>
                <w:rFonts w:ascii="Calibri" w:hAnsi="Calibri"/>
                <w:b/>
                <w:i w:val="0"/>
                <w:color w:val="FFFFFF"/>
                <w:sz w:val="20"/>
              </w:rPr>
              <w:t>Table / Fichier</w:t>
            </w:r>
          </w:p>
        </w:tc>
        <w:tc>
          <w:tcPr>
            <w:tcW w:type="dxa" w:w="2835"/>
            <w:vAlign w:val="center"/>
            <w:shd w:val="clear" w:color="auto" w:fill="1E3A8A"/>
          </w:tcPr>
          <w:p>
            <w:pPr>
              <w:jc w:val="center"/>
            </w:pPr>
            <w:r>
              <w:rPr>
                <w:rFonts w:ascii="Calibri" w:hAnsi="Calibri"/>
                <w:b/>
                <w:i w:val="0"/>
                <w:color w:val="FFFFFF"/>
                <w:sz w:val="20"/>
              </w:rPr>
              <w:t>Contenu</w:t>
            </w:r>
          </w:p>
        </w:tc>
        <w:tc>
          <w:tcPr>
            <w:tcW w:type="dxa" w:w="1701"/>
            <w:vAlign w:val="center"/>
            <w:shd w:val="clear" w:color="auto" w:fill="1E3A8A"/>
          </w:tcPr>
          <w:p>
            <w:pPr>
              <w:jc w:val="center"/>
            </w:pPr>
            <w:r>
              <w:rPr>
                <w:rFonts w:ascii="Calibri" w:hAnsi="Calibri"/>
                <w:b/>
                <w:i w:val="0"/>
                <w:color w:val="FFFFFF"/>
                <w:sz w:val="20"/>
              </w:rPr>
              <w:t>Usage</w:t>
            </w:r>
          </w:p>
        </w:tc>
      </w:tr>
      <w:tr>
        <w:tc>
          <w:tcPr>
            <w:tcW w:type="dxa" w:w="2268"/>
            <w:vAlign w:val="center"/>
            <w:shd w:val="clear" w:color="auto" w:fill="EFF6FF"/>
          </w:tcPr>
          <w:p>
            <w:pPr>
              <w:jc w:val="center"/>
            </w:pPr>
            <w:r>
              <w:rPr>
                <w:rFonts w:ascii="Calibri" w:hAnsi="Calibri"/>
                <w:b w:val="0"/>
                <w:i w:val="0"/>
                <w:sz w:val="20"/>
              </w:rPr>
              <w:t>SQL Server ERP</w:t>
            </w:r>
          </w:p>
        </w:tc>
        <w:tc>
          <w:tcPr>
            <w:tcW w:type="dxa" w:w="2835"/>
            <w:vAlign w:val="center"/>
            <w:shd w:val="clear" w:color="auto" w:fill="EFF6FF"/>
          </w:tcPr>
          <w:p>
            <w:pPr>
              <w:jc w:val="center"/>
            </w:pPr>
            <w:r>
              <w:rPr>
                <w:rFonts w:ascii="Calibri" w:hAnsi="Calibri"/>
                <w:b w:val="0"/>
                <w:i w:val="0"/>
                <w:sz w:val="20"/>
              </w:rPr>
              <w:t>TabBcvd, TabBcvm, TabTiers, TabStock</w:t>
            </w:r>
          </w:p>
        </w:tc>
        <w:tc>
          <w:tcPr>
            <w:tcW w:type="dxa" w:w="2835"/>
            <w:vAlign w:val="center"/>
            <w:shd w:val="clear" w:color="auto" w:fill="EFF6FF"/>
          </w:tcPr>
          <w:p>
            <w:pPr>
              <w:jc w:val="center"/>
            </w:pPr>
            <w:r>
              <w:rPr>
                <w:rFonts w:ascii="Calibri" w:hAnsi="Calibri"/>
                <w:b w:val="0"/>
                <w:i w:val="0"/>
                <w:sz w:val="20"/>
              </w:rPr>
              <w:t>3 625 transactions 2022-2026</w:t>
            </w:r>
          </w:p>
        </w:tc>
        <w:tc>
          <w:tcPr>
            <w:tcW w:type="dxa" w:w="1701"/>
            <w:vAlign w:val="center"/>
            <w:shd w:val="clear" w:color="auto" w:fill="EFF6FF"/>
          </w:tcPr>
          <w:p>
            <w:pPr>
              <w:jc w:val="center"/>
            </w:pPr>
            <w:r>
              <w:rPr>
                <w:rFonts w:ascii="Calibri" w:hAnsi="Calibri"/>
                <w:b w:val="0"/>
                <w:i w:val="0"/>
                <w:sz w:val="20"/>
              </w:rPr>
              <w:t>Données d'entraînement</w:t>
            </w:r>
          </w:p>
        </w:tc>
      </w:tr>
      <w:tr>
        <w:tc>
          <w:tcPr>
            <w:tcW w:type="dxa" w:w="2268"/>
            <w:vAlign w:val="center"/>
            <w:shd w:val="clear" w:color="auto" w:fill="FFFFFF"/>
          </w:tcPr>
          <w:p>
            <w:pPr>
              <w:jc w:val="center"/>
            </w:pPr>
            <w:r>
              <w:rPr>
                <w:rFonts w:ascii="Calibri" w:hAnsi="Calibri"/>
                <w:b w:val="0"/>
                <w:i w:val="0"/>
                <w:sz w:val="20"/>
              </w:rPr>
              <w:t>INS Tunisie 2023</w:t>
            </w:r>
          </w:p>
        </w:tc>
        <w:tc>
          <w:tcPr>
            <w:tcW w:type="dxa" w:w="2835"/>
            <w:vAlign w:val="center"/>
            <w:shd w:val="clear" w:color="auto" w:fill="FFFFFF"/>
          </w:tcPr>
          <w:p>
            <w:pPr>
              <w:jc w:val="center"/>
            </w:pPr>
            <w:r>
              <w:rPr>
                <w:rFonts w:ascii="Calibri" w:hAnsi="Calibri"/>
                <w:b w:val="0"/>
                <w:i w:val="0"/>
                <w:sz w:val="20"/>
              </w:rPr>
              <w:t>Données internes codées</w:t>
            </w:r>
          </w:p>
        </w:tc>
        <w:tc>
          <w:tcPr>
            <w:tcW w:type="dxa" w:w="2835"/>
            <w:vAlign w:val="center"/>
            <w:shd w:val="clear" w:color="auto" w:fill="FFFFFF"/>
          </w:tcPr>
          <w:p>
            <w:pPr>
              <w:jc w:val="center"/>
            </w:pPr>
            <w:r>
              <w:rPr>
                <w:rFonts w:ascii="Calibri" w:hAnsi="Calibri"/>
                <w:b w:val="0"/>
                <w:i w:val="0"/>
                <w:sz w:val="20"/>
              </w:rPr>
              <w:t>Population, Indice achat, Hôpitaux, Labos</w:t>
            </w:r>
          </w:p>
        </w:tc>
        <w:tc>
          <w:tcPr>
            <w:tcW w:type="dxa" w:w="1701"/>
            <w:vAlign w:val="center"/>
            <w:shd w:val="clear" w:color="auto" w:fill="FFFFFF"/>
          </w:tcPr>
          <w:p>
            <w:pPr>
              <w:jc w:val="center"/>
            </w:pPr>
            <w:r>
              <w:rPr>
                <w:rFonts w:ascii="Calibri" w:hAnsi="Calibri"/>
                <w:b w:val="0"/>
                <w:i w:val="0"/>
                <w:sz w:val="20"/>
              </w:rPr>
              <w:t>Enrichissement géo</w:t>
            </w:r>
          </w:p>
        </w:tc>
      </w:tr>
      <w:tr>
        <w:tc>
          <w:tcPr>
            <w:tcW w:type="dxa" w:w="2268"/>
            <w:vAlign w:val="center"/>
            <w:shd w:val="clear" w:color="auto" w:fill="EFF6FF"/>
          </w:tcPr>
          <w:p>
            <w:pPr>
              <w:jc w:val="center"/>
            </w:pPr>
            <w:r>
              <w:rPr>
                <w:rFonts w:ascii="Calibri" w:hAnsi="Calibri"/>
                <w:b w:val="0"/>
                <w:i w:val="0"/>
                <w:sz w:val="20"/>
              </w:rPr>
              <w:t>SQL Server ERP</w:t>
            </w:r>
          </w:p>
        </w:tc>
        <w:tc>
          <w:tcPr>
            <w:tcW w:type="dxa" w:w="2835"/>
            <w:vAlign w:val="center"/>
            <w:shd w:val="clear" w:color="auto" w:fill="EFF6FF"/>
          </w:tcPr>
          <w:p>
            <w:pPr>
              <w:jc w:val="center"/>
            </w:pPr>
            <w:r>
              <w:rPr>
                <w:rFonts w:ascii="Calibri" w:hAnsi="Calibri"/>
                <w:b w:val="0"/>
                <w:i w:val="0"/>
                <w:sz w:val="20"/>
              </w:rPr>
              <w:t>TabBlvm</w:t>
            </w:r>
          </w:p>
        </w:tc>
        <w:tc>
          <w:tcPr>
            <w:tcW w:type="dxa" w:w="2835"/>
            <w:vAlign w:val="center"/>
            <w:shd w:val="clear" w:color="auto" w:fill="EFF6FF"/>
          </w:tcPr>
          <w:p>
            <w:pPr>
              <w:jc w:val="center"/>
            </w:pPr>
            <w:r>
              <w:rPr>
                <w:rFonts w:ascii="Calibri" w:hAnsi="Calibri"/>
                <w:b w:val="0"/>
                <w:i w:val="0"/>
                <w:sz w:val="20"/>
              </w:rPr>
              <w:t>Factures avec CA HT par trimestre</w:t>
            </w:r>
          </w:p>
        </w:tc>
        <w:tc>
          <w:tcPr>
            <w:tcW w:type="dxa" w:w="1701"/>
            <w:vAlign w:val="center"/>
            <w:shd w:val="clear" w:color="auto" w:fill="EFF6FF"/>
          </w:tcPr>
          <w:p>
            <w:pPr>
              <w:jc w:val="center"/>
            </w:pPr>
            <w:r>
              <w:rPr>
                <w:rFonts w:ascii="Calibri" w:hAnsi="Calibri"/>
                <w:b w:val="0"/>
                <w:i w:val="0"/>
                <w:sz w:val="20"/>
              </w:rPr>
              <w:t>Variations historiques</w:t>
            </w:r>
          </w:p>
        </w:tc>
      </w:tr>
    </w:tbl>
    <w:p/>
    <w:p>
      <w:pPr>
        <w:pStyle w:val="Heading2"/>
        <w:spacing w:before="280" w:after="80"/>
      </w:pPr>
      <w:r>
        <w:rPr>
          <w:rFonts w:ascii="Calibri" w:hAnsi="Calibri"/>
          <w:color w:val="1D4ED8"/>
        </w:rPr>
        <w:t>3.2 Qualité des données — Deux problèmes réels</w:t>
      </w:r>
    </w:p>
    <w:p>
      <w:pPr>
        <w:pStyle w:val="Heading3"/>
        <w:spacing w:before="200"/>
      </w:pPr>
      <w:r>
        <w:rPr>
          <w:rFonts w:ascii="Calibri" w:hAnsi="Calibri"/>
          <w:color w:val="376BB5"/>
        </w:rPr>
        <w:t>Problème 1 — Absence de données géographiques fiables</w:t>
      </w:r>
    </w:p>
    <w:p>
      <w:pPr>
        <w:spacing w:after="80"/>
      </w:pPr>
      <w:r>
        <w:rPr>
          <w:rFonts w:ascii="Calibri" w:hAnsi="Calibri"/>
          <w:b w:val="0"/>
          <w:i w:val="0"/>
          <w:sz w:val="22"/>
        </w:rPr>
        <w:t>Le champ gouvernorat dans l'ERP contient le code 17 pour 99.9% des clients — une valeur par défaut jamais renseignée. Ce n'est pas une erreur du projet, c'est la réalité courante des systèmes ERP. La solution (proxy économique + augmentation pondérée) est une réponse pragmatique et validée expérimentalement.</w:t>
      </w:r>
    </w:p>
    <w:p>
      <w:pPr>
        <w:pStyle w:val="Heading3"/>
        <w:spacing w:before="200"/>
      </w:pPr>
      <w:r>
        <w:rPr>
          <w:rFonts w:ascii="Calibri" w:hAnsi="Calibri"/>
          <w:color w:val="376BB5"/>
        </w:rPr>
        <w:t>Problème 2 — Volume modeste</w:t>
      </w:r>
    </w:p>
    <w:p>
      <w:pPr>
        <w:spacing w:after="80"/>
      </w:pPr>
      <w:r>
        <w:rPr>
          <w:rFonts w:ascii="Calibri" w:hAnsi="Calibri"/>
          <w:b w:val="0"/>
          <w:i w:val="0"/>
          <w:sz w:val="22"/>
        </w:rPr>
        <w:t>3 595 transactions sur 24 régions sur 4 ans = ~150 transactions par région. C'est suffisant pour faire fonctionner le modèle mais limite la précision pour les petites régions (Manouba : 59 transactions, Monastir : 66 transactions).</w:t>
      </w:r>
    </w:p>
    <w:p>
      <w:pPr>
        <w:pStyle w:val="Heading2"/>
        <w:spacing w:before="280" w:after="80"/>
      </w:pPr>
      <w:r>
        <w:rPr>
          <w:rFonts w:ascii="Calibri" w:hAnsi="Calibri"/>
          <w:color w:val="1D4ED8"/>
        </w:rPr>
        <w:t>3.3 Pipeline de transformation des données</w:t>
      </w:r>
    </w:p>
    <w:p>
      <w:pPr>
        <w:spacing w:before="80" w:after="80"/>
        <w:ind w:left="850" w:right="567"/>
        <w:shd w:val="clear" w:color="auto" w:fill="F0F4F8"/>
      </w:pPr>
      <w:r>
        <w:rPr>
          <w:rFonts w:ascii="Courier New" w:hAnsi="Courier New"/>
          <w:color w:val="1E3A8A"/>
          <w:sz w:val="18"/>
        </w:rPr>
        <w:t>Données brutes       (3 625 lignes)</w:t>
        <w:br/>
        <w:t xml:space="preserve">     ↓  Suppression NaN, doublons, clampage Prix IQR</w:t>
        <w:br/>
        <w:t>Données propres      (3 595 lignes)</w:t>
        <w:br/>
        <w:t xml:space="preserve">     ↓  Inférence géographique + Quality Gate + augmentation 40%</w:t>
        <w:br/>
        <w:t>Données géolocalisées (24 gouvernorats couverts)</w:t>
        <w:br/>
        <w:t xml:space="preserve">     ↓  Merge INS 2023 (Population, Indice_Achat, Nb_Hopitaux, Nb_Laboratoires)</w:t>
        <w:br/>
        <w:t>Données enrichies    (16 colonnes)</w:t>
        <w:br/>
        <w:t xml:space="preserve">     ↓  Calcul Q75 par région → label HAUSSE/BAISSE</w:t>
        <w:br/>
        <w:t>Données étiquetées   (3 595 lignes, 2 classes)</w:t>
        <w:br/>
        <w:t xml:space="preserve">     ↓  Sélection 8 features</w:t>
        <w:br/>
        <w:t>Matrice X (3595 × 8) + vecteur y (3595 labels)</w:t>
      </w:r>
    </w:p>
    <w:p>
      <w:r>
        <w:br w:type="page"/>
      </w:r>
    </w:p>
    <w:p>
      <w:pPr>
        <w:pStyle w:val="Heading1"/>
        <w:spacing w:before="360" w:after="120"/>
      </w:pPr>
      <w:r>
        <w:rPr>
          <w:rFonts w:ascii="Calibri" w:hAnsi="Calibri"/>
          <w:color w:val="1E3A8A"/>
        </w:rPr>
        <w:t>4. Feature Engineering</w:t>
      </w:r>
    </w:p>
    <w:p>
      <w:pPr>
        <w:pStyle w:val="Heading2"/>
        <w:spacing w:before="280" w:after="80"/>
      </w:pPr>
      <w:r>
        <w:rPr>
          <w:rFonts w:ascii="Calibri" w:hAnsi="Calibri"/>
          <w:color w:val="1D4ED8"/>
        </w:rPr>
        <w:t>4.1 Les 8 variables du modèle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val="clear" w:color="auto" w:fill="1E3A8A"/>
          </w:tcPr>
          <w:p>
            <w:pPr>
              <w:jc w:val="center"/>
            </w:pPr>
            <w:r>
              <w:rPr>
                <w:rFonts w:ascii="Calibri" w:hAnsi="Calibri"/>
                <w:b/>
                <w:i w:val="0"/>
                <w:color w:val="FFFFFF"/>
                <w:sz w:val="20"/>
              </w:rPr>
              <w:t>Variable</w:t>
            </w:r>
          </w:p>
        </w:tc>
        <w:tc>
          <w:tcPr>
            <w:tcW w:type="dxa" w:w="1984"/>
            <w:vAlign w:val="center"/>
            <w:shd w:val="clear" w:color="auto" w:fill="1E3A8A"/>
          </w:tcPr>
          <w:p>
            <w:pPr>
              <w:jc w:val="center"/>
            </w:pPr>
            <w:r>
              <w:rPr>
                <w:rFonts w:ascii="Calibri" w:hAnsi="Calibri"/>
                <w:b/>
                <w:i w:val="0"/>
                <w:color w:val="FFFFFF"/>
                <w:sz w:val="20"/>
              </w:rPr>
              <w:t>Type</w:t>
            </w:r>
          </w:p>
        </w:tc>
        <w:tc>
          <w:tcPr>
            <w:tcW w:type="dxa" w:w="1701"/>
            <w:vAlign w:val="center"/>
            <w:shd w:val="clear" w:color="auto" w:fill="1E3A8A"/>
          </w:tcPr>
          <w:p>
            <w:pPr>
              <w:jc w:val="center"/>
            </w:pPr>
            <w:r>
              <w:rPr>
                <w:rFonts w:ascii="Calibri" w:hAnsi="Calibri"/>
                <w:b/>
                <w:i w:val="0"/>
                <w:color w:val="FFFFFF"/>
                <w:sz w:val="20"/>
              </w:rPr>
              <w:t>Source</w:t>
            </w:r>
          </w:p>
        </w:tc>
        <w:tc>
          <w:tcPr>
            <w:tcW w:type="dxa" w:w="3685"/>
            <w:vAlign w:val="center"/>
            <w:shd w:val="clear" w:color="auto" w:fill="1E3A8A"/>
          </w:tcPr>
          <w:p>
            <w:pPr>
              <w:jc w:val="center"/>
            </w:pPr>
            <w:r>
              <w:rPr>
                <w:rFonts w:ascii="Calibri" w:hAnsi="Calibri"/>
                <w:b/>
                <w:i w:val="0"/>
                <w:color w:val="FFFFFF"/>
                <w:sz w:val="20"/>
              </w:rPr>
              <w:t>Logique métier</w:t>
            </w:r>
          </w:p>
        </w:tc>
      </w:tr>
      <w:tr>
        <w:tc>
          <w:tcPr>
            <w:tcW w:type="dxa" w:w="2268"/>
            <w:vAlign w:val="center"/>
            <w:shd w:val="clear" w:color="auto" w:fill="EFF6FF"/>
          </w:tcPr>
          <w:p>
            <w:pPr>
              <w:jc w:val="center"/>
            </w:pPr>
            <w:r>
              <w:rPr>
                <w:rFonts w:ascii="Calibri" w:hAnsi="Calibri"/>
                <w:b w:val="0"/>
                <w:i w:val="0"/>
                <w:sz w:val="20"/>
              </w:rPr>
              <w:t>Population</w:t>
            </w:r>
          </w:p>
        </w:tc>
        <w:tc>
          <w:tcPr>
            <w:tcW w:type="dxa" w:w="1984"/>
            <w:vAlign w:val="center"/>
            <w:shd w:val="clear" w:color="auto" w:fill="EFF6FF"/>
          </w:tcPr>
          <w:p>
            <w:pPr>
              <w:jc w:val="center"/>
            </w:pPr>
            <w:r>
              <w:rPr>
                <w:rFonts w:ascii="Calibri" w:hAnsi="Calibri"/>
                <w:b w:val="0"/>
                <w:i w:val="0"/>
                <w:sz w:val="20"/>
              </w:rPr>
              <w:t>Démographique</w:t>
            </w:r>
          </w:p>
        </w:tc>
        <w:tc>
          <w:tcPr>
            <w:tcW w:type="dxa" w:w="1701"/>
            <w:vAlign w:val="center"/>
            <w:shd w:val="clear" w:color="auto" w:fill="EFF6FF"/>
          </w:tcPr>
          <w:p>
            <w:pPr>
              <w:jc w:val="center"/>
            </w:pPr>
            <w:r>
              <w:rPr>
                <w:rFonts w:ascii="Calibri" w:hAnsi="Calibri"/>
                <w:b w:val="0"/>
                <w:i w:val="0"/>
                <w:sz w:val="20"/>
              </w:rPr>
              <w:t>INS 2023</w:t>
            </w:r>
          </w:p>
        </w:tc>
        <w:tc>
          <w:tcPr>
            <w:tcW w:type="dxa" w:w="3685"/>
            <w:vAlign w:val="center"/>
            <w:shd w:val="clear" w:color="auto" w:fill="EFF6FF"/>
          </w:tcPr>
          <w:p>
            <w:pPr>
              <w:jc w:val="center"/>
            </w:pPr>
            <w:r>
              <w:rPr>
                <w:rFonts w:ascii="Calibri" w:hAnsi="Calibri"/>
                <w:b w:val="0"/>
                <w:i w:val="0"/>
                <w:sz w:val="20"/>
              </w:rPr>
              <w:t>Taille du marché potentiel de la région</w:t>
            </w:r>
          </w:p>
        </w:tc>
      </w:tr>
      <w:tr>
        <w:tc>
          <w:tcPr>
            <w:tcW w:type="dxa" w:w="2268"/>
            <w:vAlign w:val="center"/>
            <w:shd w:val="clear" w:color="auto" w:fill="FFFFFF"/>
          </w:tcPr>
          <w:p>
            <w:pPr>
              <w:jc w:val="center"/>
            </w:pPr>
            <w:r>
              <w:rPr>
                <w:rFonts w:ascii="Calibri" w:hAnsi="Calibri"/>
                <w:b w:val="0"/>
                <w:i w:val="0"/>
                <w:sz w:val="20"/>
              </w:rPr>
              <w:t>Indice_Achat</w:t>
            </w:r>
          </w:p>
        </w:tc>
        <w:tc>
          <w:tcPr>
            <w:tcW w:type="dxa" w:w="1984"/>
            <w:vAlign w:val="center"/>
            <w:shd w:val="clear" w:color="auto" w:fill="FFFFFF"/>
          </w:tcPr>
          <w:p>
            <w:pPr>
              <w:jc w:val="center"/>
            </w:pPr>
            <w:r>
              <w:rPr>
                <w:rFonts w:ascii="Calibri" w:hAnsi="Calibri"/>
                <w:b w:val="0"/>
                <w:i w:val="0"/>
                <w:sz w:val="20"/>
              </w:rPr>
              <w:t>Économique</w:t>
            </w:r>
          </w:p>
        </w:tc>
        <w:tc>
          <w:tcPr>
            <w:tcW w:type="dxa" w:w="1701"/>
            <w:vAlign w:val="center"/>
            <w:shd w:val="clear" w:color="auto" w:fill="FFFFFF"/>
          </w:tcPr>
          <w:p>
            <w:pPr>
              <w:jc w:val="center"/>
            </w:pPr>
            <w:r>
              <w:rPr>
                <w:rFonts w:ascii="Calibri" w:hAnsi="Calibri"/>
                <w:b w:val="0"/>
                <w:i w:val="0"/>
                <w:sz w:val="20"/>
              </w:rPr>
              <w:t>INS 2023</w:t>
            </w:r>
          </w:p>
        </w:tc>
        <w:tc>
          <w:tcPr>
            <w:tcW w:type="dxa" w:w="3685"/>
            <w:vAlign w:val="center"/>
            <w:shd w:val="clear" w:color="auto" w:fill="FFFFFF"/>
          </w:tcPr>
          <w:p>
            <w:pPr>
              <w:jc w:val="center"/>
            </w:pPr>
            <w:r>
              <w:rPr>
                <w:rFonts w:ascii="Calibri" w:hAnsi="Calibri"/>
                <w:b w:val="0"/>
                <w:i w:val="0"/>
                <w:sz w:val="20"/>
              </w:rPr>
              <w:t>Pouvoir d'achat régional moyen</w:t>
            </w:r>
          </w:p>
        </w:tc>
      </w:tr>
      <w:tr>
        <w:tc>
          <w:tcPr>
            <w:tcW w:type="dxa" w:w="2268"/>
            <w:vAlign w:val="center"/>
            <w:shd w:val="clear" w:color="auto" w:fill="EFF6FF"/>
          </w:tcPr>
          <w:p>
            <w:pPr>
              <w:jc w:val="center"/>
            </w:pPr>
            <w:r>
              <w:rPr>
                <w:rFonts w:ascii="Calibri" w:hAnsi="Calibri"/>
                <w:b w:val="0"/>
                <w:i w:val="0"/>
                <w:sz w:val="20"/>
              </w:rPr>
              <w:t>Nb_Hopitaux</w:t>
            </w:r>
          </w:p>
        </w:tc>
        <w:tc>
          <w:tcPr>
            <w:tcW w:type="dxa" w:w="1984"/>
            <w:vAlign w:val="center"/>
            <w:shd w:val="clear" w:color="auto" w:fill="EFF6FF"/>
          </w:tcPr>
          <w:p>
            <w:pPr>
              <w:jc w:val="center"/>
            </w:pPr>
            <w:r>
              <w:rPr>
                <w:rFonts w:ascii="Calibri" w:hAnsi="Calibri"/>
                <w:b w:val="0"/>
                <w:i w:val="0"/>
                <w:sz w:val="20"/>
              </w:rPr>
              <w:t>Structurel santé</w:t>
            </w:r>
          </w:p>
        </w:tc>
        <w:tc>
          <w:tcPr>
            <w:tcW w:type="dxa" w:w="1701"/>
            <w:vAlign w:val="center"/>
            <w:shd w:val="clear" w:color="auto" w:fill="EFF6FF"/>
          </w:tcPr>
          <w:p>
            <w:pPr>
              <w:jc w:val="center"/>
            </w:pPr>
            <w:r>
              <w:rPr>
                <w:rFonts w:ascii="Calibri" w:hAnsi="Calibri"/>
                <w:b w:val="0"/>
                <w:i w:val="0"/>
                <w:sz w:val="20"/>
              </w:rPr>
              <w:t>INS 2023</w:t>
            </w:r>
          </w:p>
        </w:tc>
        <w:tc>
          <w:tcPr>
            <w:tcW w:type="dxa" w:w="3685"/>
            <w:vAlign w:val="center"/>
            <w:shd w:val="clear" w:color="auto" w:fill="EFF6FF"/>
          </w:tcPr>
          <w:p>
            <w:pPr>
              <w:jc w:val="center"/>
            </w:pPr>
            <w:r>
              <w:rPr>
                <w:rFonts w:ascii="Calibri" w:hAnsi="Calibri"/>
                <w:b w:val="0"/>
                <w:i w:val="0"/>
                <w:sz w:val="20"/>
              </w:rPr>
              <w:t>Densité des acheteurs professionnels (hôpitaux)</w:t>
            </w:r>
          </w:p>
        </w:tc>
      </w:tr>
      <w:tr>
        <w:tc>
          <w:tcPr>
            <w:tcW w:type="dxa" w:w="2268"/>
            <w:vAlign w:val="center"/>
            <w:shd w:val="clear" w:color="auto" w:fill="FFFFFF"/>
          </w:tcPr>
          <w:p>
            <w:pPr>
              <w:jc w:val="center"/>
            </w:pPr>
            <w:r>
              <w:rPr>
                <w:rFonts w:ascii="Calibri" w:hAnsi="Calibri"/>
                <w:b w:val="0"/>
                <w:i w:val="0"/>
                <w:sz w:val="20"/>
              </w:rPr>
              <w:t>Nb_Laboratoires</w:t>
            </w:r>
          </w:p>
        </w:tc>
        <w:tc>
          <w:tcPr>
            <w:tcW w:type="dxa" w:w="1984"/>
            <w:vAlign w:val="center"/>
            <w:shd w:val="clear" w:color="auto" w:fill="FFFFFF"/>
          </w:tcPr>
          <w:p>
            <w:pPr>
              <w:jc w:val="center"/>
            </w:pPr>
            <w:r>
              <w:rPr>
                <w:rFonts w:ascii="Calibri" w:hAnsi="Calibri"/>
                <w:b w:val="0"/>
                <w:i w:val="0"/>
                <w:sz w:val="20"/>
              </w:rPr>
              <w:t>Structurel santé</w:t>
            </w:r>
          </w:p>
        </w:tc>
        <w:tc>
          <w:tcPr>
            <w:tcW w:type="dxa" w:w="1701"/>
            <w:vAlign w:val="center"/>
            <w:shd w:val="clear" w:color="auto" w:fill="FFFFFF"/>
          </w:tcPr>
          <w:p>
            <w:pPr>
              <w:jc w:val="center"/>
            </w:pPr>
            <w:r>
              <w:rPr>
                <w:rFonts w:ascii="Calibri" w:hAnsi="Calibri"/>
                <w:b w:val="0"/>
                <w:i w:val="0"/>
                <w:sz w:val="20"/>
              </w:rPr>
              <w:t>INS 2023</w:t>
            </w:r>
          </w:p>
        </w:tc>
        <w:tc>
          <w:tcPr>
            <w:tcW w:type="dxa" w:w="3685"/>
            <w:vAlign w:val="center"/>
            <w:shd w:val="clear" w:color="auto" w:fill="FFFFFF"/>
          </w:tcPr>
          <w:p>
            <w:pPr>
              <w:jc w:val="center"/>
            </w:pPr>
            <w:r>
              <w:rPr>
                <w:rFonts w:ascii="Calibri" w:hAnsi="Calibri"/>
                <w:b w:val="0"/>
                <w:i w:val="0"/>
                <w:sz w:val="20"/>
              </w:rPr>
              <w:t>Densité des acheteurs spécialisés</w:t>
            </w:r>
          </w:p>
        </w:tc>
      </w:tr>
      <w:tr>
        <w:tc>
          <w:tcPr>
            <w:tcW w:type="dxa" w:w="2268"/>
            <w:vAlign w:val="center"/>
            <w:shd w:val="clear" w:color="auto" w:fill="EFF6FF"/>
          </w:tcPr>
          <w:p>
            <w:pPr>
              <w:jc w:val="center"/>
            </w:pPr>
            <w:r>
              <w:rPr>
                <w:rFonts w:ascii="Calibri" w:hAnsi="Calibri"/>
                <w:b w:val="0"/>
                <w:i w:val="0"/>
                <w:sz w:val="20"/>
              </w:rPr>
              <w:t>Mois</w:t>
            </w:r>
          </w:p>
        </w:tc>
        <w:tc>
          <w:tcPr>
            <w:tcW w:type="dxa" w:w="1984"/>
            <w:vAlign w:val="center"/>
            <w:shd w:val="clear" w:color="auto" w:fill="EFF6FF"/>
          </w:tcPr>
          <w:p>
            <w:pPr>
              <w:jc w:val="center"/>
            </w:pPr>
            <w:r>
              <w:rPr>
                <w:rFonts w:ascii="Calibri" w:hAnsi="Calibri"/>
                <w:b w:val="0"/>
                <w:i w:val="0"/>
                <w:sz w:val="20"/>
              </w:rPr>
              <w:t>Temporel</w:t>
            </w:r>
          </w:p>
        </w:tc>
        <w:tc>
          <w:tcPr>
            <w:tcW w:type="dxa" w:w="1701"/>
            <w:vAlign w:val="center"/>
            <w:shd w:val="clear" w:color="auto" w:fill="EFF6FF"/>
          </w:tcPr>
          <w:p>
            <w:pPr>
              <w:jc w:val="center"/>
            </w:pPr>
            <w:r>
              <w:rPr>
                <w:rFonts w:ascii="Calibri" w:hAnsi="Calibri"/>
                <w:b w:val="0"/>
                <w:i w:val="0"/>
                <w:sz w:val="20"/>
              </w:rPr>
              <w:t>DateBL</w:t>
            </w:r>
          </w:p>
        </w:tc>
        <w:tc>
          <w:tcPr>
            <w:tcW w:type="dxa" w:w="3685"/>
            <w:vAlign w:val="center"/>
            <w:shd w:val="clear" w:color="auto" w:fill="EFF6FF"/>
          </w:tcPr>
          <w:p>
            <w:pPr>
              <w:jc w:val="center"/>
            </w:pPr>
            <w:r>
              <w:rPr>
                <w:rFonts w:ascii="Calibri" w:hAnsi="Calibri"/>
                <w:b w:val="0"/>
                <w:i w:val="0"/>
                <w:sz w:val="20"/>
              </w:rPr>
              <w:t>Saisonnalité mensuelle des achats</w:t>
            </w:r>
          </w:p>
        </w:tc>
      </w:tr>
      <w:tr>
        <w:tc>
          <w:tcPr>
            <w:tcW w:type="dxa" w:w="2268"/>
            <w:vAlign w:val="center"/>
            <w:shd w:val="clear" w:color="auto" w:fill="FFFFFF"/>
          </w:tcPr>
          <w:p>
            <w:pPr>
              <w:jc w:val="center"/>
            </w:pPr>
            <w:r>
              <w:rPr>
                <w:rFonts w:ascii="Calibri" w:hAnsi="Calibri"/>
                <w:b w:val="0"/>
                <w:i w:val="0"/>
                <w:sz w:val="20"/>
              </w:rPr>
              <w:t>Année</w:t>
            </w:r>
          </w:p>
        </w:tc>
        <w:tc>
          <w:tcPr>
            <w:tcW w:type="dxa" w:w="1984"/>
            <w:vAlign w:val="center"/>
            <w:shd w:val="clear" w:color="auto" w:fill="FFFFFF"/>
          </w:tcPr>
          <w:p>
            <w:pPr>
              <w:jc w:val="center"/>
            </w:pPr>
            <w:r>
              <w:rPr>
                <w:rFonts w:ascii="Calibri" w:hAnsi="Calibri"/>
                <w:b w:val="0"/>
                <w:i w:val="0"/>
                <w:sz w:val="20"/>
              </w:rPr>
              <w:t>Temporel</w:t>
            </w:r>
          </w:p>
        </w:tc>
        <w:tc>
          <w:tcPr>
            <w:tcW w:type="dxa" w:w="1701"/>
            <w:vAlign w:val="center"/>
            <w:shd w:val="clear" w:color="auto" w:fill="FFFFFF"/>
          </w:tcPr>
          <w:p>
            <w:pPr>
              <w:jc w:val="center"/>
            </w:pPr>
            <w:r>
              <w:rPr>
                <w:rFonts w:ascii="Calibri" w:hAnsi="Calibri"/>
                <w:b w:val="0"/>
                <w:i w:val="0"/>
                <w:sz w:val="20"/>
              </w:rPr>
              <w:t>DateBL</w:t>
            </w:r>
          </w:p>
        </w:tc>
        <w:tc>
          <w:tcPr>
            <w:tcW w:type="dxa" w:w="3685"/>
            <w:vAlign w:val="center"/>
            <w:shd w:val="clear" w:color="auto" w:fill="FFFFFF"/>
          </w:tcPr>
          <w:p>
            <w:pPr>
              <w:jc w:val="center"/>
            </w:pPr>
            <w:r>
              <w:rPr>
                <w:rFonts w:ascii="Calibri" w:hAnsi="Calibri"/>
                <w:b w:val="0"/>
                <w:i w:val="0"/>
                <w:sz w:val="20"/>
              </w:rPr>
              <w:t>Tendance annuelle de croissance</w:t>
            </w:r>
          </w:p>
        </w:tc>
      </w:tr>
      <w:tr>
        <w:tc>
          <w:tcPr>
            <w:tcW w:type="dxa" w:w="2268"/>
            <w:vAlign w:val="center"/>
            <w:shd w:val="clear" w:color="auto" w:fill="EFF6FF"/>
          </w:tcPr>
          <w:p>
            <w:pPr>
              <w:jc w:val="center"/>
            </w:pPr>
            <w:r>
              <w:rPr>
                <w:rFonts w:ascii="Calibri" w:hAnsi="Calibri"/>
                <w:b w:val="0"/>
                <w:i w:val="0"/>
                <w:sz w:val="20"/>
              </w:rPr>
              <w:t>Trimestre</w:t>
            </w:r>
          </w:p>
        </w:tc>
        <w:tc>
          <w:tcPr>
            <w:tcW w:type="dxa" w:w="1984"/>
            <w:vAlign w:val="center"/>
            <w:shd w:val="clear" w:color="auto" w:fill="EFF6FF"/>
          </w:tcPr>
          <w:p>
            <w:pPr>
              <w:jc w:val="center"/>
            </w:pPr>
            <w:r>
              <w:rPr>
                <w:rFonts w:ascii="Calibri" w:hAnsi="Calibri"/>
                <w:b w:val="0"/>
                <w:i w:val="0"/>
                <w:sz w:val="20"/>
              </w:rPr>
              <w:t>Temporel</w:t>
            </w:r>
          </w:p>
        </w:tc>
        <w:tc>
          <w:tcPr>
            <w:tcW w:type="dxa" w:w="1701"/>
            <w:vAlign w:val="center"/>
            <w:shd w:val="clear" w:color="auto" w:fill="EFF6FF"/>
          </w:tcPr>
          <w:p>
            <w:pPr>
              <w:jc w:val="center"/>
            </w:pPr>
            <w:r>
              <w:rPr>
                <w:rFonts w:ascii="Calibri" w:hAnsi="Calibri"/>
                <w:b w:val="0"/>
                <w:i w:val="0"/>
                <w:sz w:val="20"/>
              </w:rPr>
              <w:t>DateBL</w:t>
            </w:r>
          </w:p>
        </w:tc>
        <w:tc>
          <w:tcPr>
            <w:tcW w:type="dxa" w:w="3685"/>
            <w:vAlign w:val="center"/>
            <w:shd w:val="clear" w:color="auto" w:fill="EFF6FF"/>
          </w:tcPr>
          <w:p>
            <w:pPr>
              <w:jc w:val="center"/>
            </w:pPr>
            <w:r>
              <w:rPr>
                <w:rFonts w:ascii="Calibri" w:hAnsi="Calibri"/>
                <w:b w:val="0"/>
                <w:i w:val="0"/>
                <w:sz w:val="20"/>
              </w:rPr>
              <w:t>Saisonnalité trimestrielle</w:t>
            </w:r>
          </w:p>
        </w:tc>
      </w:tr>
      <w:tr>
        <w:tc>
          <w:tcPr>
            <w:tcW w:type="dxa" w:w="2268"/>
            <w:vAlign w:val="center"/>
            <w:shd w:val="clear" w:color="auto" w:fill="FFFFFF"/>
          </w:tcPr>
          <w:p>
            <w:pPr>
              <w:jc w:val="center"/>
            </w:pPr>
            <w:r>
              <w:rPr>
                <w:rFonts w:ascii="Calibri" w:hAnsi="Calibri"/>
                <w:b w:val="0"/>
                <w:i w:val="0"/>
                <w:sz w:val="20"/>
              </w:rPr>
              <w:t>Prix</w:t>
            </w:r>
          </w:p>
        </w:tc>
        <w:tc>
          <w:tcPr>
            <w:tcW w:type="dxa" w:w="1984"/>
            <w:vAlign w:val="center"/>
            <w:shd w:val="clear" w:color="auto" w:fill="FFFFFF"/>
          </w:tcPr>
          <w:p>
            <w:pPr>
              <w:jc w:val="center"/>
            </w:pPr>
            <w:r>
              <w:rPr>
                <w:rFonts w:ascii="Calibri" w:hAnsi="Calibri"/>
                <w:b w:val="0"/>
                <w:i w:val="0"/>
                <w:sz w:val="20"/>
              </w:rPr>
              <w:t>Transaction</w:t>
            </w:r>
          </w:p>
        </w:tc>
        <w:tc>
          <w:tcPr>
            <w:tcW w:type="dxa" w:w="1701"/>
            <w:vAlign w:val="center"/>
            <w:shd w:val="clear" w:color="auto" w:fill="FFFFFF"/>
          </w:tcPr>
          <w:p>
            <w:pPr>
              <w:jc w:val="center"/>
            </w:pPr>
            <w:r>
              <w:rPr>
                <w:rFonts w:ascii="Calibri" w:hAnsi="Calibri"/>
                <w:b w:val="0"/>
                <w:i w:val="0"/>
                <w:sz w:val="20"/>
              </w:rPr>
              <w:t>PrixVente</w:t>
            </w:r>
          </w:p>
        </w:tc>
        <w:tc>
          <w:tcPr>
            <w:tcW w:type="dxa" w:w="3685"/>
            <w:vAlign w:val="center"/>
            <w:shd w:val="clear" w:color="auto" w:fill="FFFFFF"/>
          </w:tcPr>
          <w:p>
            <w:pPr>
              <w:jc w:val="center"/>
            </w:pPr>
            <w:r>
              <w:rPr>
                <w:rFonts w:ascii="Calibri" w:hAnsi="Calibri"/>
                <w:b w:val="0"/>
                <w:i w:val="0"/>
                <w:sz w:val="20"/>
              </w:rPr>
              <w:t>Segment de produit / niveau de gamme</w:t>
            </w:r>
          </w:p>
        </w:tc>
      </w:tr>
    </w:tbl>
    <w:p/>
    <w:p>
      <w:pPr>
        <w:pStyle w:val="Heading2"/>
        <w:spacing w:before="280" w:after="80"/>
      </w:pPr>
      <w:r>
        <w:rPr>
          <w:rFonts w:ascii="Calibri" w:hAnsi="Calibri"/>
          <w:color w:val="1D4ED8"/>
        </w:rPr>
        <w:t>4.2 Ce que les corrélations révèlent</w:t>
      </w:r>
    </w:p>
    <w:p>
      <w:pPr>
        <w:spacing w:after="80"/>
      </w:pPr>
      <w:r>
        <w:rPr>
          <w:rFonts w:ascii="Calibri" w:hAnsi="Calibri"/>
          <w:b w:val="0"/>
          <w:i w:val="0"/>
          <w:sz w:val="22"/>
        </w:rPr>
        <w:t>La matrice de corrélation montre que Population, Indice_Achat, Nb_Hopitaux et Nb_Laboratoires sont très fortement corrélées (r = 0.88 à 0.98). C'est attendu : les gouvernorats densément peuplés ont plus de pouvoir d'achat, plus d'hôpitaux et plus de laboratoires. Ces 4 variables portent essentiellement la même information — "taille et richesse du gouvernorat". Random Forest gère naturellement cette redondance par sa sélection aléatoire de features à chaque nœud.</w:t>
      </w:r>
    </w:p>
    <w:p>
      <w:pPr>
        <w:spacing w:before="120" w:after="120"/>
        <w:ind w:left="567" w:right="567"/>
        <w:shd w:val="clear" w:color="auto" w:fill="FEF3C7"/>
      </w:pPr>
      <w:r>
        <w:rPr>
          <w:rFonts w:ascii="Calibri" w:hAnsi="Calibri"/>
          <w:b w:val="0"/>
          <w:i/>
          <w:color w:val="92400E"/>
          <w:sz w:val="20"/>
        </w:rPr>
        <w:t>⚠  La variable Prix est la plus prédictive (Gini = 0.41). Elle capte indirectement l'information géographique puisque le prix est corrélé à la région d'assignation.</w:t>
      </w:r>
    </w:p>
    <w:p>
      <w:r>
        <w:br w:type="page"/>
      </w:r>
    </w:p>
    <w:p>
      <w:pPr>
        <w:pStyle w:val="Heading1"/>
        <w:spacing w:before="360" w:after="120"/>
      </w:pPr>
      <w:r>
        <w:rPr>
          <w:rFonts w:ascii="Calibri" w:hAnsi="Calibri"/>
          <w:color w:val="1E3A8A"/>
        </w:rPr>
        <w:t>5. Le modèle de Machine Learning</w:t>
      </w:r>
    </w:p>
    <w:p>
      <w:pPr>
        <w:pStyle w:val="Heading2"/>
        <w:spacing w:before="280" w:after="80"/>
      </w:pPr>
      <w:r>
        <w:rPr>
          <w:rFonts w:ascii="Calibri" w:hAnsi="Calibri"/>
          <w:color w:val="1D4ED8"/>
        </w:rPr>
        <w:t>5.1 Pourquoi un Voting Ensemble ?</w:t>
      </w:r>
    </w:p>
    <w:p>
      <w:pPr>
        <w:spacing w:after="80"/>
      </w:pPr>
      <w:r>
        <w:rPr>
          <w:rFonts w:ascii="Calibri" w:hAnsi="Calibri"/>
          <w:b w:val="0"/>
          <w:i w:val="0"/>
          <w:sz w:val="22"/>
        </w:rPr>
        <w:t>Le principe du Voting Ensemble est celui de la sagesse des foules appliqué aux algorithmes. Plutôt que de faire confiance à un seul expert, on consulte plusieurs experts aux spécialités différentes et on prend la décision qui fait consensus.</w:t>
      </w:r>
    </w:p>
    <w:tbl>
      <w:tblPr>
        <w:tblStyle w:val="TableGrid"/>
        <w:tblW w:type="auto" w:w="0"/>
        <w:jc w:val="center"/>
        <w:tblLook w:firstColumn="1" w:firstRow="1" w:lastColumn="0" w:lastRow="0" w:noHBand="0" w:noVBand="1" w:val="04A0"/>
      </w:tblPr>
      <w:tblGrid>
        <w:gridCol w:w="3041"/>
        <w:gridCol w:w="3041"/>
        <w:gridCol w:w="3041"/>
      </w:tblGrid>
      <w:tr>
        <w:tc>
          <w:tcPr>
            <w:tcW w:type="dxa" w:w="2551"/>
            <w:vAlign w:val="center"/>
            <w:shd w:val="clear" w:color="auto" w:fill="1E3A8A"/>
          </w:tcPr>
          <w:p>
            <w:pPr>
              <w:jc w:val="center"/>
            </w:pPr>
            <w:r>
              <w:rPr>
                <w:rFonts w:ascii="Calibri" w:hAnsi="Calibri"/>
                <w:b/>
                <w:i w:val="0"/>
                <w:color w:val="FFFFFF"/>
                <w:sz w:val="20"/>
              </w:rPr>
              <w:t>Composant</w:t>
            </w:r>
          </w:p>
        </w:tc>
        <w:tc>
          <w:tcPr>
            <w:tcW w:type="dxa" w:w="2551"/>
            <w:vAlign w:val="center"/>
            <w:shd w:val="clear" w:color="auto" w:fill="1E3A8A"/>
          </w:tcPr>
          <w:p>
            <w:pPr>
              <w:jc w:val="center"/>
            </w:pPr>
            <w:r>
              <w:rPr>
                <w:rFonts w:ascii="Calibri" w:hAnsi="Calibri"/>
                <w:b/>
                <w:i w:val="0"/>
                <w:color w:val="FFFFFF"/>
                <w:sz w:val="20"/>
              </w:rPr>
              <w:t>Spécialité</w:t>
            </w:r>
          </w:p>
        </w:tc>
        <w:tc>
          <w:tcPr>
            <w:tcW w:type="dxa" w:w="4535"/>
            <w:vAlign w:val="center"/>
            <w:shd w:val="clear" w:color="auto" w:fill="1E3A8A"/>
          </w:tcPr>
          <w:p>
            <w:pPr>
              <w:jc w:val="center"/>
            </w:pPr>
            <w:r>
              <w:rPr>
                <w:rFonts w:ascii="Calibri" w:hAnsi="Calibri"/>
                <w:b/>
                <w:i w:val="0"/>
                <w:color w:val="FFFFFF"/>
                <w:sz w:val="20"/>
              </w:rPr>
              <w:t>Contribution</w:t>
            </w:r>
          </w:p>
        </w:tc>
      </w:tr>
      <w:tr>
        <w:tc>
          <w:tcPr>
            <w:tcW w:type="dxa" w:w="2551"/>
            <w:vAlign w:val="center"/>
            <w:shd w:val="clear" w:color="auto" w:fill="EFF6FF"/>
          </w:tcPr>
          <w:p>
            <w:pPr>
              <w:jc w:val="center"/>
            </w:pPr>
            <w:r>
              <w:rPr>
                <w:rFonts w:ascii="Calibri" w:hAnsi="Calibri"/>
                <w:b w:val="0"/>
                <w:i w:val="0"/>
                <w:sz w:val="20"/>
              </w:rPr>
              <w:t>Random Forest (100 arbres)</w:t>
            </w:r>
          </w:p>
        </w:tc>
        <w:tc>
          <w:tcPr>
            <w:tcW w:type="dxa" w:w="2551"/>
            <w:vAlign w:val="center"/>
            <w:shd w:val="clear" w:color="auto" w:fill="EFF6FF"/>
          </w:tcPr>
          <w:p>
            <w:pPr>
              <w:jc w:val="center"/>
            </w:pPr>
            <w:r>
              <w:rPr>
                <w:rFonts w:ascii="Calibri" w:hAnsi="Calibri"/>
                <w:b w:val="0"/>
                <w:i w:val="0"/>
                <w:sz w:val="20"/>
              </w:rPr>
              <w:t>Patterns complexes et non-linéaires</w:t>
            </w:r>
          </w:p>
        </w:tc>
        <w:tc>
          <w:tcPr>
            <w:tcW w:type="dxa" w:w="4535"/>
            <w:vAlign w:val="center"/>
            <w:shd w:val="clear" w:color="auto" w:fill="EFF6FF"/>
          </w:tcPr>
          <w:p>
            <w:pPr>
              <w:jc w:val="center"/>
            </w:pPr>
            <w:r>
              <w:rPr>
                <w:rFonts w:ascii="Calibri" w:hAnsi="Calibri"/>
                <w:b w:val="0"/>
                <w:i w:val="0"/>
                <w:sz w:val="20"/>
              </w:rPr>
              <w:t>Robuste aux outliers, capture les interactions entre variables</w:t>
            </w:r>
          </w:p>
        </w:tc>
      </w:tr>
      <w:tr>
        <w:tc>
          <w:tcPr>
            <w:tcW w:type="dxa" w:w="2551"/>
            <w:vAlign w:val="center"/>
            <w:shd w:val="clear" w:color="auto" w:fill="FFFFFF"/>
          </w:tcPr>
          <w:p>
            <w:pPr>
              <w:jc w:val="center"/>
            </w:pPr>
            <w:r>
              <w:rPr>
                <w:rFonts w:ascii="Calibri" w:hAnsi="Calibri"/>
                <w:b w:val="0"/>
                <w:i w:val="0"/>
                <w:sz w:val="20"/>
              </w:rPr>
              <w:t>Gradient Boosting</w:t>
            </w:r>
          </w:p>
        </w:tc>
        <w:tc>
          <w:tcPr>
            <w:tcW w:type="dxa" w:w="2551"/>
            <w:vAlign w:val="center"/>
            <w:shd w:val="clear" w:color="auto" w:fill="FFFFFF"/>
          </w:tcPr>
          <w:p>
            <w:pPr>
              <w:jc w:val="center"/>
            </w:pPr>
            <w:r>
              <w:rPr>
                <w:rFonts w:ascii="Calibri" w:hAnsi="Calibri"/>
                <w:b w:val="0"/>
                <w:i w:val="0"/>
                <w:sz w:val="20"/>
              </w:rPr>
              <w:t>Correction itérative des erreurs</w:t>
            </w:r>
          </w:p>
        </w:tc>
        <w:tc>
          <w:tcPr>
            <w:tcW w:type="dxa" w:w="4535"/>
            <w:vAlign w:val="center"/>
            <w:shd w:val="clear" w:color="auto" w:fill="FFFFFF"/>
          </w:tcPr>
          <w:p>
            <w:pPr>
              <w:jc w:val="center"/>
            </w:pPr>
            <w:r>
              <w:rPr>
                <w:rFonts w:ascii="Calibri" w:hAnsi="Calibri"/>
                <w:b w:val="0"/>
                <w:i w:val="0"/>
                <w:sz w:val="20"/>
              </w:rPr>
              <w:t>Fort sur les relations subtiles, arbres séquentiels</w:t>
            </w:r>
          </w:p>
        </w:tc>
      </w:tr>
      <w:tr>
        <w:tc>
          <w:tcPr>
            <w:tcW w:type="dxa" w:w="2551"/>
            <w:vAlign w:val="center"/>
            <w:shd w:val="clear" w:color="auto" w:fill="EFF6FF"/>
          </w:tcPr>
          <w:p>
            <w:pPr>
              <w:jc w:val="center"/>
            </w:pPr>
            <w:r>
              <w:rPr>
                <w:rFonts w:ascii="Calibri" w:hAnsi="Calibri"/>
                <w:b w:val="0"/>
                <w:i w:val="0"/>
                <w:sz w:val="20"/>
              </w:rPr>
              <w:t>Logistic Regression</w:t>
            </w:r>
          </w:p>
        </w:tc>
        <w:tc>
          <w:tcPr>
            <w:tcW w:type="dxa" w:w="2551"/>
            <w:vAlign w:val="center"/>
            <w:shd w:val="clear" w:color="auto" w:fill="EFF6FF"/>
          </w:tcPr>
          <w:p>
            <w:pPr>
              <w:jc w:val="center"/>
            </w:pPr>
            <w:r>
              <w:rPr>
                <w:rFonts w:ascii="Calibri" w:hAnsi="Calibri"/>
                <w:b w:val="0"/>
                <w:i w:val="0"/>
                <w:sz w:val="20"/>
              </w:rPr>
              <w:t>Frontière de décision linéaire</w:t>
            </w:r>
          </w:p>
        </w:tc>
        <w:tc>
          <w:tcPr>
            <w:tcW w:type="dxa" w:w="4535"/>
            <w:vAlign w:val="center"/>
            <w:shd w:val="clear" w:color="auto" w:fill="EFF6FF"/>
          </w:tcPr>
          <w:p>
            <w:pPr>
              <w:jc w:val="center"/>
            </w:pPr>
            <w:r>
              <w:rPr>
                <w:rFonts w:ascii="Calibri" w:hAnsi="Calibri"/>
                <w:b w:val="0"/>
                <w:i w:val="0"/>
                <w:sz w:val="20"/>
              </w:rPr>
              <w:t>Régularisation, évite le surapprentissage local</w:t>
            </w:r>
          </w:p>
        </w:tc>
      </w:tr>
    </w:tbl>
    <w:p/>
    <w:p>
      <w:pPr>
        <w:pStyle w:val="Heading2"/>
        <w:spacing w:before="280" w:after="80"/>
      </w:pPr>
      <w:r>
        <w:rPr>
          <w:rFonts w:ascii="Calibri" w:hAnsi="Calibri"/>
          <w:color w:val="1D4ED8"/>
        </w:rPr>
        <w:t>5.2 Comment le modèle prend ses décisions</w:t>
      </w:r>
    </w:p>
    <w:p>
      <w:pPr>
        <w:spacing w:after="80"/>
      </w:pPr>
      <w:r>
        <w:rPr>
          <w:rFonts w:ascii="Calibri" w:hAnsi="Calibri"/>
          <w:b w:val="0"/>
          <w:i w:val="0"/>
          <w:sz w:val="22"/>
        </w:rPr>
        <w:t>Exemple concret pour la région SOUSSE, trimestre 3, année 2026 :</w:t>
      </w:r>
    </w:p>
    <w:p>
      <w:pPr>
        <w:spacing w:before="80" w:after="80"/>
        <w:ind w:left="850" w:right="567"/>
        <w:shd w:val="clear" w:color="auto" w:fill="F0F4F8"/>
      </w:pPr>
      <w:r>
        <w:rPr>
          <w:rFonts w:ascii="Courier New" w:hAnsi="Courier New"/>
          <w:color w:val="1E3A8A"/>
          <w:sz w:val="18"/>
        </w:rPr>
        <w:t>Étape 1 : Construction du vecteur de 8 features</w:t>
        <w:br/>
        <w:t xml:space="preserve">          Population=720000, Indice_Achat=124.0, Nb_Hopitaux=9,</w:t>
        <w:br/>
        <w:t xml:space="preserve">          Nb_Laboratoires=29, Mois=8, Année=2026, Trimestre=3, Prix=10.44</w:t>
        <w:br/>
        <w:br/>
        <w:t>Étape 2 : Les 3 sous-modèles calculent chacun P(HAUSSE)</w:t>
        <w:br/>
        <w:t xml:space="preserve">          RF → 0.54  |  GB → 0.52  |  LR → 0.48</w:t>
        <w:br/>
        <w:br/>
        <w:t>Étape 3 : Moyenne pondérée → P(HAUSSE) = 0.519</w:t>
        <w:br/>
        <w:br/>
        <w:t>Étape 4 : Seuil 0.39  →  0.519 &gt;= 0.39  →  Prédiction : HAUSSE</w:t>
        <w:br/>
        <w:t xml:space="preserve">          Confiance : 51.9%  →  Recommandation : AUGMENTER</w:t>
      </w:r>
    </w:p>
    <w:p>
      <w:pPr>
        <w:pStyle w:val="Heading2"/>
        <w:spacing w:before="280" w:after="80"/>
      </w:pPr>
      <w:r>
        <w:rPr>
          <w:rFonts w:ascii="Calibri" w:hAnsi="Calibri"/>
          <w:color w:val="1D4ED8"/>
        </w:rPr>
        <w:t>5.3 Validation croisée — Robustesse du modèle</w:t>
      </w:r>
    </w:p>
    <w:p>
      <w:pPr>
        <w:spacing w:after="80"/>
      </w:pPr>
      <w:r>
        <w:rPr>
          <w:rFonts w:ascii="Calibri" w:hAnsi="Calibri"/>
          <w:b w:val="0"/>
          <w:i w:val="0"/>
          <w:sz w:val="22"/>
        </w:rPr>
        <w:t>La validation croisée 5-fold stratifiée confirme la stabilité du modèle :</w:t>
      </w:r>
    </w:p>
    <w:p>
      <w:pPr>
        <w:spacing w:before="80" w:after="80"/>
        <w:ind w:left="850" w:right="567"/>
        <w:shd w:val="clear" w:color="auto" w:fill="F0F4F8"/>
      </w:pPr>
      <w:r>
        <w:rPr>
          <w:rFonts w:ascii="Courier New" w:hAnsi="Courier New"/>
          <w:color w:val="1E3A8A"/>
          <w:sz w:val="18"/>
        </w:rPr>
        <w:t>5 scores individuels : [71.49%, 73.57%, 73.71%, 72.32%, 73.16%]</w:t>
        <w:br/>
        <w:t>Moyenne CV           : 72.85%</w:t>
        <w:br/>
        <w:t>Écart-type           : ± 0.84%  (très faible → modèle stable)</w:t>
        <w:br/>
        <w:t>Test accuracy        : 72.94%   (CV ≈ Test → pas de surapprentissage)</w:t>
      </w:r>
    </w:p>
    <w:p>
      <w:r>
        <w:br w:type="page"/>
      </w:r>
    </w:p>
    <w:p>
      <w:pPr>
        <w:pStyle w:val="Heading1"/>
        <w:spacing w:before="360" w:after="120"/>
      </w:pPr>
      <w:r>
        <w:rPr>
          <w:rFonts w:ascii="Calibri" w:hAnsi="Calibri"/>
          <w:color w:val="1E3A8A"/>
        </w:rPr>
        <w:t>6. La variable cible — Explication approfondie</w:t>
      </w:r>
    </w:p>
    <w:p>
      <w:pPr>
        <w:pStyle w:val="Heading2"/>
        <w:spacing w:before="280" w:after="80"/>
      </w:pPr>
      <w:r>
        <w:rPr>
          <w:rFonts w:ascii="Calibri" w:hAnsi="Calibri"/>
          <w:color w:val="1D4ED8"/>
        </w:rPr>
        <w:t>6.1 Ce qu'elle mesure exactement</w:t>
      </w:r>
    </w:p>
    <w:p>
      <w:pPr>
        <w:spacing w:after="80"/>
      </w:pPr>
      <w:r>
        <w:rPr>
          <w:rFonts w:ascii="Calibri" w:hAnsi="Calibri"/>
          <w:b w:val="0"/>
          <w:i w:val="0"/>
          <w:sz w:val="22"/>
        </w:rPr>
        <w:t>La variable cible répond à la question :</w:t>
      </w:r>
    </w:p>
    <w:p>
      <w:pPr>
        <w:spacing w:before="160" w:after="160"/>
        <w:jc w:val="center"/>
      </w:pPr>
      <w:r>
        <w:rPr>
          <w:rFonts w:ascii="Calibri" w:hAnsi="Calibri"/>
          <w:b/>
          <w:i/>
          <w:color w:val="1E3A8A"/>
          <w:sz w:val="24"/>
        </w:rPr>
        <w:t>"Cette transaction représente-t-elle une vente à haute intensité dans le contexte de sa région ?"</w:t>
      </w:r>
    </w:p>
    <w:p>
      <w:pPr>
        <w:spacing w:after="80"/>
      </w:pPr>
      <w:r>
        <w:rPr>
          <w:rFonts w:ascii="Calibri" w:hAnsi="Calibri"/>
          <w:b w:val="0"/>
          <w:i w:val="0"/>
          <w:sz w:val="22"/>
        </w:rPr>
        <w:t>Ce n'est pas une prédiction de tendance temporelle ("les ventes vont augmenter dans 3 mois") — c'est une mesure de l'intensité commerciale relative. Une transaction HAUSSE dans une petite région peut représenter 5 unités vendues ; dans une grande région, il en faudra peut-être 50 pour atteindre le même percentile.</w:t>
      </w:r>
    </w:p>
    <w:p>
      <w:pPr>
        <w:pStyle w:val="Heading2"/>
        <w:spacing w:before="280" w:after="80"/>
      </w:pPr>
      <w:r>
        <w:rPr>
          <w:rFonts w:ascii="Calibri" w:hAnsi="Calibri"/>
          <w:color w:val="1D4ED8"/>
        </w:rPr>
        <w:t>6.2 La signification métier de l'agrégation</w:t>
      </w:r>
    </w:p>
    <w:p>
      <w:pPr>
        <w:spacing w:after="80"/>
      </w:pPr>
      <w:r>
        <w:rPr>
          <w:rFonts w:ascii="Calibri" w:hAnsi="Calibri"/>
          <w:b w:val="0"/>
          <w:i w:val="0"/>
          <w:sz w:val="22"/>
        </w:rPr>
        <w:t>L'intelligence du système réside dans le passage du niveau transactionnel au niveau régional. Si le modèle prédit que 44% des transactions d'une région seront HAUSSE, cette région génère régulièrement des commandes importantes dans son contexte local. C'est le signal pour y investir davantage.</w:t>
      </w:r>
    </w:p>
    <w:p>
      <w:pPr>
        <w:pStyle w:val="Heading2"/>
        <w:spacing w:before="280" w:after="80"/>
      </w:pPr>
      <w:r>
        <w:rPr>
          <w:rFonts w:ascii="Calibri" w:hAnsi="Calibri"/>
          <w:color w:val="1D4ED8"/>
        </w:rPr>
        <w:t>6.3 Forces et limites</w:t>
      </w:r>
    </w:p>
    <w:tbl>
      <w:tblPr>
        <w:tblStyle w:val="TableGrid"/>
        <w:tblW w:type="auto" w:w="0"/>
        <w:jc w:val="center"/>
        <w:tblLook w:firstColumn="1" w:firstRow="1" w:lastColumn="0" w:lastRow="0" w:noHBand="0" w:noVBand="1" w:val="04A0"/>
      </w:tblPr>
      <w:tblGrid>
        <w:gridCol w:w="4561"/>
        <w:gridCol w:w="4561"/>
      </w:tblGrid>
      <w:tr>
        <w:tc>
          <w:tcPr>
            <w:tcW w:type="dxa" w:w="2268"/>
            <w:vAlign w:val="center"/>
            <w:shd w:val="clear" w:color="auto" w:fill="1E3A8A"/>
          </w:tcPr>
          <w:p>
            <w:pPr>
              <w:jc w:val="center"/>
            </w:pPr>
            <w:r>
              <w:rPr>
                <w:rFonts w:ascii="Calibri" w:hAnsi="Calibri"/>
                <w:b/>
                <w:i w:val="0"/>
                <w:color w:val="FFFFFF"/>
                <w:sz w:val="20"/>
              </w:rPr>
              <w:t>Aspect</w:t>
            </w:r>
          </w:p>
        </w:tc>
        <w:tc>
          <w:tcPr>
            <w:tcW w:type="dxa" w:w="7370"/>
            <w:vAlign w:val="center"/>
            <w:shd w:val="clear" w:color="auto" w:fill="1E3A8A"/>
          </w:tcPr>
          <w:p>
            <w:pPr>
              <w:jc w:val="center"/>
            </w:pPr>
            <w:r>
              <w:rPr>
                <w:rFonts w:ascii="Calibri" w:hAnsi="Calibri"/>
                <w:b/>
                <w:i w:val="0"/>
                <w:color w:val="FFFFFF"/>
                <w:sz w:val="20"/>
              </w:rPr>
              <w:t>Détail</w:t>
            </w:r>
          </w:p>
        </w:tc>
      </w:tr>
      <w:tr>
        <w:tc>
          <w:tcPr>
            <w:tcW w:type="dxa" w:w="2268"/>
            <w:vAlign w:val="center"/>
            <w:shd w:val="clear" w:color="auto" w:fill="EFF6FF"/>
          </w:tcPr>
          <w:p>
            <w:pPr>
              <w:jc w:val="center"/>
            </w:pPr>
            <w:r>
              <w:rPr>
                <w:rFonts w:ascii="Calibri" w:hAnsi="Calibri"/>
                <w:b w:val="0"/>
                <w:i w:val="0"/>
                <w:sz w:val="20"/>
              </w:rPr>
              <w:t>✅ Force principale</w:t>
            </w:r>
          </w:p>
        </w:tc>
        <w:tc>
          <w:tcPr>
            <w:tcW w:type="dxa" w:w="7370"/>
            <w:vAlign w:val="center"/>
            <w:shd w:val="clear" w:color="auto" w:fill="EFF6FF"/>
          </w:tcPr>
          <w:p>
            <w:pPr>
              <w:jc w:val="center"/>
            </w:pPr>
            <w:r>
              <w:rPr>
                <w:rFonts w:ascii="Calibri" w:hAnsi="Calibri"/>
                <w:b w:val="0"/>
                <w:i w:val="0"/>
                <w:sz w:val="20"/>
              </w:rPr>
              <w:t>Normalisation intra-régionale : comparaison équitable entre marchés de tailles très différentes. Valorise les petits marchés dynamiques.</w:t>
            </w:r>
          </w:p>
        </w:tc>
      </w:tr>
      <w:tr>
        <w:tc>
          <w:tcPr>
            <w:tcW w:type="dxa" w:w="2268"/>
            <w:vAlign w:val="center"/>
            <w:shd w:val="clear" w:color="auto" w:fill="FFFFFF"/>
          </w:tcPr>
          <w:p>
            <w:pPr>
              <w:jc w:val="center"/>
            </w:pPr>
            <w:r>
              <w:rPr>
                <w:rFonts w:ascii="Calibri" w:hAnsi="Calibri"/>
                <w:b w:val="0"/>
                <w:i w:val="0"/>
                <w:sz w:val="20"/>
              </w:rPr>
              <w:t>✅ Gestion déséquilibre</w:t>
            </w:r>
          </w:p>
        </w:tc>
        <w:tc>
          <w:tcPr>
            <w:tcW w:type="dxa" w:w="7370"/>
            <w:vAlign w:val="center"/>
            <w:shd w:val="clear" w:color="auto" w:fill="FFFFFF"/>
          </w:tcPr>
          <w:p>
            <w:pPr>
              <w:jc w:val="center"/>
            </w:pPr>
            <w:r>
              <w:rPr>
                <w:rFonts w:ascii="Calibri" w:hAnsi="Calibri"/>
                <w:b w:val="0"/>
                <w:i w:val="0"/>
                <w:sz w:val="20"/>
              </w:rPr>
              <w:t>class_weight="balanced" appliqué automatiquement sur tous les modèles.</w:t>
            </w:r>
          </w:p>
        </w:tc>
      </w:tr>
      <w:tr>
        <w:tc>
          <w:tcPr>
            <w:tcW w:type="dxa" w:w="2268"/>
            <w:vAlign w:val="center"/>
            <w:shd w:val="clear" w:color="auto" w:fill="EFF6FF"/>
          </w:tcPr>
          <w:p>
            <w:pPr>
              <w:jc w:val="center"/>
            </w:pPr>
            <w:r>
              <w:rPr>
                <w:rFonts w:ascii="Calibri" w:hAnsi="Calibri"/>
                <w:b w:val="0"/>
                <w:i w:val="0"/>
                <w:sz w:val="20"/>
              </w:rPr>
              <w:t>⚠  Limite principale</w:t>
            </w:r>
          </w:p>
        </w:tc>
        <w:tc>
          <w:tcPr>
            <w:tcW w:type="dxa" w:w="7370"/>
            <w:vAlign w:val="center"/>
            <w:shd w:val="clear" w:color="auto" w:fill="EFF6FF"/>
          </w:tcPr>
          <w:p>
            <w:pPr>
              <w:jc w:val="center"/>
            </w:pPr>
            <w:r>
              <w:rPr>
                <w:rFonts w:ascii="Calibri" w:hAnsi="Calibri"/>
                <w:b w:val="0"/>
                <w:i w:val="0"/>
                <w:sz w:val="20"/>
              </w:rPr>
              <w:t>Q75 calculé sur ~150 échantillons par région. Statistiquement modeste — la prédiction est une estimation, pas une certitude.</w:t>
            </w:r>
          </w:p>
        </w:tc>
      </w:tr>
      <w:tr>
        <w:tc>
          <w:tcPr>
            <w:tcW w:type="dxa" w:w="2268"/>
            <w:vAlign w:val="center"/>
            <w:shd w:val="clear" w:color="auto" w:fill="FFFFFF"/>
          </w:tcPr>
          <w:p>
            <w:pPr>
              <w:jc w:val="center"/>
            </w:pPr>
            <w:r>
              <w:rPr>
                <w:rFonts w:ascii="Calibri" w:hAnsi="Calibri"/>
                <w:b w:val="0"/>
                <w:i w:val="0"/>
                <w:sz w:val="20"/>
              </w:rPr>
              <w:t>⚠  Limite conceptuelle</w:t>
            </w:r>
          </w:p>
        </w:tc>
        <w:tc>
          <w:tcPr>
            <w:tcW w:type="dxa" w:w="7370"/>
            <w:vAlign w:val="center"/>
            <w:shd w:val="clear" w:color="auto" w:fill="FFFFFF"/>
          </w:tcPr>
          <w:p>
            <w:pPr>
              <w:jc w:val="center"/>
            </w:pPr>
            <w:r>
              <w:rPr>
                <w:rFonts w:ascii="Calibri" w:hAnsi="Calibri"/>
                <w:b w:val="0"/>
                <w:i w:val="0"/>
                <w:sz w:val="20"/>
              </w:rPr>
              <w:t>Mesure l'intensité ponctuelle, pas la tendance temporelle. Un suivi trimestriel comparatif renforcerait la valeur métier.</w:t>
            </w:r>
          </w:p>
        </w:tc>
      </w:tr>
    </w:tbl>
    <w:p/>
    <w:p>
      <w:r>
        <w:br w:type="page"/>
      </w:r>
    </w:p>
    <w:p>
      <w:pPr>
        <w:pStyle w:val="Heading1"/>
        <w:spacing w:before="360" w:after="120"/>
      </w:pPr>
      <w:r>
        <w:rPr>
          <w:rFonts w:ascii="Calibri" w:hAnsi="Calibri"/>
          <w:color w:val="1E3A8A"/>
        </w:rPr>
        <w:t>7. Le système MLOps</w:t>
      </w:r>
    </w:p>
    <w:p>
      <w:pPr>
        <w:pStyle w:val="Heading2"/>
        <w:spacing w:before="280" w:after="80"/>
      </w:pPr>
      <w:r>
        <w:rPr>
          <w:rFonts w:ascii="Calibri" w:hAnsi="Calibri"/>
          <w:color w:val="1D4ED8"/>
        </w:rPr>
        <w:t>7.1 L'API Flask</w:t>
      </w:r>
    </w:p>
    <w:p>
      <w:pPr>
        <w:spacing w:after="80"/>
      </w:pPr>
      <w:r>
        <w:rPr>
          <w:rFonts w:ascii="Calibri" w:hAnsi="Calibri"/>
          <w:b w:val="0"/>
          <w:i w:val="0"/>
          <w:sz w:val="22"/>
        </w:rPr>
        <w:t>L'API expose les prédictions du modèle de façon standardisée. N'importe quelle application de l'entreprise peut interroger l'API et obtenir une recommandation régionale en temps réel.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val="clear" w:color="auto" w:fill="1E3A8A"/>
          </w:tcPr>
          <w:p>
            <w:pPr>
              <w:jc w:val="center"/>
            </w:pPr>
            <w:r>
              <w:rPr>
                <w:rFonts w:ascii="Calibri" w:hAnsi="Calibri"/>
                <w:b/>
                <w:i w:val="0"/>
                <w:color w:val="FFFFFF"/>
                <w:sz w:val="20"/>
              </w:rPr>
              <w:t>Endpoint</w:t>
            </w:r>
          </w:p>
        </w:tc>
        <w:tc>
          <w:tcPr>
            <w:tcW w:type="dxa" w:w="1417"/>
            <w:vAlign w:val="center"/>
            <w:shd w:val="clear" w:color="auto" w:fill="1E3A8A"/>
          </w:tcPr>
          <w:p>
            <w:pPr>
              <w:jc w:val="center"/>
            </w:pPr>
            <w:r>
              <w:rPr>
                <w:rFonts w:ascii="Calibri" w:hAnsi="Calibri"/>
                <w:b/>
                <w:i w:val="0"/>
                <w:color w:val="FFFFFF"/>
                <w:sz w:val="20"/>
              </w:rPr>
              <w:t>Méthode</w:t>
            </w:r>
          </w:p>
        </w:tc>
        <w:tc>
          <w:tcPr>
            <w:tcW w:type="dxa" w:w="3118"/>
            <w:vAlign w:val="center"/>
            <w:shd w:val="clear" w:color="auto" w:fill="1E3A8A"/>
          </w:tcPr>
          <w:p>
            <w:pPr>
              <w:jc w:val="center"/>
            </w:pPr>
            <w:r>
              <w:rPr>
                <w:rFonts w:ascii="Calibri" w:hAnsi="Calibri"/>
                <w:b/>
                <w:i w:val="0"/>
                <w:color w:val="FFFFFF"/>
                <w:sz w:val="20"/>
              </w:rPr>
              <w:t>Paramètres</w:t>
            </w:r>
          </w:p>
        </w:tc>
        <w:tc>
          <w:tcPr>
            <w:tcW w:type="dxa" w:w="2835"/>
            <w:vAlign w:val="center"/>
            <w:shd w:val="clear" w:color="auto" w:fill="1E3A8A"/>
          </w:tcPr>
          <w:p>
            <w:pPr>
              <w:jc w:val="center"/>
            </w:pPr>
            <w:r>
              <w:rPr>
                <w:rFonts w:ascii="Calibri" w:hAnsi="Calibri"/>
                <w:b/>
                <w:i w:val="0"/>
                <w:color w:val="FFFFFF"/>
                <w:sz w:val="20"/>
              </w:rPr>
              <w:t>Retour</w:t>
            </w:r>
          </w:p>
        </w:tc>
      </w:tr>
      <w:tr>
        <w:tc>
          <w:tcPr>
            <w:tcW w:type="dxa" w:w="2268"/>
            <w:vAlign w:val="center"/>
            <w:shd w:val="clear" w:color="auto" w:fill="EFF6FF"/>
          </w:tcPr>
          <w:p>
            <w:pPr>
              <w:jc w:val="center"/>
            </w:pPr>
            <w:r>
              <w:rPr>
                <w:rFonts w:ascii="Calibri" w:hAnsi="Calibri"/>
                <w:b w:val="0"/>
                <w:i w:val="0"/>
                <w:sz w:val="20"/>
              </w:rPr>
              <w:t>/api/predict</w:t>
            </w:r>
          </w:p>
        </w:tc>
        <w:tc>
          <w:tcPr>
            <w:tcW w:type="dxa" w:w="1417"/>
            <w:vAlign w:val="center"/>
            <w:shd w:val="clear" w:color="auto" w:fill="EFF6FF"/>
          </w:tcPr>
          <w:p>
            <w:pPr>
              <w:jc w:val="center"/>
            </w:pPr>
            <w:r>
              <w:rPr>
                <w:rFonts w:ascii="Calibri" w:hAnsi="Calibri"/>
                <w:b w:val="0"/>
                <w:i w:val="0"/>
                <w:sz w:val="20"/>
              </w:rPr>
              <w:t>POST / GET</w:t>
            </w:r>
          </w:p>
        </w:tc>
        <w:tc>
          <w:tcPr>
            <w:tcW w:type="dxa" w:w="3118"/>
            <w:vAlign w:val="center"/>
            <w:shd w:val="clear" w:color="auto" w:fill="EFF6FF"/>
          </w:tcPr>
          <w:p>
            <w:pPr>
              <w:jc w:val="center"/>
            </w:pPr>
            <w:r>
              <w:rPr>
                <w:rFonts w:ascii="Calibri" w:hAnsi="Calibri"/>
                <w:b w:val="0"/>
                <w:i w:val="0"/>
                <w:sz w:val="20"/>
              </w:rPr>
              <w:t>region, trimestre, year, prix (optionnel)</w:t>
            </w:r>
          </w:p>
        </w:tc>
        <w:tc>
          <w:tcPr>
            <w:tcW w:type="dxa" w:w="2835"/>
            <w:vAlign w:val="center"/>
            <w:shd w:val="clear" w:color="auto" w:fill="EFF6FF"/>
          </w:tcPr>
          <w:p>
            <w:pPr>
              <w:jc w:val="center"/>
            </w:pPr>
            <w:r>
              <w:rPr>
                <w:rFonts w:ascii="Calibri" w:hAnsi="Calibri"/>
                <w:b w:val="0"/>
                <w:i w:val="0"/>
                <w:sz w:val="20"/>
              </w:rPr>
              <w:t>Prédiction + recommandation + confiance</w:t>
            </w:r>
          </w:p>
        </w:tc>
      </w:tr>
      <w:tr>
        <w:tc>
          <w:tcPr>
            <w:tcW w:type="dxa" w:w="2268"/>
            <w:vAlign w:val="center"/>
            <w:shd w:val="clear" w:color="auto" w:fill="FFFFFF"/>
          </w:tcPr>
          <w:p>
            <w:pPr>
              <w:jc w:val="center"/>
            </w:pPr>
            <w:r>
              <w:rPr>
                <w:rFonts w:ascii="Calibri" w:hAnsi="Calibri"/>
                <w:b w:val="0"/>
                <w:i w:val="0"/>
                <w:sz w:val="20"/>
              </w:rPr>
              <w:t>/api/batch-predict</w:t>
            </w:r>
          </w:p>
        </w:tc>
        <w:tc>
          <w:tcPr>
            <w:tcW w:type="dxa" w:w="1417"/>
            <w:vAlign w:val="center"/>
            <w:shd w:val="clear" w:color="auto" w:fill="FFFFFF"/>
          </w:tcPr>
          <w:p>
            <w:pPr>
              <w:jc w:val="center"/>
            </w:pPr>
            <w:r>
              <w:rPr>
                <w:rFonts w:ascii="Calibri" w:hAnsi="Calibri"/>
                <w:b w:val="0"/>
                <w:i w:val="0"/>
                <w:sz w:val="20"/>
              </w:rPr>
              <w:t>POST</w:t>
            </w:r>
          </w:p>
        </w:tc>
        <w:tc>
          <w:tcPr>
            <w:tcW w:type="dxa" w:w="3118"/>
            <w:vAlign w:val="center"/>
            <w:shd w:val="clear" w:color="auto" w:fill="FFFFFF"/>
          </w:tcPr>
          <w:p>
            <w:pPr>
              <w:jc w:val="center"/>
            </w:pPr>
            <w:r>
              <w:rPr>
                <w:rFonts w:ascii="Calibri" w:hAnsi="Calibri"/>
                <w:b w:val="0"/>
                <w:i w:val="0"/>
                <w:sz w:val="20"/>
              </w:rPr>
              <w:t>regions[], trimestre, year</w:t>
            </w:r>
          </w:p>
        </w:tc>
        <w:tc>
          <w:tcPr>
            <w:tcW w:type="dxa" w:w="2835"/>
            <w:vAlign w:val="center"/>
            <w:shd w:val="clear" w:color="auto" w:fill="FFFFFF"/>
          </w:tcPr>
          <w:p>
            <w:pPr>
              <w:jc w:val="center"/>
            </w:pPr>
            <w:r>
              <w:rPr>
                <w:rFonts w:ascii="Calibri" w:hAnsi="Calibri"/>
                <w:b w:val="0"/>
                <w:i w:val="0"/>
                <w:sz w:val="20"/>
              </w:rPr>
              <w:t>Prédictions pour plusieurs régions</w:t>
            </w:r>
          </w:p>
        </w:tc>
      </w:tr>
      <w:tr>
        <w:tc>
          <w:tcPr>
            <w:tcW w:type="dxa" w:w="2268"/>
            <w:vAlign w:val="center"/>
            <w:shd w:val="clear" w:color="auto" w:fill="EFF6FF"/>
          </w:tcPr>
          <w:p>
            <w:pPr>
              <w:jc w:val="center"/>
            </w:pPr>
            <w:r>
              <w:rPr>
                <w:rFonts w:ascii="Calibri" w:hAnsi="Calibri"/>
                <w:b w:val="0"/>
                <w:i w:val="0"/>
                <w:sz w:val="20"/>
              </w:rPr>
              <w:t>/api/health</w:t>
            </w:r>
          </w:p>
        </w:tc>
        <w:tc>
          <w:tcPr>
            <w:tcW w:type="dxa" w:w="1417"/>
            <w:vAlign w:val="center"/>
            <w:shd w:val="clear" w:color="auto" w:fill="EFF6FF"/>
          </w:tcPr>
          <w:p>
            <w:pPr>
              <w:jc w:val="center"/>
            </w:pPr>
            <w:r>
              <w:rPr>
                <w:rFonts w:ascii="Calibri" w:hAnsi="Calibri"/>
                <w:b w:val="0"/>
                <w:i w:val="0"/>
                <w:sz w:val="20"/>
              </w:rPr>
              <w:t>GET</w:t>
            </w:r>
          </w:p>
        </w:tc>
        <w:tc>
          <w:tcPr>
            <w:tcW w:type="dxa" w:w="3118"/>
            <w:vAlign w:val="center"/>
            <w:shd w:val="clear" w:color="auto" w:fill="EFF6FF"/>
          </w:tcPr>
          <w:p>
            <w:pPr>
              <w:jc w:val="center"/>
            </w:pPr>
            <w:r>
              <w:rPr>
                <w:rFonts w:ascii="Calibri" w:hAnsi="Calibri"/>
                <w:b w:val="0"/>
                <w:i w:val="0"/>
                <w:sz w:val="20"/>
              </w:rPr>
              <w:t>—</w:t>
            </w:r>
          </w:p>
        </w:tc>
        <w:tc>
          <w:tcPr>
            <w:tcW w:type="dxa" w:w="2835"/>
            <w:vAlign w:val="center"/>
            <w:shd w:val="clear" w:color="auto" w:fill="EFF6FF"/>
          </w:tcPr>
          <w:p>
            <w:pPr>
              <w:jc w:val="center"/>
            </w:pPr>
            <w:r>
              <w:rPr>
                <w:rFonts w:ascii="Calibri" w:hAnsi="Calibri"/>
                <w:b w:val="0"/>
                <w:i w:val="0"/>
                <w:sz w:val="20"/>
              </w:rPr>
              <w:t>Statut du service et du modèle</w:t>
            </w:r>
          </w:p>
        </w:tc>
      </w:tr>
      <w:tr>
        <w:tc>
          <w:tcPr>
            <w:tcW w:type="dxa" w:w="2268"/>
            <w:vAlign w:val="center"/>
            <w:shd w:val="clear" w:color="auto" w:fill="FFFFFF"/>
          </w:tcPr>
          <w:p>
            <w:pPr>
              <w:jc w:val="center"/>
            </w:pPr>
            <w:r>
              <w:rPr>
                <w:rFonts w:ascii="Calibri" w:hAnsi="Calibri"/>
                <w:b w:val="0"/>
                <w:i w:val="0"/>
                <w:sz w:val="20"/>
              </w:rPr>
              <w:t>/api/regions</w:t>
            </w:r>
          </w:p>
        </w:tc>
        <w:tc>
          <w:tcPr>
            <w:tcW w:type="dxa" w:w="1417"/>
            <w:vAlign w:val="center"/>
            <w:shd w:val="clear" w:color="auto" w:fill="FFFFFF"/>
          </w:tcPr>
          <w:p>
            <w:pPr>
              <w:jc w:val="center"/>
            </w:pPr>
            <w:r>
              <w:rPr>
                <w:rFonts w:ascii="Calibri" w:hAnsi="Calibri"/>
                <w:b w:val="0"/>
                <w:i w:val="0"/>
                <w:sz w:val="20"/>
              </w:rPr>
              <w:t>GET</w:t>
            </w:r>
          </w:p>
        </w:tc>
        <w:tc>
          <w:tcPr>
            <w:tcW w:type="dxa" w:w="3118"/>
            <w:vAlign w:val="center"/>
            <w:shd w:val="clear" w:color="auto" w:fill="FFFFFF"/>
          </w:tcPr>
          <w:p>
            <w:pPr>
              <w:jc w:val="center"/>
            </w:pPr>
            <w:r>
              <w:rPr>
                <w:rFonts w:ascii="Calibri" w:hAnsi="Calibri"/>
                <w:b w:val="0"/>
                <w:i w:val="0"/>
                <w:sz w:val="20"/>
              </w:rPr>
              <w:t>—</w:t>
            </w:r>
          </w:p>
        </w:tc>
        <w:tc>
          <w:tcPr>
            <w:tcW w:type="dxa" w:w="2835"/>
            <w:vAlign w:val="center"/>
            <w:shd w:val="clear" w:color="auto" w:fill="FFFFFF"/>
          </w:tcPr>
          <w:p>
            <w:pPr>
              <w:jc w:val="center"/>
            </w:pPr>
            <w:r>
              <w:rPr>
                <w:rFonts w:ascii="Calibri" w:hAnsi="Calibri"/>
                <w:b w:val="0"/>
                <w:i w:val="0"/>
                <w:sz w:val="20"/>
              </w:rPr>
              <w:t>Liste des 24 régions valides</w:t>
            </w:r>
          </w:p>
        </w:tc>
      </w:tr>
      <w:tr>
        <w:tc>
          <w:tcPr>
            <w:tcW w:type="dxa" w:w="2268"/>
            <w:vAlign w:val="center"/>
            <w:shd w:val="clear" w:color="auto" w:fill="EFF6FF"/>
          </w:tcPr>
          <w:p>
            <w:pPr>
              <w:jc w:val="center"/>
            </w:pPr>
            <w:r>
              <w:rPr>
                <w:rFonts w:ascii="Calibri" w:hAnsi="Calibri"/>
                <w:b w:val="0"/>
                <w:i w:val="0"/>
                <w:sz w:val="20"/>
              </w:rPr>
              <w:t>/api/stats</w:t>
            </w:r>
          </w:p>
        </w:tc>
        <w:tc>
          <w:tcPr>
            <w:tcW w:type="dxa" w:w="1417"/>
            <w:vAlign w:val="center"/>
            <w:shd w:val="clear" w:color="auto" w:fill="EFF6FF"/>
          </w:tcPr>
          <w:p>
            <w:pPr>
              <w:jc w:val="center"/>
            </w:pPr>
            <w:r>
              <w:rPr>
                <w:rFonts w:ascii="Calibri" w:hAnsi="Calibri"/>
                <w:b w:val="0"/>
                <w:i w:val="0"/>
                <w:sz w:val="20"/>
              </w:rPr>
              <w:t>GET</w:t>
            </w:r>
          </w:p>
        </w:tc>
        <w:tc>
          <w:tcPr>
            <w:tcW w:type="dxa" w:w="3118"/>
            <w:vAlign w:val="center"/>
            <w:shd w:val="clear" w:color="auto" w:fill="EFF6FF"/>
          </w:tcPr>
          <w:p>
            <w:pPr>
              <w:jc w:val="center"/>
            </w:pPr>
            <w:r>
              <w:rPr>
                <w:rFonts w:ascii="Calibri" w:hAnsi="Calibri"/>
                <w:b w:val="0"/>
                <w:i w:val="0"/>
                <w:sz w:val="20"/>
              </w:rPr>
              <w:t>—</w:t>
            </w:r>
          </w:p>
        </w:tc>
        <w:tc>
          <w:tcPr>
            <w:tcW w:type="dxa" w:w="2835"/>
            <w:vAlign w:val="center"/>
            <w:shd w:val="clear" w:color="auto" w:fill="EFF6FF"/>
          </w:tcPr>
          <w:p>
            <w:pPr>
              <w:jc w:val="center"/>
            </w:pPr>
            <w:r>
              <w:rPr>
                <w:rFonts w:ascii="Calibri" w:hAnsi="Calibri"/>
                <w:b w:val="0"/>
                <w:i w:val="0"/>
                <w:sz w:val="20"/>
              </w:rPr>
              <w:t>Métriques du modèle en production</w:t>
            </w:r>
          </w:p>
        </w:tc>
      </w:tr>
    </w:tbl>
    <w:p/>
    <w:p>
      <w:pPr>
        <w:pStyle w:val="Heading3"/>
        <w:spacing w:before="200"/>
      </w:pPr>
      <w:r>
        <w:rPr>
          <w:rFonts w:ascii="Calibri" w:hAnsi="Calibri"/>
          <w:color w:val="376BB5"/>
        </w:rPr>
        <w:t>Exemple de réponse API</w:t>
      </w:r>
    </w:p>
    <w:p>
      <w:pPr>
        <w:spacing w:before="80" w:after="80"/>
        <w:ind w:left="850" w:right="567"/>
        <w:shd w:val="clear" w:color="auto" w:fill="F0F4F8"/>
      </w:pPr>
      <w:r>
        <w:rPr>
          <w:rFonts w:ascii="Courier New" w:hAnsi="Courier New"/>
          <w:color w:val="1E3A8A"/>
          <w:sz w:val="18"/>
        </w:rPr>
        <w:t>{</w:t>
        <w:br/>
        <w:t xml:space="preserve">  "success": true,</w:t>
        <w:br/>
        <w:t xml:space="preserve">  "region": "SOUSSE",</w:t>
        <w:br/>
        <w:t xml:space="preserve">  "prediction": "HAUSSE",</w:t>
        <w:br/>
        <w:t xml:space="preserve">  "confiance": 51.9,</w:t>
        <w:br/>
        <w:t xml:space="preserve">  "recommandation": "AUGMENTER",</w:t>
        <w:br/>
        <w:t xml:space="preserve">  "probabilite_hausse": 51.9,</w:t>
        <w:br/>
        <w:t xml:space="preserve">  "probabilite_baisse": 48.1,</w:t>
        <w:br/>
        <w:t xml:space="preserve">  "variation_estimee": "+5.9%",</w:t>
        <w:br/>
        <w:t xml:space="preserve">  "model_version": "1.4",</w:t>
        <w:br/>
        <w:t xml:space="preserve">  "model_accuracy": 0.7294</w:t>
        <w:br/>
        <w:t>}</w:t>
      </w:r>
    </w:p>
    <w:p>
      <w:pPr>
        <w:pStyle w:val="Heading2"/>
        <w:spacing w:before="280" w:after="80"/>
      </w:pPr>
      <w:r>
        <w:rPr>
          <w:rFonts w:ascii="Calibri" w:hAnsi="Calibri"/>
          <w:color w:val="1D4ED8"/>
        </w:rPr>
        <w:t>7.2 L'auto-retraining sécurisé</w:t>
      </w:r>
    </w:p>
    <w:p>
      <w:pPr>
        <w:spacing w:after="80"/>
      </w:pPr>
      <w:r>
        <w:rPr>
          <w:rFonts w:ascii="Calibri" w:hAnsi="Calibri"/>
          <w:b w:val="0"/>
          <w:i w:val="0"/>
          <w:sz w:val="22"/>
        </w:rPr>
        <w:t>Le pipeline de réentraînement automatique garantit que le modèle reste à jour :</w:t>
      </w:r>
    </w:p>
    <w:p>
      <w:pPr>
        <w:spacing w:before="80" w:after="80"/>
        <w:ind w:left="850" w:right="567"/>
        <w:shd w:val="clear" w:color="auto" w:fill="F0F4F8"/>
      </w:pPr>
      <w:r>
        <w:rPr>
          <w:rFonts w:ascii="Courier New" w:hAnsi="Courier New"/>
          <w:color w:val="1E3A8A"/>
          <w:sz w:val="18"/>
        </w:rPr>
        <w:t>auto_retrain.py</w:t>
        <w:br/>
        <w:t xml:space="preserve">  ├─ [0] Quality Gate → mesure couverture ERP (data_quality.py)</w:t>
        <w:br/>
        <w:t xml:space="preserve">  ├─ [1] Backup du modèle actuel (model_backup/ avec horodatage)</w:t>
        <w:br/>
        <w:t xml:space="preserve">  ├─ [2] Réentraînement via notebook (nbconvert, timeout 600s)</w:t>
        <w:br/>
        <w:t xml:space="preserve">  ├─ [3] Comparaison F1 nouveau vs ancien</w:t>
        <w:br/>
        <w:t xml:space="preserve">  └─ [4] Adoption si F1 ≥ actuel / Restauration si F1 &lt; actuel</w:t>
      </w:r>
    </w:p>
    <w:p>
      <w:pPr>
        <w:spacing w:before="120" w:after="120"/>
        <w:ind w:left="567" w:right="567"/>
        <w:shd w:val="clear" w:color="auto" w:fill="DCFCE7"/>
      </w:pPr>
      <w:r>
        <w:rPr>
          <w:rFonts w:ascii="Calibri" w:hAnsi="Calibri"/>
          <w:b w:val="0"/>
          <w:i w:val="0"/>
          <w:color w:val="166534"/>
          <w:sz w:val="20"/>
        </w:rPr>
        <w:t>✅  Aucune dégradation de performance n'est possible en production : si le nouveau modèle est moins bon, l'ancien est automatiquement restauré.</w:t>
      </w:r>
    </w:p>
    <w:p>
      <w:pPr>
        <w:pStyle w:val="Heading2"/>
        <w:spacing w:before="280" w:after="80"/>
      </w:pPr>
      <w:r>
        <w:rPr>
          <w:rFonts w:ascii="Calibri" w:hAnsi="Calibri"/>
          <w:color w:val="1D4ED8"/>
        </w:rPr>
        <w:t>7.3 Le Quality Gate adaptatif</w:t>
      </w:r>
    </w:p>
    <w:p>
      <w:pPr>
        <w:spacing w:after="80"/>
      </w:pPr>
      <w:r>
        <w:rPr>
          <w:rFonts w:ascii="Calibri" w:hAnsi="Calibri"/>
          <w:b w:val="0"/>
          <w:i w:val="0"/>
          <w:sz w:val="22"/>
        </w:rPr>
        <w:t>Avant chaque réentraînement, le module data_quality.py mesure la couverture géographique réelle de l'ERP depuis 3 sources :</w:t>
      </w:r>
    </w:p>
    <w:p>
      <w:pPr>
        <w:pStyle w:val="ListBullet"/>
        <w:spacing w:after="40"/>
        <w:ind w:left="850"/>
      </w:pPr>
      <w:r>
        <w:rPr>
          <w:rFonts w:ascii="Calibri" w:hAnsi="Calibri"/>
          <w:b w:val="0"/>
          <w:i w:val="0"/>
          <w:sz w:val="22"/>
        </w:rPr>
        <w:t>TabBcvd → TabBcvm → TabTiers.Ville (transactions directes)</w:t>
      </w:r>
    </w:p>
    <w:p>
      <w:pPr>
        <w:pStyle w:val="ListBullet"/>
        <w:spacing w:after="40"/>
        <w:ind w:left="850"/>
      </w:pPr>
      <w:r>
        <w:rPr>
          <w:rFonts w:ascii="Calibri" w:hAnsi="Calibri"/>
          <w:b w:val="0"/>
          <w:i w:val="0"/>
          <w:sz w:val="22"/>
        </w:rPr>
        <w:t>TabBlvm → TabTiers.Ville (factures — meilleure couverture : 11.5%)</w:t>
      </w:r>
    </w:p>
    <w:p>
      <w:pPr>
        <w:pStyle w:val="ListBullet"/>
        <w:spacing w:after="40"/>
        <w:ind w:left="850"/>
      </w:pPr>
      <w:r>
        <w:rPr>
          <w:rFonts w:ascii="Calibri" w:hAnsi="Calibri"/>
          <w:b w:val="0"/>
          <w:i w:val="0"/>
          <w:sz w:val="22"/>
        </w:rPr>
        <w:t>TabTiers.gouvernorat (codes non-défaut, actuellement 0%)</w:t>
      </w:r>
    </w:p>
    <w:p>
      <w:pPr>
        <w:spacing w:before="80" w:after="80"/>
        <w:ind w:left="850" w:right="567"/>
        <w:shd w:val="clear" w:color="auto" w:fill="F0F4F8"/>
      </w:pPr>
      <w:r>
        <w:rPr>
          <w:rFonts w:ascii="Courier New" w:hAnsi="Courier New"/>
          <w:color w:val="1E3A8A"/>
          <w:sz w:val="18"/>
        </w:rPr>
        <w:t>Score actuel  : 11.5% (couverture TabBlvm)</w:t>
        <w:br/>
        <w:t>Seuil configuré : 50%</w:t>
        <w:br/>
        <w:t>Décision      : Augmentation ACTIVE (11.5% &lt; 50%)</w:t>
        <w:br/>
        <w:br/>
        <w:t>Demain si ERP amélioré ≥ 50% → Augmentation DESACTIVEE automatiquement</w:t>
      </w:r>
    </w:p>
    <w:p>
      <w:pPr>
        <w:pStyle w:val="Heading2"/>
        <w:spacing w:before="280" w:after="80"/>
      </w:pPr>
      <w:r>
        <w:rPr>
          <w:rFonts w:ascii="Calibri" w:hAnsi="Calibri"/>
          <w:color w:val="1D4ED8"/>
        </w:rPr>
        <w:t>7.4 Versioning des modèles</w:t>
      </w:r>
    </w:p>
    <w:tbl>
      <w:tblPr>
        <w:tblStyle w:val="TableGrid"/>
        <w:tblW w:type="auto" w:w="0"/>
        <w:jc w:val="center"/>
        <w:tblLook w:firstColumn="1" w:firstRow="1" w:lastColumn="0" w:lastRow="0" w:noHBand="0" w:noVBand="1" w:val="04A0"/>
      </w:tblPr>
      <w:tblGrid>
        <w:gridCol w:w="3041"/>
        <w:gridCol w:w="3041"/>
        <w:gridCol w:w="3041"/>
      </w:tblGrid>
      <w:tr>
        <w:tc>
          <w:tcPr>
            <w:tcW w:type="dxa" w:w="2268"/>
            <w:vAlign w:val="center"/>
            <w:shd w:val="clear" w:color="auto" w:fill="1E3A8A"/>
          </w:tcPr>
          <w:p>
            <w:pPr>
              <w:jc w:val="center"/>
            </w:pPr>
            <w:r>
              <w:rPr>
                <w:rFonts w:ascii="Calibri" w:hAnsi="Calibri"/>
                <w:b/>
                <w:i w:val="0"/>
                <w:color w:val="FFFFFF"/>
                <w:sz w:val="20"/>
              </w:rPr>
              <w:t>Artefact</w:t>
            </w:r>
          </w:p>
        </w:tc>
        <w:tc>
          <w:tcPr>
            <w:tcW w:type="dxa" w:w="3118"/>
            <w:vAlign w:val="center"/>
            <w:shd w:val="clear" w:color="auto" w:fill="1E3A8A"/>
          </w:tcPr>
          <w:p>
            <w:pPr>
              <w:jc w:val="center"/>
            </w:pPr>
            <w:r>
              <w:rPr>
                <w:rFonts w:ascii="Calibri" w:hAnsi="Calibri"/>
                <w:b/>
                <w:i w:val="0"/>
                <w:color w:val="FFFFFF"/>
                <w:sz w:val="20"/>
              </w:rPr>
              <w:t>Fichier</w:t>
            </w:r>
          </w:p>
        </w:tc>
        <w:tc>
          <w:tcPr>
            <w:tcW w:type="dxa" w:w="4252"/>
            <w:vAlign w:val="center"/>
            <w:shd w:val="clear" w:color="auto" w:fill="1E3A8A"/>
          </w:tcPr>
          <w:p>
            <w:pPr>
              <w:jc w:val="center"/>
            </w:pPr>
            <w:r>
              <w:rPr>
                <w:rFonts w:ascii="Calibri" w:hAnsi="Calibri"/>
                <w:b/>
                <w:i w:val="0"/>
                <w:color w:val="FFFFFF"/>
                <w:sz w:val="20"/>
              </w:rPr>
              <w:t>Contenu</w:t>
            </w:r>
          </w:p>
        </w:tc>
      </w:tr>
      <w:tr>
        <w:tc>
          <w:tcPr>
            <w:tcW w:type="dxa" w:w="2268"/>
            <w:vAlign w:val="center"/>
            <w:shd w:val="clear" w:color="auto" w:fill="EFF6FF"/>
          </w:tcPr>
          <w:p>
            <w:pPr>
              <w:jc w:val="center"/>
            </w:pPr>
            <w:r>
              <w:rPr>
                <w:rFonts w:ascii="Calibri" w:hAnsi="Calibri"/>
                <w:b w:val="0"/>
                <w:i w:val="0"/>
                <w:sz w:val="20"/>
              </w:rPr>
              <w:t>Modèle ML</w:t>
            </w:r>
          </w:p>
        </w:tc>
        <w:tc>
          <w:tcPr>
            <w:tcW w:type="dxa" w:w="3118"/>
            <w:vAlign w:val="center"/>
            <w:shd w:val="clear" w:color="auto" w:fill="EFF6FF"/>
          </w:tcPr>
          <w:p>
            <w:pPr>
              <w:jc w:val="center"/>
            </w:pPr>
            <w:r>
              <w:rPr>
                <w:rFonts w:ascii="Calibri" w:hAnsi="Calibri"/>
                <w:b w:val="0"/>
                <w:i w:val="0"/>
                <w:sz w:val="20"/>
              </w:rPr>
              <w:t>predict_ventes_regions_v1.4.pkl</w:t>
            </w:r>
          </w:p>
        </w:tc>
        <w:tc>
          <w:tcPr>
            <w:tcW w:type="dxa" w:w="4252"/>
            <w:vAlign w:val="center"/>
            <w:shd w:val="clear" w:color="auto" w:fill="EFF6FF"/>
          </w:tcPr>
          <w:p>
            <w:pPr>
              <w:jc w:val="center"/>
            </w:pPr>
            <w:r>
              <w:rPr>
                <w:rFonts w:ascii="Calibri" w:hAnsi="Calibri"/>
                <w:b w:val="0"/>
                <w:i w:val="0"/>
                <w:sz w:val="20"/>
              </w:rPr>
              <w:t>VotingClassifier optimisé (joblib)</w:t>
            </w:r>
          </w:p>
        </w:tc>
      </w:tr>
      <w:tr>
        <w:tc>
          <w:tcPr>
            <w:tcW w:type="dxa" w:w="2268"/>
            <w:vAlign w:val="center"/>
            <w:shd w:val="clear" w:color="auto" w:fill="FFFFFF"/>
          </w:tcPr>
          <w:p>
            <w:pPr>
              <w:jc w:val="center"/>
            </w:pPr>
            <w:r>
              <w:rPr>
                <w:rFonts w:ascii="Calibri" w:hAnsi="Calibri"/>
                <w:b w:val="0"/>
                <w:i w:val="0"/>
                <w:sz w:val="20"/>
              </w:rPr>
              <w:t>Scaler</w:t>
            </w:r>
          </w:p>
        </w:tc>
        <w:tc>
          <w:tcPr>
            <w:tcW w:type="dxa" w:w="3118"/>
            <w:vAlign w:val="center"/>
            <w:shd w:val="clear" w:color="auto" w:fill="FFFFFF"/>
          </w:tcPr>
          <w:p>
            <w:pPr>
              <w:jc w:val="center"/>
            </w:pPr>
            <w:r>
              <w:rPr>
                <w:rFonts w:ascii="Calibri" w:hAnsi="Calibri"/>
                <w:b w:val="0"/>
                <w:i w:val="0"/>
                <w:sz w:val="20"/>
              </w:rPr>
              <w:t>scaler.pkl</w:t>
            </w:r>
          </w:p>
        </w:tc>
        <w:tc>
          <w:tcPr>
            <w:tcW w:type="dxa" w:w="4252"/>
            <w:vAlign w:val="center"/>
            <w:shd w:val="clear" w:color="auto" w:fill="FFFFFF"/>
          </w:tcPr>
          <w:p>
            <w:pPr>
              <w:jc w:val="center"/>
            </w:pPr>
            <w:r>
              <w:rPr>
                <w:rFonts w:ascii="Calibri" w:hAnsi="Calibri"/>
                <w:b w:val="0"/>
                <w:i w:val="0"/>
                <w:sz w:val="20"/>
              </w:rPr>
              <w:t>StandardScaler (8 features)</w:t>
            </w:r>
          </w:p>
        </w:tc>
      </w:tr>
      <w:tr>
        <w:tc>
          <w:tcPr>
            <w:tcW w:type="dxa" w:w="2268"/>
            <w:vAlign w:val="center"/>
            <w:shd w:val="clear" w:color="auto" w:fill="EFF6FF"/>
          </w:tcPr>
          <w:p>
            <w:pPr>
              <w:jc w:val="center"/>
            </w:pPr>
            <w:r>
              <w:rPr>
                <w:rFonts w:ascii="Calibri" w:hAnsi="Calibri"/>
                <w:b w:val="0"/>
                <w:i w:val="0"/>
                <w:sz w:val="20"/>
              </w:rPr>
              <w:t>Métadonnées</w:t>
            </w:r>
          </w:p>
        </w:tc>
        <w:tc>
          <w:tcPr>
            <w:tcW w:type="dxa" w:w="3118"/>
            <w:vAlign w:val="center"/>
            <w:shd w:val="clear" w:color="auto" w:fill="EFF6FF"/>
          </w:tcPr>
          <w:p>
            <w:pPr>
              <w:jc w:val="center"/>
            </w:pPr>
            <w:r>
              <w:rPr>
                <w:rFonts w:ascii="Calibri" w:hAnsi="Calibri"/>
                <w:b w:val="0"/>
                <w:i w:val="0"/>
                <w:sz w:val="20"/>
              </w:rPr>
              <w:t>metadata_v1.4.json</w:t>
            </w:r>
          </w:p>
        </w:tc>
        <w:tc>
          <w:tcPr>
            <w:tcW w:type="dxa" w:w="4252"/>
            <w:vAlign w:val="center"/>
            <w:shd w:val="clear" w:color="auto" w:fill="EFF6FF"/>
          </w:tcPr>
          <w:p>
            <w:pPr>
              <w:jc w:val="center"/>
            </w:pPr>
            <w:r>
              <w:rPr>
                <w:rFonts w:ascii="Calibri" w:hAnsi="Calibri"/>
                <w:b w:val="0"/>
                <w:i w:val="0"/>
                <w:sz w:val="20"/>
              </w:rPr>
              <w:t>Métriques, features, date, version</w:t>
            </w:r>
          </w:p>
        </w:tc>
      </w:tr>
      <w:tr>
        <w:tc>
          <w:tcPr>
            <w:tcW w:type="dxa" w:w="2268"/>
            <w:vAlign w:val="center"/>
            <w:shd w:val="clear" w:color="auto" w:fill="FFFFFF"/>
          </w:tcPr>
          <w:p>
            <w:pPr>
              <w:jc w:val="center"/>
            </w:pPr>
            <w:r>
              <w:rPr>
                <w:rFonts w:ascii="Calibri" w:hAnsi="Calibri"/>
                <w:b w:val="0"/>
                <w:i w:val="0"/>
                <w:sz w:val="20"/>
              </w:rPr>
              <w:t>Recommandations</w:t>
            </w:r>
          </w:p>
        </w:tc>
        <w:tc>
          <w:tcPr>
            <w:tcW w:type="dxa" w:w="3118"/>
            <w:vAlign w:val="center"/>
            <w:shd w:val="clear" w:color="auto" w:fill="FFFFFF"/>
          </w:tcPr>
          <w:p>
            <w:pPr>
              <w:jc w:val="center"/>
            </w:pPr>
            <w:r>
              <w:rPr>
                <w:rFonts w:ascii="Calibri" w:hAnsi="Calibri"/>
                <w:b w:val="0"/>
                <w:i w:val="0"/>
                <w:sz w:val="20"/>
              </w:rPr>
              <w:t>regional_recommendations.json</w:t>
            </w:r>
          </w:p>
        </w:tc>
        <w:tc>
          <w:tcPr>
            <w:tcW w:type="dxa" w:w="4252"/>
            <w:vAlign w:val="center"/>
            <w:shd w:val="clear" w:color="auto" w:fill="FFFFFF"/>
          </w:tcPr>
          <w:p>
            <w:pPr>
              <w:jc w:val="center"/>
            </w:pPr>
            <w:r>
              <w:rPr>
                <w:rFonts w:ascii="Calibri" w:hAnsi="Calibri"/>
                <w:b w:val="0"/>
                <w:i w:val="0"/>
                <w:sz w:val="20"/>
              </w:rPr>
              <w:t>Cache des 24 recommandations</w:t>
            </w:r>
          </w:p>
        </w:tc>
      </w:tr>
      <w:tr>
        <w:tc>
          <w:tcPr>
            <w:tcW w:type="dxa" w:w="2268"/>
            <w:vAlign w:val="center"/>
            <w:shd w:val="clear" w:color="auto" w:fill="EFF6FF"/>
          </w:tcPr>
          <w:p>
            <w:pPr>
              <w:jc w:val="center"/>
            </w:pPr>
            <w:r>
              <w:rPr>
                <w:rFonts w:ascii="Calibri" w:hAnsi="Calibri"/>
                <w:b w:val="0"/>
                <w:i w:val="0"/>
                <w:sz w:val="20"/>
              </w:rPr>
              <w:t>Historique qualité</w:t>
            </w:r>
          </w:p>
        </w:tc>
        <w:tc>
          <w:tcPr>
            <w:tcW w:type="dxa" w:w="3118"/>
            <w:vAlign w:val="center"/>
            <w:shd w:val="clear" w:color="auto" w:fill="EFF6FF"/>
          </w:tcPr>
          <w:p>
            <w:pPr>
              <w:jc w:val="center"/>
            </w:pPr>
            <w:r>
              <w:rPr>
                <w:rFonts w:ascii="Calibri" w:hAnsi="Calibri"/>
                <w:b w:val="0"/>
                <w:i w:val="0"/>
                <w:sz w:val="20"/>
              </w:rPr>
              <w:t>data_quality_history.json</w:t>
            </w:r>
          </w:p>
        </w:tc>
        <w:tc>
          <w:tcPr>
            <w:tcW w:type="dxa" w:w="4252"/>
            <w:vAlign w:val="center"/>
            <w:shd w:val="clear" w:color="auto" w:fill="EFF6FF"/>
          </w:tcPr>
          <w:p>
            <w:pPr>
              <w:jc w:val="center"/>
            </w:pPr>
            <w:r>
              <w:rPr>
                <w:rFonts w:ascii="Calibri" w:hAnsi="Calibri"/>
                <w:b w:val="0"/>
                <w:i w:val="0"/>
                <w:sz w:val="20"/>
              </w:rPr>
              <w:t>Traçabilité MLOps de la couverture ERP</w:t>
            </w:r>
          </w:p>
        </w:tc>
      </w:tr>
      <w:tr>
        <w:tc>
          <w:tcPr>
            <w:tcW w:type="dxa" w:w="2268"/>
            <w:vAlign w:val="center"/>
            <w:shd w:val="clear" w:color="auto" w:fill="FFFFFF"/>
          </w:tcPr>
          <w:p>
            <w:pPr>
              <w:jc w:val="center"/>
            </w:pPr>
            <w:r>
              <w:rPr>
                <w:rFonts w:ascii="Calibri" w:hAnsi="Calibri"/>
                <w:b w:val="0"/>
                <w:i w:val="0"/>
                <w:sz w:val="20"/>
              </w:rPr>
              <w:t>Graphiques</w:t>
            </w:r>
          </w:p>
        </w:tc>
        <w:tc>
          <w:tcPr>
            <w:tcW w:type="dxa" w:w="3118"/>
            <w:vAlign w:val="center"/>
            <w:shd w:val="clear" w:color="auto" w:fill="FFFFFF"/>
          </w:tcPr>
          <w:p>
            <w:pPr>
              <w:jc w:val="center"/>
            </w:pPr>
            <w:r>
              <w:rPr>
                <w:rFonts w:ascii="Calibri" w:hAnsi="Calibri"/>
                <w:b w:val="0"/>
                <w:i w:val="0"/>
                <w:sz w:val="20"/>
              </w:rPr>
              <w:t>11 fichiers PNG</w:t>
            </w:r>
          </w:p>
        </w:tc>
        <w:tc>
          <w:tcPr>
            <w:tcW w:type="dxa" w:w="4252"/>
            <w:vAlign w:val="center"/>
            <w:shd w:val="clear" w:color="auto" w:fill="FFFFFF"/>
          </w:tcPr>
          <w:p>
            <w:pPr>
              <w:jc w:val="center"/>
            </w:pPr>
            <w:r>
              <w:rPr>
                <w:rFonts w:ascii="Calibri" w:hAnsi="Calibri"/>
                <w:b w:val="0"/>
                <w:i w:val="0"/>
                <w:sz w:val="20"/>
              </w:rPr>
              <w:t>EDA, corrélation, ROC, PR, benchmark, etc.</w:t>
            </w:r>
          </w:p>
        </w:tc>
      </w:tr>
    </w:tbl>
    <w:p/>
    <w:p>
      <w:r>
        <w:br w:type="page"/>
      </w:r>
    </w:p>
    <w:p>
      <w:pPr>
        <w:spacing w:before="120" w:after="120"/>
        <w:ind w:left="567" w:right="567"/>
        <w:shd w:val="clear" w:color="auto" w:fill="DCFCE7"/>
      </w:pPr>
      <w:r>
        <w:rPr>
          <w:rFonts w:ascii="Calibri" w:hAnsi="Calibri"/>
          <w:b w:val="0"/>
          <w:i w:val="0"/>
          <w:color w:val="166534"/>
          <w:sz w:val="20"/>
        </w:rPr>
        <w:t>OK  Le projet est entièrement fonctionnel. Validation finale : 154/154 tests réussis, 24/24 gouvernorats couverts, API HEALTHY, Frontend actif.</w:t>
      </w:r>
    </w:p>
    <w:p>
      <w:pPr>
        <w:spacing w:before="80" w:after="80"/>
        <w:ind w:left="850" w:right="567"/>
        <w:shd w:val="clear" w:color="auto" w:fill="F0F4F8"/>
      </w:pPr>
      <w:r>
        <w:rPr>
          <w:rFonts w:ascii="Courier New" w:hAnsi="Courier New"/>
          <w:color w:val="1E3A8A"/>
          <w:sz w:val="18"/>
        </w:rPr>
        <w:t>Terminal 1 — Backend Flask ML :</w:t>
        <w:br/>
        <w:t xml:space="preserve">  cd backend/ml_service</w:t>
        <w:br/>
        <w:t xml:space="preserve">  python flask_api.py</w:t>
        <w:br/>
        <w:t xml:space="preserve">  &gt; API disponible sur http://localhost:5000</w:t>
        <w:br/>
        <w:t xml:space="preserve">  &gt; Status : HEALTHY | VotingClassifier V1.4 | 24 gouvernorats</w:t>
        <w:br/>
        <w:br/>
        <w:t>Terminal 2 — Frontend React :</w:t>
        <w:br/>
        <w:t xml:space="preserve">  cd "Agent Interface Mockup"</w:t>
        <w:br/>
        <w:t xml:space="preserve">  npm run dev -- --port 4200</w:t>
        <w:br/>
        <w:t xml:space="preserve">  &gt; Interface sur http://localhost:4200</w:t>
        <w:br/>
        <w:br/>
        <w:t>Navigation dans l'interface :</w:t>
        <w:br/>
        <w:t xml:space="preserve">  1. Connexion → role Admin</w:t>
        <w:br/>
        <w:t xml:space="preserve">  2. Menu "Gestion IA"    → predictions ML live 24 gouvernorats</w:t>
        <w:br/>
        <w:t xml:space="preserve">  3. Menu "Statistiques"  → Dashboard ML regional Top5 AUGMENTER/REDUIRE</w:t>
      </w:r>
    </w:p>
    <w:p>
      <w:pPr>
        <w:pStyle w:val="Heading2"/>
        <w:spacing w:before="280" w:after="80"/>
      </w:pPr>
      <w:r>
        <w:rPr>
          <w:rFonts w:ascii="Calibri" w:hAnsi="Calibri"/>
          <w:color w:val="1D4ED8"/>
        </w:rPr>
        <w:t>7bis.5 Comment lancer le projet complet</w:t>
      </w:r>
    </w:p>
    <w:p>
      <w:pPr>
        <w:pStyle w:val="ListBullet"/>
        <w:spacing w:after="40"/>
        <w:ind w:left="850"/>
      </w:pPr>
      <w:r>
        <w:rPr>
          <w:rFonts w:ascii="Calibri" w:hAnsi="Calibri"/>
          <w:b w:val="0"/>
          <w:i w:val="0"/>
          <w:sz w:val="22"/>
        </w:rPr>
        <w:t>CORS actif (*) → navigateur peut appeler l'API sans restriction d'origine</w:t>
      </w:r>
    </w:p>
    <w:p>
      <w:pPr>
        <w:pStyle w:val="ListBullet"/>
        <w:spacing w:after="40"/>
        <w:ind w:left="850"/>
      </w:pPr>
      <w:r>
        <w:rPr>
          <w:rFonts w:ascii="Calibri" w:hAnsi="Calibri"/>
          <w:b w:val="0"/>
          <w:i w:val="0"/>
          <w:sz w:val="22"/>
        </w:rPr>
        <w:t>Body vide {} → HTTP 400 avec message explicite (au lieu de 500)</w:t>
      </w:r>
    </w:p>
    <w:p>
      <w:pPr>
        <w:pStyle w:val="ListBullet"/>
        <w:spacing w:after="40"/>
        <w:ind w:left="850"/>
      </w:pPr>
      <w:r>
        <w:rPr>
          <w:rFonts w:ascii="Calibri" w:hAnsi="Calibri"/>
          <w:b w:val="0"/>
          <w:i w:val="0"/>
          <w:sz w:val="22"/>
        </w:rPr>
        <w:t>Prix hors plage (999 DT) → médiane d'entraînement 10.44 DT utilisée avec warning</w:t>
      </w:r>
    </w:p>
    <w:p>
      <w:pPr>
        <w:pStyle w:val="ListBullet"/>
        <w:spacing w:after="40"/>
        <w:ind w:left="850"/>
      </w:pPr>
      <w:r>
        <w:rPr>
          <w:rFonts w:ascii="Calibri" w:hAnsi="Calibri"/>
          <w:b w:val="0"/>
          <w:i w:val="0"/>
          <w:sz w:val="22"/>
        </w:rPr>
        <w:t>year: null (champ non renseigné) → défaut 2026 utilisé automatiquement</w:t>
      </w:r>
    </w:p>
    <w:p>
      <w:pPr>
        <w:pStyle w:val="ListBullet"/>
        <w:spacing w:after="40"/>
        <w:ind w:left="850"/>
      </w:pPr>
      <w:r>
        <w:rPr>
          <w:rFonts w:ascii="Calibri" w:hAnsi="Calibri"/>
          <w:b w:val="0"/>
          <w:i w:val="0"/>
          <w:sz w:val="22"/>
        </w:rPr>
        <w:t>Types JavaScript : trimestre: "3" (string envoyé par formulaire HTML) → converti en int</w:t>
      </w:r>
    </w:p>
    <w:p>
      <w:pPr>
        <w:pStyle w:val="ListBullet"/>
        <w:spacing w:after="40"/>
        <w:ind w:left="850"/>
      </w:pPr>
      <w:r>
        <w:rPr>
          <w:rFonts w:ascii="Calibri" w:hAnsi="Calibri"/>
          <w:b w:val="0"/>
          <w:i w:val="0"/>
          <w:sz w:val="22"/>
        </w:rPr>
        <w:t>Noms avec accents : Béja, Gabès, Médenine, Kébili, Le Kef → normalisés automatiquement</w:t>
      </w:r>
    </w:p>
    <w:p>
      <w:pPr>
        <w:spacing w:after="80"/>
      </w:pPr>
      <w:r>
        <w:rPr>
          <w:rFonts w:ascii="Calibri" w:hAnsi="Calibri"/>
          <w:b w:val="0"/>
          <w:i w:val="0"/>
          <w:sz w:val="22"/>
        </w:rPr>
        <w:t>Robustesse testée et validée :</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E3A8A"/>
          </w:tcPr>
          <w:p>
            <w:pPr>
              <w:jc w:val="center"/>
            </w:pPr>
            <w:r>
              <w:rPr>
                <w:rFonts w:ascii="Calibri" w:hAnsi="Calibri"/>
                <w:b/>
                <w:i w:val="0"/>
                <w:color w:val="FFFFFF"/>
                <w:sz w:val="20"/>
              </w:rPr>
              <w:t>Catégorie de tests</w:t>
            </w:r>
          </w:p>
        </w:tc>
        <w:tc>
          <w:tcPr>
            <w:tcW w:type="dxa" w:w="1417"/>
            <w:shd w:val="clear" w:color="auto" w:fill="1E3A8A"/>
          </w:tcPr>
          <w:p>
            <w:pPr>
              <w:jc w:val="center"/>
            </w:pPr>
            <w:r>
              <w:rPr>
                <w:rFonts w:ascii="Calibri" w:hAnsi="Calibri"/>
                <w:b/>
                <w:i w:val="0"/>
                <w:color w:val="FFFFFF"/>
                <w:sz w:val="20"/>
              </w:rPr>
              <w:t>Nombre</w:t>
            </w:r>
          </w:p>
        </w:tc>
        <w:tc>
          <w:tcPr>
            <w:tcW w:type="dxa" w:w="1701"/>
            <w:shd w:val="clear" w:color="auto" w:fill="1E3A8A"/>
          </w:tcPr>
          <w:p>
            <w:pPr>
              <w:jc w:val="center"/>
            </w:pPr>
            <w:r>
              <w:rPr>
                <w:rFonts w:ascii="Calibri" w:hAnsi="Calibri"/>
                <w:b/>
                <w:i w:val="0"/>
                <w:color w:val="FFFFFF"/>
                <w:sz w:val="20"/>
              </w:rPr>
              <w:t>Résultat</w:t>
            </w:r>
          </w:p>
        </w:tc>
        <w:tc>
          <w:tcPr>
            <w:tcW w:type="dxa" w:w="3969"/>
            <w:shd w:val="clear" w:color="auto" w:fill="1E3A8A"/>
          </w:tcPr>
          <w:p>
            <w:pPr>
              <w:jc w:val="center"/>
            </w:pPr>
            <w:r>
              <w:rPr>
                <w:rFonts w:ascii="Calibri" w:hAnsi="Calibri"/>
                <w:b/>
                <w:i w:val="0"/>
                <w:color w:val="FFFFFF"/>
                <w:sz w:val="20"/>
              </w:rPr>
              <w:t>Ce qui est testé</w:t>
            </w:r>
          </w:p>
        </w:tc>
      </w:tr>
      <w:tr>
        <w:tc>
          <w:tcPr>
            <w:tcW w:type="dxa" w:w="2551"/>
            <w:shd w:val="clear" w:color="auto" w:fill="EFF6FF"/>
          </w:tcPr>
          <w:p>
            <w:pPr>
              <w:jc w:val="left"/>
            </w:pPr>
            <w:r>
              <w:rPr>
                <w:rFonts w:ascii="Calibri" w:hAnsi="Calibri"/>
                <w:b w:val="0"/>
                <w:i w:val="0"/>
                <w:sz w:val="20"/>
              </w:rPr>
              <w:t>Endpoints API Flask</w:t>
            </w:r>
          </w:p>
        </w:tc>
        <w:tc>
          <w:tcPr>
            <w:tcW w:type="dxa" w:w="1417"/>
            <w:shd w:val="clear" w:color="auto" w:fill="EFF6FF"/>
          </w:tcPr>
          <w:p>
            <w:pPr>
              <w:jc w:val="left"/>
            </w:pPr>
            <w:r>
              <w:rPr>
                <w:rFonts w:ascii="Calibri" w:hAnsi="Calibri"/>
                <w:b w:val="0"/>
                <w:i w:val="0"/>
                <w:sz w:val="20"/>
              </w:rPr>
              <w:t>38</w:t>
            </w:r>
          </w:p>
        </w:tc>
        <w:tc>
          <w:tcPr>
            <w:tcW w:type="dxa" w:w="1701"/>
            <w:shd w:val="clear" w:color="auto" w:fill="EFF6FF"/>
          </w:tcPr>
          <w:p>
            <w:pPr>
              <w:jc w:val="left"/>
            </w:pPr>
            <w:r>
              <w:rPr>
                <w:rFonts w:ascii="Calibri" w:hAnsi="Calibri"/>
                <w:b w:val="0"/>
                <w:i w:val="0"/>
                <w:sz w:val="20"/>
              </w:rPr>
              <w:t>38/38 OK</w:t>
            </w:r>
          </w:p>
        </w:tc>
        <w:tc>
          <w:tcPr>
            <w:tcW w:type="dxa" w:w="3969"/>
            <w:shd w:val="clear" w:color="auto" w:fill="EFF6FF"/>
          </w:tcPr>
          <w:p>
            <w:pPr>
              <w:jc w:val="left"/>
            </w:pPr>
            <w:r>
              <w:rPr>
                <w:rFonts w:ascii="Calibri" w:hAnsi="Calibri"/>
                <w:b w:val="0"/>
                <w:i w:val="0"/>
                <w:sz w:val="20"/>
              </w:rPr>
              <w:t>Tous les endpoints, HTTP codes, réponses JSON</w:t>
            </w:r>
          </w:p>
        </w:tc>
      </w:tr>
      <w:tr>
        <w:tc>
          <w:tcPr>
            <w:tcW w:type="dxa" w:w="2551"/>
            <w:shd w:val="clear" w:color="auto" w:fill="FFFFFF"/>
          </w:tcPr>
          <w:p>
            <w:pPr>
              <w:jc w:val="left"/>
            </w:pPr>
            <w:r>
              <w:rPr>
                <w:rFonts w:ascii="Calibri" w:hAnsi="Calibri"/>
                <w:b w:val="0"/>
                <w:i w:val="0"/>
                <w:sz w:val="20"/>
              </w:rPr>
              <w:t>Données frontend</w:t>
            </w:r>
          </w:p>
        </w:tc>
        <w:tc>
          <w:tcPr>
            <w:tcW w:type="dxa" w:w="1417"/>
            <w:shd w:val="clear" w:color="auto" w:fill="FFFFFF"/>
          </w:tcPr>
          <w:p>
            <w:pPr>
              <w:jc w:val="left"/>
            </w:pPr>
            <w:r>
              <w:rPr>
                <w:rFonts w:ascii="Calibri" w:hAnsi="Calibri"/>
                <w:b w:val="0"/>
                <w:i w:val="0"/>
                <w:sz w:val="20"/>
              </w:rPr>
              <w:t>70</w:t>
            </w:r>
          </w:p>
        </w:tc>
        <w:tc>
          <w:tcPr>
            <w:tcW w:type="dxa" w:w="1701"/>
            <w:shd w:val="clear" w:color="auto" w:fill="FFFFFF"/>
          </w:tcPr>
          <w:p>
            <w:pPr>
              <w:jc w:val="left"/>
            </w:pPr>
            <w:r>
              <w:rPr>
                <w:rFonts w:ascii="Calibri" w:hAnsi="Calibri"/>
                <w:b w:val="0"/>
                <w:i w:val="0"/>
                <w:sz w:val="20"/>
              </w:rPr>
              <w:t>70/70 OK</w:t>
            </w:r>
          </w:p>
        </w:tc>
        <w:tc>
          <w:tcPr>
            <w:tcW w:type="dxa" w:w="3969"/>
            <w:shd w:val="clear" w:color="auto" w:fill="FFFFFF"/>
          </w:tcPr>
          <w:p>
            <w:pPr>
              <w:jc w:val="left"/>
            </w:pPr>
            <w:r>
              <w:rPr>
                <w:rFonts w:ascii="Calibri" w:hAnsi="Calibri"/>
                <w:b w:val="0"/>
                <w:i w:val="0"/>
                <w:sz w:val="20"/>
              </w:rPr>
              <w:t>Accents, types mixtes, null, body vide, CORS</w:t>
            </w:r>
          </w:p>
        </w:tc>
      </w:tr>
      <w:tr>
        <w:tc>
          <w:tcPr>
            <w:tcW w:type="dxa" w:w="2551"/>
            <w:shd w:val="clear" w:color="auto" w:fill="EFF6FF"/>
          </w:tcPr>
          <w:p>
            <w:pPr>
              <w:jc w:val="left"/>
            </w:pPr>
            <w:r>
              <w:rPr>
                <w:rFonts w:ascii="Calibri" w:hAnsi="Calibri"/>
                <w:b w:val="0"/>
                <w:i w:val="0"/>
                <w:sz w:val="20"/>
              </w:rPr>
              <w:t>Audit final complet</w:t>
            </w:r>
          </w:p>
        </w:tc>
        <w:tc>
          <w:tcPr>
            <w:tcW w:type="dxa" w:w="1417"/>
            <w:shd w:val="clear" w:color="auto" w:fill="EFF6FF"/>
          </w:tcPr>
          <w:p>
            <w:pPr>
              <w:jc w:val="left"/>
            </w:pPr>
            <w:r>
              <w:rPr>
                <w:rFonts w:ascii="Calibri" w:hAnsi="Calibri"/>
                <w:b w:val="0"/>
                <w:i w:val="0"/>
                <w:sz w:val="20"/>
              </w:rPr>
              <w:t>46</w:t>
            </w:r>
          </w:p>
        </w:tc>
        <w:tc>
          <w:tcPr>
            <w:tcW w:type="dxa" w:w="1701"/>
            <w:shd w:val="clear" w:color="auto" w:fill="EFF6FF"/>
          </w:tcPr>
          <w:p>
            <w:pPr>
              <w:jc w:val="left"/>
            </w:pPr>
            <w:r>
              <w:rPr>
                <w:rFonts w:ascii="Calibri" w:hAnsi="Calibri"/>
                <w:b w:val="0"/>
                <w:i w:val="0"/>
                <w:sz w:val="20"/>
              </w:rPr>
              <w:t>46/46 OK</w:t>
            </w:r>
          </w:p>
        </w:tc>
        <w:tc>
          <w:tcPr>
            <w:tcW w:type="dxa" w:w="3969"/>
            <w:shd w:val="clear" w:color="auto" w:fill="EFF6FF"/>
          </w:tcPr>
          <w:p>
            <w:pPr>
              <w:jc w:val="left"/>
            </w:pPr>
            <w:r>
              <w:rPr>
                <w:rFonts w:ascii="Calibri" w:hAnsi="Calibri"/>
                <w:b w:val="0"/>
                <w:i w:val="0"/>
                <w:sz w:val="20"/>
              </w:rPr>
              <w:t>Fichiers, modèle, API, batch, frontend actif</w:t>
            </w:r>
          </w:p>
        </w:tc>
      </w:tr>
      <w:tr>
        <w:tc>
          <w:tcPr>
            <w:tcW w:type="dxa" w:w="2551"/>
            <w:shd w:val="clear" w:color="auto" w:fill="FFFFFF"/>
          </w:tcPr>
          <w:p>
            <w:pPr>
              <w:jc w:val="left"/>
            </w:pPr>
            <w:r>
              <w:rPr>
                <w:rFonts w:ascii="Calibri" w:hAnsi="Calibri"/>
                <w:b w:val="0"/>
                <w:i w:val="0"/>
                <w:sz w:val="20"/>
              </w:rPr>
              <w:t>TOTAL</w:t>
            </w:r>
          </w:p>
        </w:tc>
        <w:tc>
          <w:tcPr>
            <w:tcW w:type="dxa" w:w="1417"/>
            <w:shd w:val="clear" w:color="auto" w:fill="FFFFFF"/>
          </w:tcPr>
          <w:p>
            <w:pPr>
              <w:jc w:val="left"/>
            </w:pPr>
            <w:r>
              <w:rPr>
                <w:rFonts w:ascii="Calibri" w:hAnsi="Calibri"/>
                <w:b w:val="0"/>
                <w:i w:val="0"/>
                <w:sz w:val="20"/>
              </w:rPr>
              <w:t>154</w:t>
            </w:r>
          </w:p>
        </w:tc>
        <w:tc>
          <w:tcPr>
            <w:tcW w:type="dxa" w:w="1701"/>
            <w:shd w:val="clear" w:color="auto" w:fill="FFFFFF"/>
          </w:tcPr>
          <w:p>
            <w:pPr>
              <w:jc w:val="left"/>
            </w:pPr>
            <w:r>
              <w:rPr>
                <w:rFonts w:ascii="Calibri" w:hAnsi="Calibri"/>
                <w:b w:val="0"/>
                <w:i w:val="0"/>
                <w:sz w:val="20"/>
              </w:rPr>
              <w:t>154/154 OK</w:t>
            </w:r>
          </w:p>
        </w:tc>
        <w:tc>
          <w:tcPr>
            <w:tcW w:type="dxa" w:w="3969"/>
            <w:shd w:val="clear" w:color="auto" w:fill="FFFFFF"/>
          </w:tcPr>
          <w:p>
            <w:pPr>
              <w:jc w:val="left"/>
            </w:pPr>
            <w:r>
              <w:rPr>
                <w:rFonts w:ascii="Calibri" w:hAnsi="Calibri"/>
                <w:b w:val="0"/>
                <w:i w:val="0"/>
                <w:sz w:val="20"/>
              </w:rPr>
              <w:t>Projet 100% validé</w:t>
            </w:r>
          </w:p>
        </w:tc>
      </w:tr>
    </w:tbl>
    <w:p>
      <w:pPr>
        <w:spacing w:after="80"/>
      </w:pPr>
      <w:r>
        <w:rPr>
          <w:rFonts w:ascii="Calibri" w:hAnsi="Calibri"/>
          <w:b w:val="0"/>
          <w:i w:val="0"/>
          <w:sz w:val="22"/>
        </w:rPr>
        <w:t>108 tests automatisés ont été exécutés pour valider l'intégration complète frontend ↔ backend. Aucun échec.</w:t>
      </w:r>
    </w:p>
    <w:p>
      <w:pPr>
        <w:pStyle w:val="Heading2"/>
        <w:spacing w:before="280" w:after="80"/>
      </w:pPr>
      <w:r>
        <w:rPr>
          <w:rFonts w:ascii="Calibri" w:hAnsi="Calibri"/>
          <w:color w:val="1D4ED8"/>
        </w:rPr>
        <w:t>7bis.4 Validation de l'intégration — Tests réels</w:t>
      </w:r>
    </w:p>
    <w:p>
      <w:pPr>
        <w:spacing w:before="120" w:after="120"/>
        <w:ind w:left="567" w:right="567"/>
        <w:shd w:val="clear" w:color="auto" w:fill="DBEAFE"/>
      </w:pPr>
      <w:r>
        <w:rPr>
          <w:rFonts w:ascii="Calibri" w:hAnsi="Calibri"/>
          <w:b w:val="0"/>
          <w:i/>
          <w:color w:val="1E3A8A"/>
          <w:sz w:val="20"/>
        </w:rPr>
        <w:t>INFO  La normalisation des noms est automatique : le frontend peut envoyer "Béja" ou "BEJA" ou "béja" — l'API retourne toujours le format canonique BEJA. Cela garantit la compatibilité avec tous les formulaires et saisies utilisateur.</w:t>
      </w:r>
    </w:p>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E3A8A"/>
          </w:tcPr>
          <w:p>
            <w:pPr>
              <w:jc w:val="center"/>
            </w:pPr>
            <w:r>
              <w:rPr>
                <w:rFonts w:ascii="Calibri" w:hAnsi="Calibri"/>
                <w:b/>
                <w:i w:val="0"/>
                <w:color w:val="FFFFFF"/>
                <w:sz w:val="20"/>
              </w:rPr>
              <w:t>Élément affiché</w:t>
            </w:r>
          </w:p>
        </w:tc>
        <w:tc>
          <w:tcPr>
            <w:tcW w:type="dxa" w:w="2268"/>
            <w:shd w:val="clear" w:color="auto" w:fill="1E3A8A"/>
          </w:tcPr>
          <w:p>
            <w:pPr>
              <w:jc w:val="center"/>
            </w:pPr>
            <w:r>
              <w:rPr>
                <w:rFonts w:ascii="Calibri" w:hAnsi="Calibri"/>
                <w:b/>
                <w:i w:val="0"/>
                <w:color w:val="FFFFFF"/>
                <w:sz w:val="20"/>
              </w:rPr>
              <w:t>Données source API</w:t>
            </w:r>
          </w:p>
        </w:tc>
        <w:tc>
          <w:tcPr>
            <w:tcW w:type="dxa" w:w="4819"/>
            <w:shd w:val="clear" w:color="auto" w:fill="1E3A8A"/>
          </w:tcPr>
          <w:p>
            <w:pPr>
              <w:jc w:val="center"/>
            </w:pPr>
            <w:r>
              <w:rPr>
                <w:rFonts w:ascii="Calibri" w:hAnsi="Calibri"/>
                <w:b/>
                <w:i w:val="0"/>
                <w:color w:val="FFFFFF"/>
                <w:sz w:val="20"/>
              </w:rPr>
              <w:t>Signification</w:t>
            </w:r>
          </w:p>
        </w:tc>
      </w:tr>
      <w:tr>
        <w:tc>
          <w:tcPr>
            <w:tcW w:type="dxa" w:w="2551"/>
            <w:shd w:val="clear" w:color="auto" w:fill="EFF6FF"/>
          </w:tcPr>
          <w:p>
            <w:pPr>
              <w:jc w:val="left"/>
            </w:pPr>
            <w:r>
              <w:rPr>
                <w:rFonts w:ascii="Calibri" w:hAnsi="Calibri"/>
                <w:b w:val="0"/>
                <w:i w:val="0"/>
                <w:sz w:val="20"/>
              </w:rPr>
              <w:t>Tableau 24 gouvernorats</w:t>
            </w:r>
          </w:p>
        </w:tc>
        <w:tc>
          <w:tcPr>
            <w:tcW w:type="dxa" w:w="2268"/>
            <w:shd w:val="clear" w:color="auto" w:fill="EFF6FF"/>
          </w:tcPr>
          <w:p>
            <w:pPr>
              <w:jc w:val="left"/>
            </w:pPr>
            <w:r>
              <w:rPr>
                <w:rFonts w:ascii="Calibri" w:hAnsi="Calibri"/>
                <w:b w:val="0"/>
                <w:i w:val="0"/>
                <w:sz w:val="20"/>
              </w:rPr>
              <w:t>/api/batch-predict</w:t>
            </w:r>
          </w:p>
        </w:tc>
        <w:tc>
          <w:tcPr>
            <w:tcW w:type="dxa" w:w="4819"/>
            <w:shd w:val="clear" w:color="auto" w:fill="EFF6FF"/>
          </w:tcPr>
          <w:p>
            <w:pPr>
              <w:jc w:val="left"/>
            </w:pPr>
            <w:r>
              <w:rPr>
                <w:rFonts w:ascii="Calibri" w:hAnsi="Calibri"/>
                <w:b w:val="0"/>
                <w:i w:val="0"/>
                <w:sz w:val="20"/>
              </w:rPr>
              <w:t>Prédictions ML live pour tous les gouvernorats</w:t>
            </w:r>
          </w:p>
        </w:tc>
      </w:tr>
      <w:tr>
        <w:tc>
          <w:tcPr>
            <w:tcW w:type="dxa" w:w="2551"/>
            <w:shd w:val="clear" w:color="auto" w:fill="FFFFFF"/>
          </w:tcPr>
          <w:p>
            <w:pPr>
              <w:jc w:val="left"/>
            </w:pPr>
            <w:r>
              <w:rPr>
                <w:rFonts w:ascii="Calibri" w:hAnsi="Calibri"/>
                <w:b w:val="0"/>
                <w:i w:val="0"/>
                <w:sz w:val="20"/>
              </w:rPr>
              <w:t>Barre probabilité HAUSSE</w:t>
            </w:r>
          </w:p>
        </w:tc>
        <w:tc>
          <w:tcPr>
            <w:tcW w:type="dxa" w:w="2268"/>
            <w:shd w:val="clear" w:color="auto" w:fill="FFFFFF"/>
          </w:tcPr>
          <w:p>
            <w:pPr>
              <w:jc w:val="left"/>
            </w:pPr>
            <w:r>
              <w:rPr>
                <w:rFonts w:ascii="Calibri" w:hAnsi="Calibri"/>
                <w:b w:val="0"/>
                <w:i w:val="0"/>
                <w:sz w:val="20"/>
              </w:rPr>
              <w:t>probabilite_hausse</w:t>
            </w:r>
          </w:p>
        </w:tc>
        <w:tc>
          <w:tcPr>
            <w:tcW w:type="dxa" w:w="4819"/>
            <w:shd w:val="clear" w:color="auto" w:fill="FFFFFF"/>
          </w:tcPr>
          <w:p>
            <w:pPr>
              <w:jc w:val="left"/>
            </w:pPr>
            <w:r>
              <w:rPr>
                <w:rFonts w:ascii="Calibri" w:hAnsi="Calibri"/>
                <w:b w:val="0"/>
                <w:i w:val="0"/>
                <w:sz w:val="20"/>
              </w:rPr>
              <w:t>Score de potentiel commercial (0-100%)</w:t>
            </w:r>
          </w:p>
        </w:tc>
      </w:tr>
      <w:tr>
        <w:tc>
          <w:tcPr>
            <w:tcW w:type="dxa" w:w="2551"/>
            <w:shd w:val="clear" w:color="auto" w:fill="EFF6FF"/>
          </w:tcPr>
          <w:p>
            <w:pPr>
              <w:jc w:val="left"/>
            </w:pPr>
            <w:r>
              <w:rPr>
                <w:rFonts w:ascii="Calibri" w:hAnsi="Calibri"/>
                <w:b w:val="0"/>
                <w:i w:val="0"/>
                <w:sz w:val="20"/>
              </w:rPr>
              <w:t>Badge recommandation</w:t>
            </w:r>
          </w:p>
        </w:tc>
        <w:tc>
          <w:tcPr>
            <w:tcW w:type="dxa" w:w="2268"/>
            <w:shd w:val="clear" w:color="auto" w:fill="EFF6FF"/>
          </w:tcPr>
          <w:p>
            <w:pPr>
              <w:jc w:val="left"/>
            </w:pPr>
            <w:r>
              <w:rPr>
                <w:rFonts w:ascii="Calibri" w:hAnsi="Calibri"/>
                <w:b w:val="0"/>
                <w:i w:val="0"/>
                <w:sz w:val="20"/>
              </w:rPr>
              <w:t>recommandation</w:t>
            </w:r>
          </w:p>
        </w:tc>
        <w:tc>
          <w:tcPr>
            <w:tcW w:type="dxa" w:w="4819"/>
            <w:shd w:val="clear" w:color="auto" w:fill="EFF6FF"/>
          </w:tcPr>
          <w:p>
            <w:pPr>
              <w:jc w:val="left"/>
            </w:pPr>
            <w:r>
              <w:rPr>
                <w:rFonts w:ascii="Calibri" w:hAnsi="Calibri"/>
                <w:b w:val="0"/>
                <w:i w:val="0"/>
                <w:sz w:val="20"/>
              </w:rPr>
              <w:t>AUGMENTER / MAINTENIR / REDUIRE</w:t>
            </w:r>
          </w:p>
        </w:tc>
      </w:tr>
      <w:tr>
        <w:tc>
          <w:tcPr>
            <w:tcW w:type="dxa" w:w="2551"/>
            <w:shd w:val="clear" w:color="auto" w:fill="FFFFFF"/>
          </w:tcPr>
          <w:p>
            <w:pPr>
              <w:jc w:val="left"/>
            </w:pPr>
            <w:r>
              <w:rPr>
                <w:rFonts w:ascii="Calibri" w:hAnsi="Calibri"/>
                <w:b w:val="0"/>
                <w:i w:val="0"/>
                <w:sz w:val="20"/>
              </w:rPr>
              <w:t>Niveau de confiance</w:t>
            </w:r>
          </w:p>
        </w:tc>
        <w:tc>
          <w:tcPr>
            <w:tcW w:type="dxa" w:w="2268"/>
            <w:shd w:val="clear" w:color="auto" w:fill="FFFFFF"/>
          </w:tcPr>
          <w:p>
            <w:pPr>
              <w:jc w:val="left"/>
            </w:pPr>
            <w:r>
              <w:rPr>
                <w:rFonts w:ascii="Calibri" w:hAnsi="Calibri"/>
                <w:b w:val="0"/>
                <w:i w:val="0"/>
                <w:sz w:val="20"/>
              </w:rPr>
              <w:t>confiance</w:t>
            </w:r>
          </w:p>
        </w:tc>
        <w:tc>
          <w:tcPr>
            <w:tcW w:type="dxa" w:w="4819"/>
            <w:shd w:val="clear" w:color="auto" w:fill="FFFFFF"/>
          </w:tcPr>
          <w:p>
            <w:pPr>
              <w:jc w:val="left"/>
            </w:pPr>
            <w:r>
              <w:rPr>
                <w:rFonts w:ascii="Calibri" w:hAnsi="Calibri"/>
                <w:b w:val="0"/>
                <w:i w:val="0"/>
                <w:sz w:val="20"/>
              </w:rPr>
              <w:t>Certitude du modèle sur la prédiction (%)</w:t>
            </w:r>
          </w:p>
        </w:tc>
      </w:tr>
      <w:tr>
        <w:tc>
          <w:tcPr>
            <w:tcW w:type="dxa" w:w="2551"/>
            <w:shd w:val="clear" w:color="auto" w:fill="EFF6FF"/>
          </w:tcPr>
          <w:p>
            <w:pPr>
              <w:jc w:val="left"/>
            </w:pPr>
            <w:r>
              <w:rPr>
                <w:rFonts w:ascii="Calibri" w:hAnsi="Calibri"/>
                <w:b w:val="0"/>
                <w:i w:val="0"/>
                <w:sz w:val="20"/>
              </w:rPr>
              <w:t>Source variation</w:t>
            </w:r>
          </w:p>
        </w:tc>
        <w:tc>
          <w:tcPr>
            <w:tcW w:type="dxa" w:w="2268"/>
            <w:shd w:val="clear" w:color="auto" w:fill="EFF6FF"/>
          </w:tcPr>
          <w:p>
            <w:pPr>
              <w:jc w:val="left"/>
            </w:pPr>
            <w:r>
              <w:rPr>
                <w:rFonts w:ascii="Calibri" w:hAnsi="Calibri"/>
                <w:b w:val="0"/>
                <w:i w:val="0"/>
                <w:sz w:val="20"/>
              </w:rPr>
              <w:t>variation_source</w:t>
            </w:r>
          </w:p>
        </w:tc>
        <w:tc>
          <w:tcPr>
            <w:tcW w:type="dxa" w:w="4819"/>
            <w:shd w:val="clear" w:color="auto" w:fill="EFF6FF"/>
          </w:tcPr>
          <w:p>
            <w:pPr>
              <w:jc w:val="left"/>
            </w:pPr>
            <w:r>
              <w:rPr>
                <w:rFonts w:ascii="Calibri" w:hAnsi="Calibri"/>
                <w:b w:val="0"/>
                <w:i w:val="0"/>
                <w:sz w:val="20"/>
              </w:rPr>
              <w:t>Historique réel ERP ou prédiction modèle ML</w:t>
            </w:r>
          </w:p>
        </w:tc>
      </w:tr>
      <w:tr>
        <w:tc>
          <w:tcPr>
            <w:tcW w:type="dxa" w:w="2551"/>
            <w:shd w:val="clear" w:color="auto" w:fill="FFFFFF"/>
          </w:tcPr>
          <w:p>
            <w:pPr>
              <w:jc w:val="left"/>
            </w:pPr>
            <w:r>
              <w:rPr>
                <w:rFonts w:ascii="Calibri" w:hAnsi="Calibri"/>
                <w:b w:val="0"/>
                <w:i w:val="0"/>
                <w:sz w:val="20"/>
              </w:rPr>
              <w:t>Filtres T1/T2/T3/T4</w:t>
            </w:r>
          </w:p>
        </w:tc>
        <w:tc>
          <w:tcPr>
            <w:tcW w:type="dxa" w:w="2268"/>
            <w:shd w:val="clear" w:color="auto" w:fill="FFFFFF"/>
          </w:tcPr>
          <w:p>
            <w:pPr>
              <w:jc w:val="left"/>
            </w:pPr>
            <w:r>
              <w:rPr>
                <w:rFonts w:ascii="Calibri" w:hAnsi="Calibri"/>
                <w:b w:val="0"/>
                <w:i w:val="0"/>
                <w:sz w:val="20"/>
              </w:rPr>
              <w:t>Requête dynamique</w:t>
            </w:r>
          </w:p>
        </w:tc>
        <w:tc>
          <w:tcPr>
            <w:tcW w:type="dxa" w:w="4819"/>
            <w:shd w:val="clear" w:color="auto" w:fill="FFFFFF"/>
          </w:tcPr>
          <w:p>
            <w:pPr>
              <w:jc w:val="left"/>
            </w:pPr>
            <w:r>
              <w:rPr>
                <w:rFonts w:ascii="Calibri" w:hAnsi="Calibri"/>
                <w:b w:val="0"/>
                <w:i w:val="0"/>
                <w:sz w:val="20"/>
              </w:rPr>
              <w:t>Prédiction pour le trimestre sélectionné</w:t>
            </w:r>
          </w:p>
        </w:tc>
      </w:tr>
      <w:tr>
        <w:tc>
          <w:tcPr>
            <w:tcW w:type="dxa" w:w="2551"/>
            <w:shd w:val="clear" w:color="auto" w:fill="EFF6FF"/>
          </w:tcPr>
          <w:p>
            <w:pPr>
              <w:jc w:val="left"/>
            </w:pPr>
            <w:r>
              <w:rPr>
                <w:rFonts w:ascii="Calibri" w:hAnsi="Calibri"/>
                <w:b w:val="0"/>
                <w:i w:val="0"/>
                <w:sz w:val="20"/>
              </w:rPr>
              <w:t>KPI Accuracy</w:t>
            </w:r>
          </w:p>
        </w:tc>
        <w:tc>
          <w:tcPr>
            <w:tcW w:type="dxa" w:w="2268"/>
            <w:shd w:val="clear" w:color="auto" w:fill="EFF6FF"/>
          </w:tcPr>
          <w:p>
            <w:pPr>
              <w:jc w:val="left"/>
            </w:pPr>
            <w:r>
              <w:rPr>
                <w:rFonts w:ascii="Calibri" w:hAnsi="Calibri"/>
                <w:b w:val="0"/>
                <w:i w:val="0"/>
                <w:sz w:val="20"/>
              </w:rPr>
              <w:t>model_accuracy</w:t>
            </w:r>
          </w:p>
        </w:tc>
        <w:tc>
          <w:tcPr>
            <w:tcW w:type="dxa" w:w="4819"/>
            <w:shd w:val="clear" w:color="auto" w:fill="EFF6FF"/>
          </w:tcPr>
          <w:p>
            <w:pPr>
              <w:jc w:val="left"/>
            </w:pPr>
            <w:r>
              <w:rPr>
                <w:rFonts w:ascii="Calibri" w:hAnsi="Calibri"/>
                <w:b w:val="0"/>
                <w:i w:val="0"/>
                <w:sz w:val="20"/>
              </w:rPr>
              <w:t>Performance globale du modèle (72.94%)</w:t>
            </w:r>
          </w:p>
        </w:tc>
      </w:tr>
      <w:tr>
        <w:tc>
          <w:tcPr>
            <w:tcW w:type="dxa" w:w="2551"/>
            <w:shd w:val="clear" w:color="auto" w:fill="FFFFFF"/>
          </w:tcPr>
          <w:p>
            <w:pPr>
              <w:jc w:val="left"/>
            </w:pPr>
            <w:r>
              <w:rPr>
                <w:rFonts w:ascii="Calibri" w:hAnsi="Calibri"/>
                <w:b w:val="0"/>
                <w:i w:val="0"/>
                <w:sz w:val="20"/>
              </w:rPr>
              <w:t>KPI F1-Score</w:t>
            </w:r>
          </w:p>
        </w:tc>
        <w:tc>
          <w:tcPr>
            <w:tcW w:type="dxa" w:w="2268"/>
            <w:shd w:val="clear" w:color="auto" w:fill="FFFFFF"/>
          </w:tcPr>
          <w:p>
            <w:pPr>
              <w:jc w:val="left"/>
            </w:pPr>
            <w:r>
              <w:rPr>
                <w:rFonts w:ascii="Calibri" w:hAnsi="Calibri"/>
                <w:b w:val="0"/>
                <w:i w:val="0"/>
                <w:sz w:val="20"/>
              </w:rPr>
              <w:t>model_f1_score</w:t>
            </w:r>
          </w:p>
        </w:tc>
        <w:tc>
          <w:tcPr>
            <w:tcW w:type="dxa" w:w="4819"/>
            <w:shd w:val="clear" w:color="auto" w:fill="FFFFFF"/>
          </w:tcPr>
          <w:p>
            <w:pPr>
              <w:jc w:val="left"/>
            </w:pPr>
            <w:r>
              <w:rPr>
                <w:rFonts w:ascii="Calibri" w:hAnsi="Calibri"/>
                <w:b w:val="0"/>
                <w:i w:val="0"/>
                <w:sz w:val="20"/>
              </w:rPr>
              <w:t>Équilibre précision/rappel (70.03%)</w:t>
            </w:r>
          </w:p>
        </w:tc>
      </w:tr>
      <w:tr>
        <w:tc>
          <w:tcPr>
            <w:tcW w:type="dxa" w:w="2551"/>
            <w:shd w:val="clear" w:color="auto" w:fill="EFF6FF"/>
          </w:tcPr>
          <w:p>
            <w:pPr>
              <w:jc w:val="left"/>
            </w:pPr>
            <w:r>
              <w:rPr>
                <w:rFonts w:ascii="Calibri" w:hAnsi="Calibri"/>
                <w:b w:val="0"/>
                <w:i w:val="0"/>
                <w:sz w:val="20"/>
              </w:rPr>
              <w:t>Top 5 AUGMENTER</w:t>
            </w:r>
          </w:p>
        </w:tc>
        <w:tc>
          <w:tcPr>
            <w:tcW w:type="dxa" w:w="2268"/>
            <w:shd w:val="clear" w:color="auto" w:fill="EFF6FF"/>
          </w:tcPr>
          <w:p>
            <w:pPr>
              <w:jc w:val="left"/>
            </w:pPr>
            <w:r>
              <w:rPr>
                <w:rFonts w:ascii="Calibri" w:hAnsi="Calibri"/>
                <w:b w:val="0"/>
                <w:i w:val="0"/>
                <w:sz w:val="20"/>
              </w:rPr>
              <w:t>sorted(results)</w:t>
            </w:r>
          </w:p>
        </w:tc>
        <w:tc>
          <w:tcPr>
            <w:tcW w:type="dxa" w:w="4819"/>
            <w:shd w:val="clear" w:color="auto" w:fill="EFF6FF"/>
          </w:tcPr>
          <w:p>
            <w:pPr>
              <w:jc w:val="left"/>
            </w:pPr>
            <w:r>
              <w:rPr>
                <w:rFonts w:ascii="Calibri" w:hAnsi="Calibri"/>
                <w:b w:val="0"/>
                <w:i w:val="0"/>
                <w:sz w:val="20"/>
              </w:rPr>
              <w:t>Régions prioritaires pour déploiement commercial</w:t>
            </w:r>
          </w:p>
        </w:tc>
      </w:tr>
    </w:tbl>
    <w:p>
      <w:pPr>
        <w:spacing w:after="80"/>
      </w:pPr>
      <w:r>
        <w:rPr>
          <w:rFonts w:ascii="Calibri" w:hAnsi="Calibri"/>
          <w:b w:val="0"/>
          <w:i w:val="0"/>
          <w:sz w:val="22"/>
        </w:rPr>
        <w:t>Le composant GestionIA affiche en temps réel les données ML pour les 24 gouvernorats. Le manager voit immédiatement où concentrer ses efforts commerciaux sans avoir besoin d'interpréter des chiffres complexes.</w:t>
      </w:r>
    </w:p>
    <w:p>
      <w:pPr>
        <w:pStyle w:val="Heading2"/>
        <w:spacing w:before="280" w:after="80"/>
      </w:pPr>
      <w:r>
        <w:rPr>
          <w:rFonts w:ascii="Calibri" w:hAnsi="Calibri"/>
          <w:color w:val="1D4ED8"/>
        </w:rPr>
        <w:t>7bis.3 Le dashboard — Ce que voit le manager</w:t>
      </w:r>
    </w:p>
    <w:p>
      <w:pPr>
        <w:pStyle w:val="ListBullet"/>
        <w:spacing w:after="40"/>
        <w:ind w:left="850"/>
      </w:pPr>
      <w:r>
        <w:rPr>
          <w:rFonts w:ascii="Calibri" w:hAnsi="Calibri"/>
          <w:b w:val="0"/>
          <w:i w:val="0"/>
          <w:sz w:val="22"/>
        </w:rPr>
        <w:t>Gestion des erreurs avec message utilisateur si Flask est arrêté</w:t>
      </w:r>
    </w:p>
    <w:p>
      <w:pPr>
        <w:pStyle w:val="ListBullet"/>
        <w:spacing w:after="40"/>
        <w:ind w:left="850"/>
      </w:pPr>
      <w:r>
        <w:rPr>
          <w:rFonts w:ascii="Calibri" w:hAnsi="Calibri"/>
          <w:b w:val="0"/>
          <w:i w:val="0"/>
          <w:sz w:val="22"/>
        </w:rPr>
        <w:t>Types TypeScript complets pour toutes les réponses API</w:t>
      </w:r>
    </w:p>
    <w:p>
      <w:pPr>
        <w:pStyle w:val="ListBullet"/>
        <w:spacing w:after="40"/>
        <w:ind w:left="850"/>
      </w:pPr>
      <w:r>
        <w:rPr>
          <w:rFonts w:ascii="Calibri" w:hAnsi="Calibri"/>
          <w:b w:val="0"/>
          <w:i w:val="0"/>
          <w:sz w:val="22"/>
        </w:rPr>
        <w:t>Normalisation automatique : "Béja" → BEJA, "Ben Arous" → BEN_AROUS, "Gabès" → GABES</w:t>
      </w:r>
    </w:p>
    <w:p>
      <w:pPr>
        <w:pStyle w:val="ListBullet"/>
        <w:spacing w:after="40"/>
        <w:ind w:left="850"/>
      </w:pPr>
      <w:r>
        <w:rPr>
          <w:rFonts w:ascii="Calibri" w:hAnsi="Calibri"/>
          <w:b w:val="0"/>
          <w:i w:val="0"/>
          <w:sz w:val="22"/>
        </w:rPr>
        <w:t>Statistiques du modèle en production (/api/stats)</w:t>
      </w:r>
    </w:p>
    <w:p>
      <w:pPr>
        <w:pStyle w:val="ListBullet"/>
        <w:spacing w:after="40"/>
        <w:ind w:left="850"/>
      </w:pPr>
      <w:r>
        <w:rPr>
          <w:rFonts w:ascii="Calibri" w:hAnsi="Calibri"/>
          <w:b w:val="0"/>
          <w:i w:val="0"/>
          <w:sz w:val="22"/>
        </w:rPr>
        <w:t>Vérification santé du service (/api/health)</w:t>
      </w:r>
    </w:p>
    <w:p>
      <w:pPr>
        <w:pStyle w:val="ListBullet"/>
        <w:spacing w:after="40"/>
        <w:ind w:left="850"/>
      </w:pPr>
      <w:r>
        <w:rPr>
          <w:rFonts w:ascii="Calibri" w:hAnsi="Calibri"/>
          <w:b w:val="0"/>
          <w:i w:val="0"/>
          <w:sz w:val="22"/>
        </w:rPr>
        <w:t>Prédiction batch 24 gouvernorats en une requête (/api/batch-predict)</w:t>
      </w:r>
    </w:p>
    <w:p>
      <w:pPr>
        <w:pStyle w:val="ListBullet"/>
        <w:spacing w:after="40"/>
        <w:ind w:left="850"/>
      </w:pPr>
      <w:r>
        <w:rPr>
          <w:rFonts w:ascii="Calibri" w:hAnsi="Calibri"/>
          <w:b w:val="0"/>
          <w:i w:val="0"/>
          <w:sz w:val="22"/>
        </w:rPr>
        <w:t>Prédiction unitaire par région avec paramètre prix optionnel (/api/predict)</w:t>
      </w:r>
    </w:p>
    <w:p>
      <w:pPr>
        <w:spacing w:after="80"/>
      </w:pPr>
      <w:r>
        <w:rPr>
          <w:rFonts w:ascii="Calibri" w:hAnsi="Calibri"/>
          <w:b w:val="0"/>
          <w:i w:val="0"/>
          <w:sz w:val="22"/>
        </w:rPr>
        <w:t>Fonctionnalités du service :</w:t>
      </w:r>
    </w:p>
    <w:p>
      <w:pPr>
        <w:spacing w:before="80" w:after="80"/>
        <w:ind w:left="850" w:right="567"/>
        <w:shd w:val="clear" w:color="auto" w:fill="F0F4F8"/>
      </w:pPr>
      <w:r>
        <w:rPr>
          <w:rFonts w:ascii="Courier New" w:hAnsi="Courier New"/>
          <w:color w:val="1E3A8A"/>
          <w:sz w:val="18"/>
        </w:rPr>
        <w:t>// Prédit pour les 24 gouvernorats en une seule requête</w:t>
        <w:br/>
        <w:t>async function predictAllGouvernorats(trimestre, year) {</w:t>
        <w:br/>
        <w:t xml:space="preserve">  return fetch('http://localhost:5000/api/batch-predict', {</w:t>
        <w:br/>
        <w:t xml:space="preserve">    method: 'POST',</w:t>
        <w:br/>
        <w:t xml:space="preserve">    body: JSON.stringify({ regions: ALL_24, trimestre, year })</w:t>
        <w:br/>
        <w:t xml:space="preserve">  });</w:t>
        <w:br/>
        <w:t>}</w:t>
        <w:br/>
        <w:br/>
        <w:t>// Normalisation automatique des noms de régions</w:t>
        <w:br/>
        <w:t>// "Béja" -&gt; BEJA | "Ben Arous" -&gt; BEN_AROUS | "tunis" -&gt; TUNIS</w:t>
      </w:r>
    </w:p>
    <w:p>
      <w:pPr>
        <w:spacing w:after="80"/>
      </w:pPr>
      <w:r>
        <w:rPr>
          <w:rFonts w:ascii="Calibri" w:hAnsi="Calibri"/>
          <w:b w:val="0"/>
          <w:i w:val="0"/>
          <w:sz w:val="22"/>
        </w:rPr>
        <w:t>Un service TypeScript centralisé gère tous les appels vers l'API Flask. Il expose des fonctions typées pour chaque endpoint, avec gestion des erreurs et normalisation automatique des noms de régions.</w:t>
      </w:r>
    </w:p>
    <w:p>
      <w:pPr>
        <w:pStyle w:val="Heading2"/>
        <w:spacing w:before="280" w:after="80"/>
      </w:pPr>
      <w:r>
        <w:rPr>
          <w:rFonts w:ascii="Calibri" w:hAnsi="Calibri"/>
          <w:color w:val="1D4ED8"/>
        </w:rPr>
        <w:t>7bis.2 Le service de connexion (mlService.ts)</w:t>
      </w:r>
    </w:p>
    <w:p>
      <w:pPr>
        <w:spacing w:before="80" w:after="80"/>
        <w:ind w:left="850" w:right="567"/>
        <w:shd w:val="clear" w:color="auto" w:fill="F0F4F8"/>
      </w:pPr>
      <w:r>
        <w:rPr>
          <w:rFonts w:ascii="Courier New" w:hAnsi="Courier New"/>
          <w:color w:val="1E3A8A"/>
          <w:sz w:val="18"/>
        </w:rPr>
        <w:t>SQL Server ERP (AA)</w:t>
        <w:br/>
        <w:t xml:space="preserve">        ↓  3 595 transactions réelles</w:t>
        <w:br/>
        <w:t>Pipeline ML — Notebook V1.4</w:t>
        <w:br/>
        <w:t xml:space="preserve">        ↓  VotingClassifier optimisé</w:t>
        <w:br/>
        <w:t>Flask API — localhost:5000</w:t>
        <w:br/>
        <w:t xml:space="preserve">        ↓  HTTP/JSON avec CORS actif</w:t>
        <w:br/>
        <w:t>Service ML Frontend — mlService.ts</w:t>
        <w:br/>
        <w:t xml:space="preserve">        ↓  Appels asynchrones (fetch)</w:t>
        <w:br/>
        <w:t>React / Vite — localhost:4200</w:t>
        <w:br/>
        <w:t xml:space="preserve">        ↓</w:t>
        <w:br/>
        <w:t>Dashboard "Recommandations par Gouvernorat"</w:t>
        <w:br/>
        <w:t xml:space="preserve">        Filtres T1/T2/T3/T4 | Année 2026 | Live ML</w:t>
      </w:r>
    </w:p>
    <w:p>
      <w:pPr>
        <w:spacing w:after="80"/>
      </w:pPr>
      <w:r>
        <w:rPr>
          <w:rFonts w:ascii="Calibri" w:hAnsi="Calibri"/>
          <w:b w:val="0"/>
          <w:i w:val="0"/>
          <w:sz w:val="22"/>
        </w:rPr>
        <w:t>Le système ne s'arrête pas à l'API Flask. Un tableau de bord interactif React permet aux managers commerciaux de consulter les prédictions ML en temps réel, directement depuis leur navigateur, sans aucune connaissance technique.</w:t>
      </w:r>
    </w:p>
    <w:p>
      <w:pPr>
        <w:pStyle w:val="Heading2"/>
        <w:spacing w:before="280" w:after="80"/>
      </w:pPr>
      <w:r>
        <w:rPr>
          <w:rFonts w:ascii="Calibri" w:hAnsi="Calibri"/>
          <w:color w:val="1D4ED8"/>
        </w:rPr>
        <w:t>7bis.1 Architecture de l'intégration complète</w:t>
      </w:r>
    </w:p>
    <w:p>
      <w:pPr>
        <w:pStyle w:val="Heading1"/>
        <w:spacing w:before="360" w:after="120"/>
      </w:pPr>
      <w:r>
        <w:rPr>
          <w:rFonts w:ascii="Calibri" w:hAnsi="Calibri"/>
          <w:color w:val="1E3A8A"/>
        </w:rPr>
        <w:t>7bis. Intégration Frontend — Connexion React ↔ API Flask</w:t>
      </w:r>
    </w:p>
    <w:p>
      <w:r>
        <w:br w:type="page"/>
      </w:r>
    </w:p>
    <w:p>
      <w:pPr>
        <w:pStyle w:val="Heading1"/>
        <w:spacing w:before="360" w:after="120"/>
      </w:pPr>
      <w:r>
        <w:rPr>
          <w:rFonts w:ascii="Calibri" w:hAnsi="Calibri"/>
          <w:color w:val="1E3A8A"/>
        </w:rPr>
        <w:t>8. Points forts du projet</w:t>
      </w:r>
    </w:p>
    <w:p>
      <w:pPr>
        <w:pStyle w:val="Heading2"/>
        <w:spacing w:before="280" w:after="80"/>
      </w:pPr>
      <w:r>
        <w:rPr>
          <w:rFonts w:ascii="Calibri" w:hAnsi="Calibri"/>
          <w:color w:val="1D4ED8"/>
        </w:rPr>
        <w:t>8.1 Solidité technique</w:t>
      </w:r>
    </w:p>
    <w:p>
      <w:pPr>
        <w:pStyle w:val="Heading3"/>
        <w:spacing w:before="200"/>
      </w:pPr>
      <w:r>
        <w:rPr>
          <w:rFonts w:ascii="Calibri" w:hAnsi="Calibri"/>
          <w:color w:val="376BB5"/>
        </w:rPr>
        <w:t>✅ Architecture modulaire professionnelle</w:t>
      </w:r>
    </w:p>
    <w:p>
      <w:pPr>
        <w:spacing w:after="80"/>
      </w:pPr>
      <w:r>
        <w:rPr>
          <w:rFonts w:ascii="Calibri" w:hAnsi="Calibri"/>
          <w:b w:val="0"/>
          <w:i w:val="0"/>
          <w:sz w:val="22"/>
        </w:rPr>
        <w:t>Séparation nette predict_api.py / flask_api.py. Chaque composant a une responsabilité unique et bien définie. Réutilisable et maintenable.</w:t>
      </w:r>
    </w:p>
    <w:p>
      <w:pPr>
        <w:pStyle w:val="Heading3"/>
        <w:spacing w:before="200"/>
      </w:pPr>
      <w:r>
        <w:rPr>
          <w:rFonts w:ascii="Calibri" w:hAnsi="Calibri"/>
          <w:color w:val="376BB5"/>
        </w:rPr>
        <w:t>✅ Pipeline MLOps complet</w:t>
      </w:r>
    </w:p>
    <w:p>
      <w:pPr>
        <w:spacing w:after="80"/>
      </w:pPr>
      <w:r>
        <w:rPr>
          <w:rFonts w:ascii="Calibri" w:hAnsi="Calibri"/>
          <w:b w:val="0"/>
          <w:i w:val="0"/>
          <w:sz w:val="22"/>
        </w:rPr>
        <w:t>Très peu de projets PFE incluent un vrai système de réentraînement automatique avec backup/restore et Quality Gate adaptatif. C'est généralement réservé aux équipes professionnelles.</w:t>
      </w:r>
    </w:p>
    <w:p>
      <w:pPr>
        <w:pStyle w:val="Heading3"/>
        <w:spacing w:before="200"/>
      </w:pPr>
      <w:r>
        <w:rPr>
          <w:rFonts w:ascii="Calibri" w:hAnsi="Calibri"/>
          <w:color w:val="376BB5"/>
        </w:rPr>
        <w:t>✅ Démarche expérimentale rigoureuse</w:t>
      </w:r>
    </w:p>
    <w:p>
      <w:pPr>
        <w:spacing w:after="80"/>
      </w:pPr>
      <w:r>
        <w:rPr>
          <w:rFonts w:ascii="Calibri" w:hAnsi="Calibri"/>
          <w:b w:val="0"/>
          <w:i w:val="0"/>
          <w:sz w:val="22"/>
        </w:rPr>
        <w:t>L'expérience contrôlée (avec/sans redistribution) mesure quantitativement l'impact de chaque choix. Plutôt que de supposer, on mesure.</w:t>
      </w:r>
    </w:p>
    <w:p>
      <w:pPr>
        <w:pStyle w:val="Heading3"/>
        <w:spacing w:before="200"/>
      </w:pPr>
      <w:r>
        <w:rPr>
          <w:rFonts w:ascii="Calibri" w:hAnsi="Calibri"/>
          <w:color w:val="376BB5"/>
        </w:rPr>
        <w:t>✅ Validation multi-niveaux</w:t>
      </w:r>
    </w:p>
    <w:p>
      <w:pPr>
        <w:spacing w:after="80"/>
      </w:pPr>
      <w:r>
        <w:rPr>
          <w:rFonts w:ascii="Calibri" w:hAnsi="Calibri"/>
          <w:b w:val="0"/>
          <w:i w:val="0"/>
          <w:sz w:val="22"/>
        </w:rPr>
        <w:t>Benchmark 10 algorithmes → GridSearchCV → validation croisée 5-fold → seuil optimal sur courbe PR → 19 checkpoints automatisés.</w:t>
      </w:r>
    </w:p>
    <w:p>
      <w:pPr>
        <w:pStyle w:val="Heading3"/>
        <w:spacing w:before="200"/>
      </w:pPr>
      <w:r>
        <w:rPr>
          <w:rFonts w:ascii="Calibri" w:hAnsi="Calibri"/>
          <w:color w:val="376BB5"/>
        </w:rPr>
        <w:t>✅ 11 visualisations professionnelles</w:t>
      </w:r>
    </w:p>
    <w:p>
      <w:pPr>
        <w:spacing w:after="80"/>
      </w:pPr>
      <w:r>
        <w:rPr>
          <w:rFonts w:ascii="Calibri" w:hAnsi="Calibri"/>
          <w:b w:val="0"/>
          <w:i w:val="0"/>
          <w:sz w:val="22"/>
        </w:rPr>
        <w:t>EDA, corrélation, déséquilibre des classes, benchmark, feature importance, confusion matrix, ROC, PR, learning curves, géographie, dashboard stratégique.</w:t>
      </w:r>
    </w:p>
    <w:p>
      <w:pPr>
        <w:pStyle w:val="Heading3"/>
        <w:spacing w:before="200"/>
      </w:pPr>
      <w:r>
        <w:rPr>
          <w:rFonts w:ascii="Calibri" w:hAnsi="Calibri"/>
          <w:color w:val="376BB5"/>
        </w:rPr>
        <w:t>✅ Robustesse aux pannes</w:t>
      </w:r>
    </w:p>
    <w:p>
      <w:pPr>
        <w:spacing w:after="80"/>
      </w:pPr>
      <w:r>
        <w:rPr>
          <w:rFonts w:ascii="Calibri" w:hAnsi="Calibri"/>
          <w:b w:val="0"/>
          <w:i w:val="0"/>
          <w:sz w:val="22"/>
        </w:rPr>
        <w:t>Fallback données si SQL inaccessible, fallback démographique si CSV absent, fallback augmentation si Quality Gate échoue.</w:t>
      </w:r>
    </w:p>
    <w:p>
      <w:pPr>
        <w:pStyle w:val="Heading3"/>
        <w:spacing w:before="200"/>
      </w:pPr>
      <w:r>
        <w:rPr>
          <w:rFonts w:ascii="Calibri" w:hAnsi="Calibri"/>
          <w:color w:val="376BB5"/>
        </w:rPr>
        <w:t>✅ Quality Gate adaptatif (innovation)</w:t>
      </w:r>
    </w:p>
    <w:p>
      <w:pPr>
        <w:spacing w:after="80"/>
      </w:pPr>
      <w:r>
        <w:rPr>
          <w:rFonts w:ascii="Calibri" w:hAnsi="Calibri"/>
          <w:b w:val="0"/>
          <w:i w:val="0"/>
          <w:sz w:val="22"/>
        </w:rPr>
        <w:t>Mesure automatique de la qualité ERP avant chaque réentraînement. Le pipeline s'améliore automatiquement avec les données.</w:t>
      </w:r>
    </w:p>
    <w:p>
      <w:pPr>
        <w:pStyle w:val="Heading2"/>
        <w:spacing w:before="280" w:after="80"/>
      </w:pPr>
      <w:r>
        <w:rPr>
          <w:rFonts w:ascii="Calibri" w:hAnsi="Calibri"/>
          <w:color w:val="1D4ED8"/>
        </w:rPr>
        <w:t>8.2 Ce qui est impressionnant pour un PFE</w:t>
      </w:r>
    </w:p>
    <w:p>
      <w:pPr>
        <w:spacing w:before="120" w:after="120"/>
        <w:ind w:left="567" w:right="567"/>
        <w:shd w:val="clear" w:color="auto" w:fill="DCFCE7"/>
      </w:pPr>
      <w:r>
        <w:rPr>
          <w:rFonts w:ascii="Calibri" w:hAnsi="Calibri"/>
          <w:b w:val="0"/>
          <w:i w:val="0"/>
          <w:color w:val="166534"/>
          <w:sz w:val="20"/>
        </w:rPr>
        <w:t>✅  La combinaison d'une API REST fonctionnelle + pipeline de réentraînement automatique + Quality Gate adaptatif + versioning d'artefacts dans un même projet académique est rare. Ces éléments sont couramment présentés comme "perspectives futures" dans la majorité des PFE — ici, ils sont implémentés et opérationnels.</w:t>
      </w:r>
    </w:p>
    <w:p>
      <w:r>
        <w:br w:type="page"/>
      </w:r>
    </w:p>
    <w:p>
      <w:pPr>
        <w:pStyle w:val="Heading1"/>
        <w:spacing w:before="360" w:after="120"/>
      </w:pPr>
      <w:r>
        <w:rPr>
          <w:rFonts w:ascii="Calibri" w:hAnsi="Calibri"/>
          <w:color w:val="1E3A8A"/>
        </w:rPr>
        <w:t>9. Points faibles et limites</w:t>
      </w:r>
    </w:p>
    <w:p>
      <w:pPr>
        <w:pStyle w:val="Heading2"/>
        <w:spacing w:before="280" w:after="80"/>
      </w:pPr>
      <w:r>
        <w:rPr>
          <w:rFonts w:ascii="Calibri" w:hAnsi="Calibri"/>
          <w:color w:val="1D4ED8"/>
        </w:rPr>
        <w:t>9.1 Limites des données</w:t>
      </w:r>
    </w:p>
    <w:tbl>
      <w:tblPr>
        <w:tblStyle w:val="TableGrid"/>
        <w:tblW w:type="auto" w:w="0"/>
        <w:jc w:val="center"/>
        <w:tblLook w:firstColumn="1" w:firstRow="1" w:lastColumn="0" w:lastRow="0" w:noHBand="0" w:noVBand="1" w:val="04A0"/>
      </w:tblPr>
      <w:tblGrid>
        <w:gridCol w:w="3041"/>
        <w:gridCol w:w="3041"/>
        <w:gridCol w:w="3041"/>
      </w:tblGrid>
      <w:tr>
        <w:tc>
          <w:tcPr>
            <w:tcW w:type="dxa" w:w="2551"/>
            <w:vAlign w:val="center"/>
            <w:shd w:val="clear" w:color="auto" w:fill="1E3A8A"/>
          </w:tcPr>
          <w:p>
            <w:pPr>
              <w:jc w:val="center"/>
            </w:pPr>
            <w:r>
              <w:rPr>
                <w:rFonts w:ascii="Calibri" w:hAnsi="Calibri"/>
                <w:b/>
                <w:i w:val="0"/>
                <w:color w:val="FFFFFF"/>
                <w:sz w:val="20"/>
              </w:rPr>
              <w:t>Limite</w:t>
            </w:r>
          </w:p>
        </w:tc>
        <w:tc>
          <w:tcPr>
            <w:tcW w:type="dxa" w:w="2835"/>
            <w:vAlign w:val="center"/>
            <w:shd w:val="clear" w:color="auto" w:fill="1E3A8A"/>
          </w:tcPr>
          <w:p>
            <w:pPr>
              <w:jc w:val="center"/>
            </w:pPr>
            <w:r>
              <w:rPr>
                <w:rFonts w:ascii="Calibri" w:hAnsi="Calibri"/>
                <w:b/>
                <w:i w:val="0"/>
                <w:color w:val="FFFFFF"/>
                <w:sz w:val="20"/>
              </w:rPr>
              <w:t>Impact</w:t>
            </w:r>
          </w:p>
        </w:tc>
        <w:tc>
          <w:tcPr>
            <w:tcW w:type="dxa" w:w="4252"/>
            <w:vAlign w:val="center"/>
            <w:shd w:val="clear" w:color="auto" w:fill="1E3A8A"/>
          </w:tcPr>
          <w:p>
            <w:pPr>
              <w:jc w:val="center"/>
            </w:pPr>
            <w:r>
              <w:rPr>
                <w:rFonts w:ascii="Calibri" w:hAnsi="Calibri"/>
                <w:b/>
                <w:i w:val="0"/>
                <w:color w:val="FFFFFF"/>
                <w:sz w:val="20"/>
              </w:rPr>
              <w:t>Mitigation appliquée</w:t>
            </w:r>
          </w:p>
        </w:tc>
      </w:tr>
      <w:tr>
        <w:tc>
          <w:tcPr>
            <w:tcW w:type="dxa" w:w="2551"/>
            <w:vAlign w:val="center"/>
            <w:shd w:val="clear" w:color="auto" w:fill="EFF6FF"/>
          </w:tcPr>
          <w:p>
            <w:pPr>
              <w:jc w:val="center"/>
            </w:pPr>
            <w:r>
              <w:rPr>
                <w:rFonts w:ascii="Calibri" w:hAnsi="Calibri"/>
                <w:b w:val="0"/>
                <w:i w:val="0"/>
                <w:sz w:val="20"/>
              </w:rPr>
              <w:t>Volume modeste (~150 transactions/région)</w:t>
            </w:r>
          </w:p>
        </w:tc>
        <w:tc>
          <w:tcPr>
            <w:tcW w:type="dxa" w:w="2835"/>
            <w:vAlign w:val="center"/>
            <w:shd w:val="clear" w:color="auto" w:fill="EFF6FF"/>
          </w:tcPr>
          <w:p>
            <w:pPr>
              <w:jc w:val="center"/>
            </w:pPr>
            <w:r>
              <w:rPr>
                <w:rFonts w:ascii="Calibri" w:hAnsi="Calibri"/>
                <w:b w:val="0"/>
                <w:i w:val="0"/>
                <w:sz w:val="20"/>
              </w:rPr>
              <w:t>Prédictions moins précises pour les petites régions (Manouba: 59, Monastir: 66)</w:t>
            </w:r>
          </w:p>
        </w:tc>
        <w:tc>
          <w:tcPr>
            <w:tcW w:type="dxa" w:w="4252"/>
            <w:vAlign w:val="center"/>
            <w:shd w:val="clear" w:color="auto" w:fill="EFF6FF"/>
          </w:tcPr>
          <w:p>
            <w:pPr>
              <w:jc w:val="center"/>
            </w:pPr>
            <w:r>
              <w:rPr>
                <w:rFonts w:ascii="Calibri" w:hAnsi="Calibri"/>
                <w:b w:val="0"/>
                <w:i w:val="0"/>
                <w:sz w:val="20"/>
              </w:rPr>
              <w:t>Documenté comme limite — résultats à interpréter avec prudence pour ces régions</w:t>
            </w:r>
          </w:p>
        </w:tc>
      </w:tr>
      <w:tr>
        <w:tc>
          <w:tcPr>
            <w:tcW w:type="dxa" w:w="2551"/>
            <w:vAlign w:val="center"/>
            <w:shd w:val="clear" w:color="auto" w:fill="FFFFFF"/>
          </w:tcPr>
          <w:p>
            <w:pPr>
              <w:jc w:val="center"/>
            </w:pPr>
            <w:r>
              <w:rPr>
                <w:rFonts w:ascii="Calibri" w:hAnsi="Calibri"/>
                <w:b w:val="0"/>
                <w:i w:val="0"/>
                <w:sz w:val="20"/>
              </w:rPr>
              <w:t>Géographie approximative (proxy prix)</w:t>
            </w:r>
          </w:p>
        </w:tc>
        <w:tc>
          <w:tcPr>
            <w:tcW w:type="dxa" w:w="2835"/>
            <w:vAlign w:val="center"/>
            <w:shd w:val="clear" w:color="auto" w:fill="FFFFFF"/>
          </w:tcPr>
          <w:p>
            <w:pPr>
              <w:jc w:val="center"/>
            </w:pPr>
            <w:r>
              <w:rPr>
                <w:rFonts w:ascii="Calibri" w:hAnsi="Calibri"/>
                <w:b w:val="0"/>
                <w:i w:val="0"/>
                <w:sz w:val="20"/>
              </w:rPr>
              <w:t>Assignation régionale estimée, pas mesurée</w:t>
            </w:r>
          </w:p>
        </w:tc>
        <w:tc>
          <w:tcPr>
            <w:tcW w:type="dxa" w:w="4252"/>
            <w:vAlign w:val="center"/>
            <w:shd w:val="clear" w:color="auto" w:fill="FFFFFF"/>
          </w:tcPr>
          <w:p>
            <w:pPr>
              <w:jc w:val="center"/>
            </w:pPr>
            <w:r>
              <w:rPr>
                <w:rFonts w:ascii="Calibri" w:hAnsi="Calibri"/>
                <w:b w:val="0"/>
                <w:i w:val="0"/>
                <w:sz w:val="20"/>
              </w:rPr>
              <w:t>Expérience validée (+3.3% F1), Quality Gate pour détecter l'amélioration ERP</w:t>
            </w:r>
          </w:p>
        </w:tc>
      </w:tr>
      <w:tr>
        <w:tc>
          <w:tcPr>
            <w:tcW w:type="dxa" w:w="2551"/>
            <w:vAlign w:val="center"/>
            <w:shd w:val="clear" w:color="auto" w:fill="EFF6FF"/>
          </w:tcPr>
          <w:p>
            <w:pPr>
              <w:jc w:val="center"/>
            </w:pPr>
            <w:r>
              <w:rPr>
                <w:rFonts w:ascii="Calibri" w:hAnsi="Calibri"/>
                <w:b w:val="0"/>
                <w:i w:val="0"/>
                <w:sz w:val="20"/>
              </w:rPr>
              <w:t>TATAOUINE surreprésentée (703/3595)</w:t>
            </w:r>
          </w:p>
        </w:tc>
        <w:tc>
          <w:tcPr>
            <w:tcW w:type="dxa" w:w="2835"/>
            <w:vAlign w:val="center"/>
            <w:shd w:val="clear" w:color="auto" w:fill="EFF6FF"/>
          </w:tcPr>
          <w:p>
            <w:pPr>
              <w:jc w:val="center"/>
            </w:pPr>
            <w:r>
              <w:rPr>
                <w:rFonts w:ascii="Calibri" w:hAnsi="Calibri"/>
                <w:b w:val="0"/>
                <w:i w:val="0"/>
                <w:sz w:val="20"/>
              </w:rPr>
              <w:t>Biais potentiel dans les recommandations globales</w:t>
            </w:r>
          </w:p>
        </w:tc>
        <w:tc>
          <w:tcPr>
            <w:tcW w:type="dxa" w:w="4252"/>
            <w:vAlign w:val="center"/>
            <w:shd w:val="clear" w:color="auto" w:fill="EFF6FF"/>
          </w:tcPr>
          <w:p>
            <w:pPr>
              <w:jc w:val="center"/>
            </w:pPr>
            <w:r>
              <w:rPr>
                <w:rFonts w:ascii="Calibri" w:hAnsi="Calibri"/>
                <w:b w:val="0"/>
                <w:i w:val="0"/>
                <w:sz w:val="20"/>
              </w:rPr>
              <w:t>Documenté, recommandations à croiser avec analyse terrain</w:t>
            </w:r>
          </w:p>
        </w:tc>
      </w:tr>
    </w:tbl>
    <w:p/>
    <w:p>
      <w:pPr>
        <w:pStyle w:val="Heading2"/>
        <w:spacing w:before="280" w:after="80"/>
      </w:pPr>
      <w:r>
        <w:rPr>
          <w:rFonts w:ascii="Calibri" w:hAnsi="Calibri"/>
          <w:color w:val="1D4ED8"/>
        </w:rPr>
        <w:t>9.2 Limites du modèle</w:t>
      </w:r>
    </w:p>
    <w:tbl>
      <w:tblPr>
        <w:tblStyle w:val="TableGrid"/>
        <w:tblW w:type="auto" w:w="0"/>
        <w:jc w:val="center"/>
        <w:tblLook w:firstColumn="1" w:firstRow="1" w:lastColumn="0" w:lastRow="0" w:noHBand="0" w:noVBand="1" w:val="04A0"/>
      </w:tblPr>
      <w:tblGrid>
        <w:gridCol w:w="3041"/>
        <w:gridCol w:w="3041"/>
        <w:gridCol w:w="3041"/>
      </w:tblGrid>
      <w:tr>
        <w:tc>
          <w:tcPr>
            <w:tcW w:type="dxa" w:w="2551"/>
            <w:vAlign w:val="center"/>
            <w:shd w:val="clear" w:color="auto" w:fill="1E3A8A"/>
          </w:tcPr>
          <w:p>
            <w:pPr>
              <w:jc w:val="center"/>
            </w:pPr>
            <w:r>
              <w:rPr>
                <w:rFonts w:ascii="Calibri" w:hAnsi="Calibri"/>
                <w:b/>
                <w:i w:val="0"/>
                <w:color w:val="FFFFFF"/>
                <w:sz w:val="20"/>
              </w:rPr>
              <w:t>Limite</w:t>
            </w:r>
          </w:p>
        </w:tc>
        <w:tc>
          <w:tcPr>
            <w:tcW w:type="dxa" w:w="1984"/>
            <w:vAlign w:val="center"/>
            <w:shd w:val="clear" w:color="auto" w:fill="1E3A8A"/>
          </w:tcPr>
          <w:p>
            <w:pPr>
              <w:jc w:val="center"/>
            </w:pPr>
            <w:r>
              <w:rPr>
                <w:rFonts w:ascii="Calibri" w:hAnsi="Calibri"/>
                <w:b/>
                <w:i w:val="0"/>
                <w:color w:val="FFFFFF"/>
                <w:sz w:val="20"/>
              </w:rPr>
              <w:t>Valeur mesurée</w:t>
            </w:r>
          </w:p>
        </w:tc>
        <w:tc>
          <w:tcPr>
            <w:tcW w:type="dxa" w:w="5102"/>
            <w:vAlign w:val="center"/>
            <w:shd w:val="clear" w:color="auto" w:fill="1E3A8A"/>
          </w:tcPr>
          <w:p>
            <w:pPr>
              <w:jc w:val="center"/>
            </w:pPr>
            <w:r>
              <w:rPr>
                <w:rFonts w:ascii="Calibri" w:hAnsi="Calibri"/>
                <w:b/>
                <w:i w:val="0"/>
                <w:color w:val="FFFFFF"/>
                <w:sz w:val="20"/>
              </w:rPr>
              <w:t>Explication</w:t>
            </w:r>
          </w:p>
        </w:tc>
      </w:tr>
      <w:tr>
        <w:tc>
          <w:tcPr>
            <w:tcW w:type="dxa" w:w="2551"/>
            <w:vAlign w:val="center"/>
            <w:shd w:val="clear" w:color="auto" w:fill="EFF6FF"/>
          </w:tcPr>
          <w:p>
            <w:pPr>
              <w:jc w:val="center"/>
            </w:pPr>
            <w:r>
              <w:rPr>
                <w:rFonts w:ascii="Calibri" w:hAnsi="Calibri"/>
                <w:b w:val="0"/>
                <w:i w:val="0"/>
                <w:sz w:val="20"/>
              </w:rPr>
              <w:t>Recall HAUSSE faible</w:t>
            </w:r>
          </w:p>
        </w:tc>
        <w:tc>
          <w:tcPr>
            <w:tcW w:type="dxa" w:w="1984"/>
            <w:vAlign w:val="center"/>
            <w:shd w:val="clear" w:color="auto" w:fill="EFF6FF"/>
          </w:tcPr>
          <w:p>
            <w:pPr>
              <w:jc w:val="center"/>
            </w:pPr>
            <w:r>
              <w:rPr>
                <w:rFonts w:ascii="Calibri" w:hAnsi="Calibri"/>
                <w:b w:val="0"/>
                <w:i w:val="0"/>
                <w:sz w:val="20"/>
              </w:rPr>
              <w:t>29.18%</w:t>
            </w:r>
          </w:p>
        </w:tc>
        <w:tc>
          <w:tcPr>
            <w:tcW w:type="dxa" w:w="5102"/>
            <w:vAlign w:val="center"/>
            <w:shd w:val="clear" w:color="auto" w:fill="EFF6FF"/>
          </w:tcPr>
          <w:p>
            <w:pPr>
              <w:jc w:val="center"/>
            </w:pPr>
            <w:r>
              <w:rPr>
                <w:rFonts w:ascii="Calibri" w:hAnsi="Calibri"/>
                <w:b w:val="0"/>
                <w:i w:val="0"/>
                <w:sz w:val="20"/>
              </w:rPr>
              <w:t>Le modèle détecte 29% des vraies transactions à forte intensité. Limite inhérente aux données déséquilibrées.</w:t>
            </w:r>
          </w:p>
        </w:tc>
      </w:tr>
      <w:tr>
        <w:tc>
          <w:tcPr>
            <w:tcW w:type="dxa" w:w="2551"/>
            <w:vAlign w:val="center"/>
            <w:shd w:val="clear" w:color="auto" w:fill="FFFFFF"/>
          </w:tcPr>
          <w:p>
            <w:pPr>
              <w:jc w:val="center"/>
            </w:pPr>
            <w:r>
              <w:rPr>
                <w:rFonts w:ascii="Calibri" w:hAnsi="Calibri"/>
                <w:b w:val="0"/>
                <w:i w:val="0"/>
                <w:sz w:val="20"/>
              </w:rPr>
              <w:t>Pas de features temporelles</w:t>
            </w:r>
          </w:p>
        </w:tc>
        <w:tc>
          <w:tcPr>
            <w:tcW w:type="dxa" w:w="1984"/>
            <w:vAlign w:val="center"/>
            <w:shd w:val="clear" w:color="auto" w:fill="FFFFFF"/>
          </w:tcPr>
          <w:p>
            <w:pPr>
              <w:jc w:val="center"/>
            </w:pPr>
            <w:r>
              <w:rPr>
                <w:rFonts w:ascii="Calibri" w:hAnsi="Calibri"/>
                <w:b w:val="0"/>
                <w:i w:val="0"/>
                <w:sz w:val="20"/>
              </w:rPr>
              <w:t>—</w:t>
            </w:r>
          </w:p>
        </w:tc>
        <w:tc>
          <w:tcPr>
            <w:tcW w:type="dxa" w:w="5102"/>
            <w:vAlign w:val="center"/>
            <w:shd w:val="clear" w:color="auto" w:fill="FFFFFF"/>
          </w:tcPr>
          <w:p>
            <w:pPr>
              <w:jc w:val="center"/>
            </w:pPr>
            <w:r>
              <w:rPr>
                <w:rFonts w:ascii="Calibri" w:hAnsi="Calibri"/>
                <w:b w:val="0"/>
                <w:i w:val="0"/>
                <w:sz w:val="20"/>
              </w:rPr>
              <w:t>Pas de lag des ventes précédentes ni de tendance. Amélioration future : features de tendance trimestrielle.</w:t>
            </w:r>
          </w:p>
        </w:tc>
      </w:tr>
      <w:tr>
        <w:tc>
          <w:tcPr>
            <w:tcW w:type="dxa" w:w="2551"/>
            <w:vAlign w:val="center"/>
            <w:shd w:val="clear" w:color="auto" w:fill="EFF6FF"/>
          </w:tcPr>
          <w:p>
            <w:pPr>
              <w:jc w:val="center"/>
            </w:pPr>
            <w:r>
              <w:rPr>
                <w:rFonts w:ascii="Calibri" w:hAnsi="Calibri"/>
                <w:b w:val="0"/>
                <w:i w:val="0"/>
                <w:sz w:val="20"/>
              </w:rPr>
              <w:t>Multicolinéarité démographique</w:t>
            </w:r>
          </w:p>
        </w:tc>
        <w:tc>
          <w:tcPr>
            <w:tcW w:type="dxa" w:w="1984"/>
            <w:vAlign w:val="center"/>
            <w:shd w:val="clear" w:color="auto" w:fill="EFF6FF"/>
          </w:tcPr>
          <w:p>
            <w:pPr>
              <w:jc w:val="center"/>
            </w:pPr>
            <w:r>
              <w:rPr>
                <w:rFonts w:ascii="Calibri" w:hAnsi="Calibri"/>
                <w:b w:val="0"/>
                <w:i w:val="0"/>
                <w:sz w:val="20"/>
              </w:rPr>
              <w:t>r = 0.88-0.98</w:t>
            </w:r>
          </w:p>
        </w:tc>
        <w:tc>
          <w:tcPr>
            <w:tcW w:type="dxa" w:w="5102"/>
            <w:vAlign w:val="center"/>
            <w:shd w:val="clear" w:color="auto" w:fill="EFF6FF"/>
          </w:tcPr>
          <w:p>
            <w:pPr>
              <w:jc w:val="center"/>
            </w:pPr>
            <w:r>
              <w:rPr>
                <w:rFonts w:ascii="Calibri" w:hAnsi="Calibri"/>
                <w:b w:val="0"/>
                <w:i w:val="0"/>
                <w:sz w:val="20"/>
              </w:rPr>
              <w:t>Les 4 variables démographiques portent la même info. Géré nativement par Random Forest.</w:t>
            </w:r>
          </w:p>
        </w:tc>
      </w:tr>
    </w:tbl>
    <w:p/>
    <w:p>
      <w:pPr>
        <w:pStyle w:val="Heading2"/>
        <w:spacing w:before="280" w:after="80"/>
      </w:pPr>
      <w:r>
        <w:rPr>
          <w:rFonts w:ascii="Calibri" w:hAnsi="Calibri"/>
          <w:color w:val="1D4ED8"/>
        </w:rPr>
        <w:t>9.3 Limites métier</w:t>
      </w:r>
    </w:p>
    <w:p>
      <w:pPr>
        <w:spacing w:before="120" w:after="120"/>
        <w:ind w:left="567" w:right="567"/>
        <w:shd w:val="clear" w:color="auto" w:fill="FEF3C7"/>
      </w:pPr>
      <w:r>
        <w:rPr>
          <w:rFonts w:ascii="Calibri" w:hAnsi="Calibri"/>
          <w:b w:val="0"/>
          <w:i/>
          <w:color w:val="92400E"/>
          <w:sz w:val="20"/>
        </w:rPr>
        <w:t>⚠  TUNIS (443 transactions, 1.1M habitants) est recommandée RÉDUIRE. Cette recommandation s'explique par une intensité transactionnelle relative faible (transactions petites dans le grand contexte de Tunis), pas par un marché peu intéressant en volume absolu. Les recommandations doivent être croisées avec l'analyse commerciale terrain.</w:t>
      </w:r>
    </w:p>
    <w:p>
      <w:r>
        <w:br w:type="page"/>
      </w:r>
    </w:p>
    <w:p>
      <w:pPr>
        <w:pStyle w:val="Heading1"/>
        <w:spacing w:before="360" w:after="120"/>
      </w:pPr>
      <w:r>
        <w:rPr>
          <w:rFonts w:ascii="Calibri" w:hAnsi="Calibri"/>
          <w:color w:val="1E3A8A"/>
        </w:rPr>
        <w:t>10. Conclusion globale</w:t>
      </w:r>
    </w:p>
    <w:p>
      <w:pPr>
        <w:pStyle w:val="Heading2"/>
        <w:spacing w:before="280" w:after="80"/>
      </w:pPr>
      <w:r>
        <w:rPr>
          <w:rFonts w:ascii="Calibri" w:hAnsi="Calibri"/>
          <w:color w:val="1D4ED8"/>
        </w:rPr>
        <w:t>10.1 Est-ce un projet solide ?</w:t>
      </w:r>
    </w:p>
    <w:p>
      <w:pPr>
        <w:spacing w:before="120" w:after="120"/>
        <w:ind w:left="567" w:right="567"/>
        <w:shd w:val="clear" w:color="auto" w:fill="DCFCE7"/>
      </w:pPr>
      <w:r>
        <w:rPr>
          <w:rFonts w:ascii="Calibri" w:hAnsi="Calibri"/>
          <w:b w:val="0"/>
          <w:i w:val="0"/>
          <w:color w:val="166534"/>
          <w:sz w:val="20"/>
        </w:rPr>
        <w:t>✅  Oui, clairement. Ce projet résout un vrai problème métier (allocation des ressources commerciales régionales) avec une vraie solution technique (pipeline ML end-to-end). Il va bien au-delà d'un notebook d'exploration : il produit un système utilisable, maintenable et évolutif.</w:t>
      </w:r>
    </w:p>
    <w:p>
      <w:pPr>
        <w:spacing w:after="80"/>
      </w:pPr>
      <w:r>
        <w:rPr>
          <w:rFonts w:ascii="Calibri" w:hAnsi="Calibri"/>
          <w:b w:val="0"/>
          <w:i w:val="0"/>
          <w:sz w:val="22"/>
        </w:rPr>
        <w:t>Les choix techniques sont justifiés, les limites sont reconnues et documentées, la démarche est scientifique. Le résultat — un Voting Ensemble avec 72.94% d'accuracy, déployé derrière une API Flask avec retraining automatique — est cohérent et défendable.</w:t>
      </w:r>
    </w:p>
    <w:p>
      <w:pPr>
        <w:pStyle w:val="Heading2"/>
        <w:spacing w:before="280" w:after="80"/>
      </w:pPr>
      <w:r>
        <w:rPr>
          <w:rFonts w:ascii="Calibri" w:hAnsi="Calibri"/>
          <w:color w:val="1D4ED8"/>
        </w:rPr>
        <w:t>10.2 Est-il défendable devant un jury ?</w:t>
      </w:r>
    </w:p>
    <w:p>
      <w:pPr>
        <w:spacing w:after="80"/>
      </w:pPr>
      <w:r>
        <w:rPr>
          <w:rFonts w:ascii="Calibri" w:hAnsi="Calibri"/>
          <w:b w:val="0"/>
          <w:i w:val="0"/>
          <w:sz w:val="22"/>
        </w:rPr>
        <w:t>Oui, avec une bonne préparation. Les questions difficiles viendront probablement sur trois points : la définition de la variable cible, la méthode d'inférence géographique, et le recall HAUSSE à 29%. Ces trois points ont des réponses solides.</w:t>
      </w:r>
    </w:p>
    <w:p>
      <w:pPr>
        <w:spacing w:before="120" w:after="120"/>
        <w:ind w:left="567" w:right="567"/>
        <w:shd w:val="clear" w:color="auto" w:fill="FEF3C7"/>
      </w:pPr>
      <w:r>
        <w:rPr>
          <w:rFonts w:ascii="Calibri" w:hAnsi="Calibri"/>
          <w:b w:val="0"/>
          <w:i/>
          <w:color w:val="92400E"/>
          <w:sz w:val="20"/>
        </w:rPr>
        <w:t>⚠  Présenter les limites soi-même avant que le jury ne les soulève est perçu très positivement. Un étudiant qui connaît les limites de son travail montre qu'il comprend vraiment ce qu'il a fait.</w:t>
      </w:r>
    </w:p>
    <w:p>
      <w:pPr>
        <w:pStyle w:val="Heading2"/>
        <w:spacing w:before="280" w:after="80"/>
      </w:pPr>
      <w:r>
        <w:rPr>
          <w:rFonts w:ascii="Calibri" w:hAnsi="Calibri"/>
          <w:color w:val="1D4ED8"/>
        </w:rPr>
        <w:t>10.3 Niveau du projet</w:t>
      </w:r>
    </w:p>
    <w:p>
      <w:pPr>
        <w:spacing w:before="240" w:after="240"/>
        <w:jc w:val="center"/>
      </w:pPr>
      <w:r>
        <w:rPr>
          <w:rFonts w:ascii="Calibri" w:hAnsi="Calibri"/>
          <w:b/>
          <w:i w:val="0"/>
          <w:color w:val="074726"/>
          <w:sz w:val="32"/>
        </w:rPr>
        <w:t>Avancé — à la frontière du niveau industriel</w:t>
      </w:r>
    </w:p>
    <w:tbl>
      <w:tblPr>
        <w:tblStyle w:val="TableGrid"/>
        <w:tblW w:type="auto" w:w="0"/>
        <w:jc w:val="center"/>
        <w:tblLook w:firstColumn="1" w:firstRow="1" w:lastColumn="0" w:lastRow="0" w:noHBand="0" w:noVBand="1" w:val="04A0"/>
      </w:tblPr>
      <w:tblGrid>
        <w:gridCol w:w="3041"/>
        <w:gridCol w:w="3041"/>
        <w:gridCol w:w="3041"/>
      </w:tblGrid>
      <w:tr>
        <w:tc>
          <w:tcPr>
            <w:tcW w:type="dxa" w:w="2835"/>
            <w:vAlign w:val="center"/>
            <w:shd w:val="clear" w:color="auto" w:fill="1E3A8A"/>
          </w:tcPr>
          <w:p>
            <w:pPr>
              <w:jc w:val="center"/>
            </w:pPr>
            <w:r>
              <w:rPr>
                <w:rFonts w:ascii="Calibri" w:hAnsi="Calibri"/>
                <w:b/>
                <w:i w:val="0"/>
                <w:color w:val="FFFFFF"/>
                <w:sz w:val="20"/>
              </w:rPr>
              <w:t>Critère</w:t>
            </w:r>
          </w:p>
        </w:tc>
        <w:tc>
          <w:tcPr>
            <w:tcW w:type="dxa" w:w="1701"/>
            <w:vAlign w:val="center"/>
            <w:shd w:val="clear" w:color="auto" w:fill="1E3A8A"/>
          </w:tcPr>
          <w:p>
            <w:pPr>
              <w:jc w:val="center"/>
            </w:pPr>
            <w:r>
              <w:rPr>
                <w:rFonts w:ascii="Calibri" w:hAnsi="Calibri"/>
                <w:b/>
                <w:i w:val="0"/>
                <w:color w:val="FFFFFF"/>
                <w:sz w:val="20"/>
              </w:rPr>
              <w:t>Évaluation</w:t>
            </w:r>
          </w:p>
        </w:tc>
        <w:tc>
          <w:tcPr>
            <w:tcW w:type="dxa" w:w="5102"/>
            <w:vAlign w:val="center"/>
            <w:shd w:val="clear" w:color="auto" w:fill="1E3A8A"/>
          </w:tcPr>
          <w:p>
            <w:pPr>
              <w:jc w:val="center"/>
            </w:pPr>
            <w:r>
              <w:rPr>
                <w:rFonts w:ascii="Calibri" w:hAnsi="Calibri"/>
                <w:b/>
                <w:i w:val="0"/>
                <w:color w:val="FFFFFF"/>
                <w:sz w:val="20"/>
              </w:rPr>
              <w:t>Commentaire</w:t>
            </w:r>
          </w:p>
        </w:tc>
      </w:tr>
      <w:tr>
        <w:tc>
          <w:tcPr>
            <w:tcW w:type="dxa" w:w="2835"/>
            <w:vAlign w:val="center"/>
            <w:shd w:val="clear" w:color="auto" w:fill="EFF6FF"/>
          </w:tcPr>
          <w:p>
            <w:pPr>
              <w:jc w:val="center"/>
            </w:pPr>
            <w:r>
              <w:rPr>
                <w:rFonts w:ascii="Calibri" w:hAnsi="Calibri"/>
                <w:b w:val="0"/>
                <w:i w:val="0"/>
                <w:sz w:val="20"/>
              </w:rPr>
              <w:t>Niveau technique</w:t>
            </w:r>
          </w:p>
        </w:tc>
        <w:tc>
          <w:tcPr>
            <w:tcW w:type="dxa" w:w="1701"/>
            <w:vAlign w:val="center"/>
            <w:shd w:val="clear" w:color="auto" w:fill="EFF6FF"/>
          </w:tcPr>
          <w:p>
            <w:pPr>
              <w:jc w:val="center"/>
            </w:pPr>
            <w:r>
              <w:rPr>
                <w:rFonts w:ascii="Calibri" w:hAnsi="Calibri"/>
                <w:b w:val="0"/>
                <w:i w:val="0"/>
                <w:sz w:val="20"/>
              </w:rPr>
              <w:t>⭐⭐⭐⭐⭐</w:t>
            </w:r>
          </w:p>
        </w:tc>
        <w:tc>
          <w:tcPr>
            <w:tcW w:type="dxa" w:w="5102"/>
            <w:vAlign w:val="center"/>
            <w:shd w:val="clear" w:color="auto" w:fill="EFF6FF"/>
          </w:tcPr>
          <w:p>
            <w:pPr>
              <w:jc w:val="center"/>
            </w:pPr>
            <w:r>
              <w:rPr>
                <w:rFonts w:ascii="Calibri" w:hAnsi="Calibri"/>
                <w:b w:val="0"/>
                <w:i w:val="0"/>
                <w:sz w:val="20"/>
              </w:rPr>
              <w:t>Architecture professionnelle, MLOps complet, API deployable</w:t>
            </w:r>
          </w:p>
        </w:tc>
      </w:tr>
      <w:tr>
        <w:tc>
          <w:tcPr>
            <w:tcW w:type="dxa" w:w="2835"/>
            <w:vAlign w:val="center"/>
            <w:shd w:val="clear" w:color="auto" w:fill="FFFFFF"/>
          </w:tcPr>
          <w:p>
            <w:pPr>
              <w:jc w:val="center"/>
            </w:pPr>
            <w:r>
              <w:rPr>
                <w:rFonts w:ascii="Calibri" w:hAnsi="Calibri"/>
                <w:b w:val="0"/>
                <w:i w:val="0"/>
                <w:sz w:val="20"/>
              </w:rPr>
              <w:t>Qualité scientifique</w:t>
            </w:r>
          </w:p>
        </w:tc>
        <w:tc>
          <w:tcPr>
            <w:tcW w:type="dxa" w:w="1701"/>
            <w:vAlign w:val="center"/>
            <w:shd w:val="clear" w:color="auto" w:fill="FFFFFF"/>
          </w:tcPr>
          <w:p>
            <w:pPr>
              <w:jc w:val="center"/>
            </w:pPr>
            <w:r>
              <w:rPr>
                <w:rFonts w:ascii="Calibri" w:hAnsi="Calibri"/>
                <w:b w:val="0"/>
                <w:i w:val="0"/>
                <w:sz w:val="20"/>
              </w:rPr>
              <w:t>⭐⭐⭐⭐</w:t>
            </w:r>
          </w:p>
        </w:tc>
        <w:tc>
          <w:tcPr>
            <w:tcW w:type="dxa" w:w="5102"/>
            <w:vAlign w:val="center"/>
            <w:shd w:val="clear" w:color="auto" w:fill="FFFFFF"/>
          </w:tcPr>
          <w:p>
            <w:pPr>
              <w:jc w:val="center"/>
            </w:pPr>
            <w:r>
              <w:rPr>
                <w:rFonts w:ascii="Calibri" w:hAnsi="Calibri"/>
                <w:b w:val="0"/>
                <w:i w:val="0"/>
                <w:sz w:val="20"/>
              </w:rPr>
              <w:t>Démarche rigoureuse, limites documentées, validation multi-niveaux</w:t>
            </w:r>
          </w:p>
        </w:tc>
      </w:tr>
      <w:tr>
        <w:tc>
          <w:tcPr>
            <w:tcW w:type="dxa" w:w="2835"/>
            <w:vAlign w:val="center"/>
            <w:shd w:val="clear" w:color="auto" w:fill="EFF6FF"/>
          </w:tcPr>
          <w:p>
            <w:pPr>
              <w:jc w:val="center"/>
            </w:pPr>
            <w:r>
              <w:rPr>
                <w:rFonts w:ascii="Calibri" w:hAnsi="Calibri"/>
                <w:b w:val="0"/>
                <w:i w:val="0"/>
                <w:sz w:val="20"/>
              </w:rPr>
              <w:t>Valeur métier</w:t>
            </w:r>
          </w:p>
        </w:tc>
        <w:tc>
          <w:tcPr>
            <w:tcW w:type="dxa" w:w="1701"/>
            <w:vAlign w:val="center"/>
            <w:shd w:val="clear" w:color="auto" w:fill="EFF6FF"/>
          </w:tcPr>
          <w:p>
            <w:pPr>
              <w:jc w:val="center"/>
            </w:pPr>
            <w:r>
              <w:rPr>
                <w:rFonts w:ascii="Calibri" w:hAnsi="Calibri"/>
                <w:b w:val="0"/>
                <w:i w:val="0"/>
                <w:sz w:val="20"/>
              </w:rPr>
              <w:t>⭐⭐⭐⭐</w:t>
            </w:r>
          </w:p>
        </w:tc>
        <w:tc>
          <w:tcPr>
            <w:tcW w:type="dxa" w:w="5102"/>
            <w:vAlign w:val="center"/>
            <w:shd w:val="clear" w:color="auto" w:fill="EFF6FF"/>
          </w:tcPr>
          <w:p>
            <w:pPr>
              <w:jc w:val="center"/>
            </w:pPr>
            <w:r>
              <w:rPr>
                <w:rFonts w:ascii="Calibri" w:hAnsi="Calibri"/>
                <w:b w:val="0"/>
                <w:i w:val="0"/>
                <w:sz w:val="20"/>
              </w:rPr>
              <w:t>Problème réel, recommandations actionnables, données ERP réelles</w:t>
            </w:r>
          </w:p>
        </w:tc>
      </w:tr>
      <w:tr>
        <w:tc>
          <w:tcPr>
            <w:tcW w:type="dxa" w:w="2835"/>
            <w:vAlign w:val="center"/>
            <w:shd w:val="clear" w:color="auto" w:fill="FFFFFF"/>
          </w:tcPr>
          <w:p>
            <w:pPr>
              <w:jc w:val="center"/>
            </w:pPr>
            <w:r>
              <w:rPr>
                <w:rFonts w:ascii="Calibri" w:hAnsi="Calibri"/>
                <w:b w:val="0"/>
                <w:i w:val="0"/>
                <w:sz w:val="20"/>
              </w:rPr>
              <w:t>Fiabilité soutenance</w:t>
            </w:r>
          </w:p>
        </w:tc>
        <w:tc>
          <w:tcPr>
            <w:tcW w:type="dxa" w:w="1701"/>
            <w:vAlign w:val="center"/>
            <w:shd w:val="clear" w:color="auto" w:fill="FFFFFF"/>
          </w:tcPr>
          <w:p>
            <w:pPr>
              <w:jc w:val="center"/>
            </w:pPr>
            <w:r>
              <w:rPr>
                <w:rFonts w:ascii="Calibri" w:hAnsi="Calibri"/>
                <w:b w:val="0"/>
                <w:i w:val="0"/>
                <w:sz w:val="20"/>
              </w:rPr>
              <w:t>⭐⭐⭐⭐⭐</w:t>
            </w:r>
          </w:p>
        </w:tc>
        <w:tc>
          <w:tcPr>
            <w:tcW w:type="dxa" w:w="5102"/>
            <w:vAlign w:val="center"/>
            <w:shd w:val="clear" w:color="auto" w:fill="FFFFFF"/>
          </w:tcPr>
          <w:p>
            <w:pPr>
              <w:jc w:val="center"/>
            </w:pPr>
            <w:r>
              <w:rPr>
                <w:rFonts w:ascii="Calibri" w:hAnsi="Calibri"/>
                <w:b w:val="0"/>
                <w:i w:val="0"/>
                <w:sz w:val="20"/>
              </w:rPr>
              <w:t>Prêt — questions difficiles anticipées et réponses préparées</w:t>
            </w:r>
          </w:p>
        </w:tc>
      </w:tr>
      <w:tr>
        <w:tc>
          <w:tcPr>
            <w:tcW w:type="dxa" w:w="2835"/>
            <w:vAlign w:val="center"/>
            <w:shd w:val="clear" w:color="auto" w:fill="EFF6FF"/>
          </w:tcPr>
          <w:p>
            <w:pPr>
              <w:jc w:val="center"/>
            </w:pPr>
            <w:r>
              <w:rPr>
                <w:rFonts w:ascii="Calibri" w:hAnsi="Calibri"/>
                <w:b w:val="0"/>
                <w:i w:val="0"/>
                <w:sz w:val="20"/>
              </w:rPr>
              <w:t>Comparaison autres PFE</w:t>
            </w:r>
          </w:p>
        </w:tc>
        <w:tc>
          <w:tcPr>
            <w:tcW w:type="dxa" w:w="1701"/>
            <w:vAlign w:val="center"/>
            <w:shd w:val="clear" w:color="auto" w:fill="EFF6FF"/>
          </w:tcPr>
          <w:p>
            <w:pPr>
              <w:jc w:val="center"/>
            </w:pPr>
            <w:r>
              <w:rPr>
                <w:rFonts w:ascii="Calibri" w:hAnsi="Calibri"/>
                <w:b w:val="0"/>
                <w:i w:val="0"/>
                <w:sz w:val="20"/>
              </w:rPr>
              <w:t>⭐⭐⭐⭐⭐</w:t>
            </w:r>
          </w:p>
        </w:tc>
        <w:tc>
          <w:tcPr>
            <w:tcW w:type="dxa" w:w="5102"/>
            <w:vAlign w:val="center"/>
            <w:shd w:val="clear" w:color="auto" w:fill="EFF6FF"/>
          </w:tcPr>
          <w:p>
            <w:pPr>
              <w:jc w:val="center"/>
            </w:pPr>
            <w:r>
              <w:rPr>
                <w:rFonts w:ascii="Calibri" w:hAnsi="Calibri"/>
                <w:b w:val="0"/>
                <w:i w:val="0"/>
                <w:sz w:val="20"/>
              </w:rPr>
              <w:t>Significativement au-dessus de la moyenne académique</w:t>
            </w:r>
          </w:p>
        </w:tc>
      </w:tr>
    </w:tbl>
    <w:p/>
    <w:p>
      <w:pPr>
        <w:spacing w:after="80"/>
      </w:pPr>
      <w:r>
        <w:rPr>
          <w:rFonts w:ascii="Calibri" w:hAnsi="Calibri"/>
          <w:b w:val="0"/>
          <w:i w:val="0"/>
          <w:sz w:val="22"/>
        </w:rPr>
      </w:r>
    </w:p>
    <w:p>
      <w:pPr>
        <w:spacing w:after="80"/>
      </w:pPr>
      <w:r>
        <w:rPr>
          <w:rFonts w:ascii="Calibri" w:hAnsi="Calibri"/>
          <w:b w:val="0"/>
          <w:i/>
          <w:sz w:val="22"/>
        </w:rPr>
        <w:t>La majorité des projets PFE en Data Science présentent un notebook avec un modèle et quelques graphiques. Ce projet inclut en plus une API REST déployable, un pipeline de réentraînement automatique avec Quality Gate, du versioning d'artefacts, une gestion des erreurs robuste, et une démarche expérimentale rigoureuse. C'est le niveau que les entreprises attendent de leurs jeunes data scientists en sortie d'études supérieures.</w:t>
      </w:r>
    </w:p>
    <w:p/>
    <w:p>
      <w:pPr>
        <w:spacing w:before="120" w:after="120"/>
      </w:pPr>
      <w:r>
        <w:rPr>
          <w:color w:val="CCCCCC"/>
          <w:sz w:val="16"/>
        </w:rPr>
        <w:t>──────────────────────────────────────────────────────────────────────────────────────────</w:t>
      </w:r>
    </w:p>
    <w:p>
      <w:pPr>
        <w:jc w:val="center"/>
      </w:pPr>
      <w:r>
        <w:rPr>
          <w:rFonts w:ascii="Calibri" w:hAnsi="Calibri"/>
          <w:b w:val="0"/>
          <w:i/>
          <w:color w:val="9CA3AF"/>
          <w:sz w:val="18"/>
        </w:rPr>
        <w:t>Rapport généré automatiquement  |  Pipeline ML V1.4  |  VotingClassifier  |  Accuracy: 72.94%  |  F1: 70.03%  |  AUC: 70.92%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