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B8EE6">
      <w:pPr>
        <w:pStyle w:val="8"/>
        <w:bidi w:val="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RepoMind 代码语义检索</w:t>
      </w:r>
      <w:r>
        <w:rPr>
          <w:rFonts w:hint="eastAsia" w:ascii="宋体" w:hAnsi="宋体" w:eastAsia="宋体" w:cs="宋体"/>
          <w:color w:val="auto"/>
          <w:lang w:eastAsia="zh-CN"/>
        </w:rPr>
        <w:t>——</w:t>
      </w:r>
      <w:r>
        <w:rPr>
          <w:rFonts w:hint="eastAsia" w:ascii="宋体" w:hAnsi="宋体" w:eastAsia="宋体" w:cs="宋体"/>
          <w:color w:val="auto"/>
          <w:lang w:val="en-US" w:eastAsia="zh-CN"/>
        </w:rPr>
        <w:t>彭雅斯-project 2-medium</w:t>
      </w:r>
    </w:p>
    <w:p w14:paraId="79E08273">
      <w:pPr>
        <w:pStyle w:val="11"/>
        <w:bidi w:val="0"/>
        <w:jc w:val="center"/>
        <w:rPr>
          <w:rFonts w:hint="eastAsia" w:ascii="宋体" w:hAnsi="宋体" w:eastAsia="宋体" w:cs="宋体"/>
          <w:b/>
          <w:bCs/>
          <w:color w:val="auto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color w:val="auto"/>
          <w:sz w:val="52"/>
          <w:szCs w:val="52"/>
        </w:rPr>
        <w:t>RAG + 微调消融实验量化对比报告</w:t>
      </w:r>
    </w:p>
    <w:p w14:paraId="10FA20DB">
      <w:pPr>
        <w:rPr>
          <w:rFonts w:hint="eastAsia" w:ascii="宋体" w:hAnsi="宋体" w:eastAsia="宋体" w:cs="宋体"/>
          <w:color w:val="auto"/>
        </w:rPr>
      </w:pPr>
    </w:p>
    <w:p w14:paraId="71904AD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腾讯 Mini Project 2 · 中难度答卷</w:t>
      </w:r>
    </w:p>
    <w:p w14:paraId="6C24713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评测集：147 条</w:t>
      </w:r>
    </w:p>
    <w:p w14:paraId="3E0337A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微调数据集：500 条</w:t>
      </w:r>
    </w:p>
    <w:p w14:paraId="0F46544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评测模型：DeepSeek-671B / Qwen2.5-1.5B+LoRA</w:t>
      </w:r>
    </w:p>
    <w:p w14:paraId="786C5365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一、研究目标与评分标准</w:t>
      </w:r>
    </w:p>
    <w:p w14:paraId="60044FD6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在低难度 PE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实验（最优得分 80.3%）的基础上，系统评估 RAG 检索增强和 LoRA 微调对代码语义检索任务的独立及组合效果，通过完整消融实验矩阵识别最优策略组合及其适用边界。</w:t>
      </w:r>
    </w:p>
    <w:p w14:paraId="2CD22329">
      <w:pPr>
        <w:rPr>
          <w:rFonts w:hint="eastAsia" w:ascii="宋体" w:hAnsi="宋体" w:eastAsia="宋体" w:cs="宋体"/>
          <w:color w:val="auto"/>
        </w:rPr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90F1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4682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分数</w:t>
            </w:r>
          </w:p>
        </w:tc>
        <w:tc>
          <w:tcPr>
            <w:tcW w:w="7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B08C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含义</w:t>
            </w:r>
          </w:p>
        </w:tc>
      </w:tr>
      <w:tr w14:paraId="78AA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25D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 分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011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文件名 + 函数/类名 均命中（各自命中率 ≥ 50%）</w:t>
            </w:r>
          </w:p>
        </w:tc>
      </w:tr>
      <w:tr w14:paraId="0F83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38E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 分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038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文件名 或 函数/类名 命中其一</w:t>
            </w:r>
          </w:p>
        </w:tc>
      </w:tr>
      <w:tr w14:paraId="3697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36F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 分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24C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均未命中 / N/A 类未正确拒答</w:t>
            </w:r>
          </w:p>
        </w:tc>
      </w:tr>
    </w:tbl>
    <w:p w14:paraId="79729674">
      <w:pPr>
        <w:rPr>
          <w:rFonts w:hint="eastAsia" w:ascii="宋体" w:hAnsi="宋体" w:eastAsia="宋体" w:cs="宋体"/>
          <w:color w:val="auto"/>
        </w:rPr>
      </w:pPr>
    </w:p>
    <w:p w14:paraId="64195D91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综合得分 = Σ用例得分 / (用例数 × 2) × 100%。全部配置使用统一 v4 评分函数，确保横向可比。</w:t>
      </w:r>
    </w:p>
    <w:p w14:paraId="211219E8">
      <w:pPr>
        <w:rPr>
          <w:rFonts w:hint="eastAsia" w:ascii="宋体" w:hAnsi="宋体" w:eastAsia="宋体" w:cs="宋体"/>
          <w:color w:val="auto"/>
        </w:rPr>
      </w:pPr>
    </w:p>
    <w:p w14:paraId="501B04F7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二、RAG Pipeline 构建与检索精度评测</w:t>
      </w:r>
    </w:p>
    <w:p w14:paraId="45B73BD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2.1 Pipeline 架构</w:t>
      </w:r>
    </w:p>
    <w:p w14:paraId="42ABDBAB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用户查询（中文自然语言）→ bge-m3 语义向量化 → FAISS IndexFlatIP 粗召回 Top10 → bge-reranker-v2-m3 CrossEncoder 精排 Top5 → Token 预算控制（每 chunk 截断 2500 字符，Prompt 总预算 8K tokens）→ DeepSeek / Qwen 生成最终答案</w:t>
      </w:r>
    </w:p>
    <w:p w14:paraId="6ABE3068">
      <w:pPr>
        <w:rPr>
          <w:rFonts w:hint="eastAsia" w:ascii="宋体" w:hAnsi="宋体" w:eastAsia="宋体" w:cs="宋体"/>
          <w:color w:val="auto"/>
        </w:rPr>
      </w:pPr>
    </w:p>
    <w:p w14:paraId="30811D1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2.2 检索方案消融实验</w:t>
      </w:r>
    </w:p>
    <w:tbl>
      <w:tblPr>
        <w:tblStyle w:val="12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300"/>
        <w:gridCol w:w="1300"/>
        <w:gridCol w:w="1300"/>
        <w:gridCol w:w="1260"/>
      </w:tblGrid>
      <w:tr w14:paraId="3944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0923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配置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FF73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R@1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BB15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R@3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7F4E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R@5</w:t>
            </w:r>
          </w:p>
        </w:tc>
        <w:tc>
          <w:tcPr>
            <w:tcW w:w="12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9232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MRR</w:t>
            </w:r>
          </w:p>
        </w:tc>
      </w:tr>
      <w:tr w14:paraId="07D08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1D7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语义检索 bge-m3（基线）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D0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45.6%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A43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63.9%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67D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69.4%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5BD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0.554</w:t>
            </w:r>
          </w:p>
        </w:tc>
      </w:tr>
      <w:tr w14:paraId="27EA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D7F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BM25 单独（跨语言失效）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067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11.6%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572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22.4%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584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24.5%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9B6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0.177</w:t>
            </w:r>
          </w:p>
        </w:tc>
      </w:tr>
      <w:tr w14:paraId="63D1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E5E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BM25 混合 RRF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DD1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27.2%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8D6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47.6%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467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61.9%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C53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0.407</w:t>
            </w:r>
          </w:p>
        </w:tc>
      </w:tr>
      <w:tr w14:paraId="51BB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DAC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Chunk 增强语义检索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7EF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39.5%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6E9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61.9%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163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66.0%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39E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0.511</w:t>
            </w:r>
          </w:p>
        </w:tc>
      </w:tr>
      <w:tr w14:paraId="32B3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386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两阶段 Reranker（最终）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C9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70.7%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0A0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81.6%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6DA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83.7%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A46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0.758</w:t>
            </w:r>
          </w:p>
        </w:tc>
      </w:tr>
    </w:tbl>
    <w:p w14:paraId="20EF2326">
      <w:pPr>
        <w:rPr>
          <w:rFonts w:hint="eastAsia" w:ascii="宋体" w:hAnsi="宋体" w:eastAsia="宋体" w:cs="宋体"/>
          <w:color w:val="auto"/>
        </w:rPr>
      </w:pPr>
    </w:p>
    <w:p w14:paraId="4225E57D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关键发现：BM25 在跨语言场景（中文查询/英文代码）下完全失效，R@5 仅 24.5%，与英文场景下混合检索通常 +5~10% 的经典结论相反。Chunk 文本增强同样反效果，文本变长导致向量语义被稀释。两阶段 Reranker 将 R@1 从 45.6% 提升至 70.7%（+25.1%），MRR 从 0.554 提升至 0.758。</w:t>
      </w:r>
    </w:p>
    <w:p w14:paraId="3B44EC6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2.3 Token 预算控制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4160"/>
      </w:tblGrid>
      <w:tr w14:paraId="1996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F500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参数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AC75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设置</w:t>
            </w:r>
          </w:p>
        </w:tc>
        <w:tc>
          <w:tcPr>
            <w:tcW w:w="4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10B5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DC6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978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每 chunk 最大字符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153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2500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075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完整代码片段约 1500~3000 字符</w:t>
            </w:r>
          </w:p>
        </w:tc>
      </w:tr>
      <w:tr w14:paraId="0EB1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F44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Prompt 总预算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796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8000 tokens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D3E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留足生成空间</w:t>
            </w:r>
          </w:p>
        </w:tc>
      </w:tr>
      <w:tr w14:paraId="422A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42D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平均实际 context tokens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C12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1704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F09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远低于预算上限，无截断发生</w:t>
            </w:r>
          </w:p>
        </w:tc>
      </w:tr>
      <w:tr w14:paraId="7008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ACE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平均使用 chunk 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D2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5.0/5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E60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预算充足，始终使用完整 Top5</w:t>
            </w:r>
          </w:p>
        </w:tc>
      </w:tr>
    </w:tbl>
    <w:p w14:paraId="3AB7907E">
      <w:pPr>
        <w:rPr>
          <w:rFonts w:hint="eastAsia" w:ascii="宋体" w:hAnsi="宋体" w:eastAsia="宋体" w:cs="宋体"/>
          <w:color w:val="auto"/>
        </w:rPr>
      </w:pPr>
    </w:p>
    <w:p w14:paraId="6E5369FF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三、微调数据集构建（500 条）</w:t>
      </w:r>
    </w:p>
    <w:p w14:paraId="3760603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3.1 数据集来源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40"/>
        <w:gridCol w:w="5520"/>
      </w:tblGrid>
      <w:tr w14:paraId="04F8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CC07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来源</w:t>
            </w:r>
          </w:p>
        </w:tc>
        <w:tc>
          <w:tcPr>
            <w:tcW w:w="14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F7D4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数量</w:t>
            </w:r>
          </w:p>
        </w:tc>
        <w:tc>
          <w:tcPr>
            <w:tcW w:w="55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FA85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构建方法</w:t>
            </w:r>
          </w:p>
        </w:tc>
      </w:tr>
      <w:tr w14:paraId="00CA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0B6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原始评测集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ECF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147 条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05E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直接复用（人工精选 50 + AST 自动生成 97）</w:t>
            </w:r>
          </w:p>
        </w:tc>
      </w:tr>
      <w:tr w14:paraId="1990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D2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AST 全量扩展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22F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183 条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E42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对 requests 全部 298 个函数/类反向生成查询</w:t>
            </w:r>
          </w:p>
        </w:tc>
      </w:tr>
      <w:tr w14:paraId="26DA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E79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同义改写（一轮）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BF0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135 条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F05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按类别分层抽样，DeepSeek 改写不同问法</w:t>
            </w:r>
          </w:p>
        </w:tc>
      </w:tr>
      <w:tr w14:paraId="3CC9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F70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同义改写（二轮）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4EA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35 条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939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强制换角度改写，补齐至 500 条</w:t>
            </w:r>
          </w:p>
        </w:tc>
      </w:tr>
      <w:tr w14:paraId="380C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4C9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合计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B19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500 条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E12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train:val = 447:53（分层抽样，9:1）</w:t>
            </w:r>
          </w:p>
        </w:tc>
      </w:tr>
    </w:tbl>
    <w:p w14:paraId="7AB43D92">
      <w:pPr>
        <w:rPr>
          <w:rFonts w:hint="eastAsia" w:ascii="宋体" w:hAnsi="宋体" w:eastAsia="宋体" w:cs="宋体"/>
          <w:color w:val="auto"/>
        </w:rPr>
      </w:pPr>
    </w:p>
    <w:p w14:paraId="5C149B8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3.2 LoRA 微调配置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CF9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F9E0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参数</w:t>
            </w:r>
          </w:p>
        </w:tc>
        <w:tc>
          <w:tcPr>
            <w:tcW w:w="6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C811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</w:tr>
      <w:tr w14:paraId="23F1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D68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基座模型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AE5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Qwen/Qwen2.5-1.5B-Instruct</w:t>
            </w:r>
          </w:p>
        </w:tc>
      </w:tr>
      <w:tr w14:paraId="100C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777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加载精度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419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fp16（显存占用 5.43 GB）</w:t>
            </w:r>
          </w:p>
        </w:tc>
      </w:tr>
      <w:tr w14:paraId="19D0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6F3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LoRA rank / alpha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A2B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16 / 32</w:t>
            </w:r>
          </w:p>
        </w:tc>
      </w:tr>
      <w:tr w14:paraId="1300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7E7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可训练参数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A0A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18.46M / 1562M（1.18%）</w:t>
            </w:r>
          </w:p>
        </w:tc>
      </w:tr>
      <w:tr w14:paraId="2502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96F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训练轮数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6CE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3 epochs（batch size 16，lr 2e-4，cosine 调度）</w:t>
            </w:r>
          </w:p>
        </w:tc>
      </w:tr>
      <w:tr w14:paraId="0BDD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E7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训练时长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2C4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 分 12 秒（T4 GPU）</w:t>
            </w:r>
          </w:p>
        </w:tc>
      </w:tr>
    </w:tbl>
    <w:p w14:paraId="1481D26D">
      <w:pPr>
        <w:rPr>
          <w:rFonts w:hint="eastAsia" w:ascii="宋体" w:hAnsi="宋体" w:eastAsia="宋体" w:cs="宋体"/>
          <w:color w:val="auto"/>
        </w:rPr>
      </w:pPr>
    </w:p>
    <w:p w14:paraId="1CA687D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3.3 训练 Loss 曲线（无过拟合）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160"/>
        <w:gridCol w:w="2160"/>
        <w:gridCol w:w="3600"/>
      </w:tblGrid>
      <w:tr w14:paraId="06BA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AF0F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Epoch</w:t>
            </w:r>
          </w:p>
        </w:tc>
        <w:tc>
          <w:tcPr>
            <w:tcW w:w="2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2072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Train Loss</w:t>
            </w:r>
          </w:p>
        </w:tc>
        <w:tc>
          <w:tcPr>
            <w:tcW w:w="2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146B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Eval Loss</w:t>
            </w:r>
          </w:p>
        </w:tc>
        <w:tc>
          <w:tcPr>
            <w:tcW w:w="3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2236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状态</w:t>
            </w:r>
          </w:p>
        </w:tc>
      </w:tr>
      <w:tr w14:paraId="2ED4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561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F31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0.710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8A8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0.451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0FE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大幅学习</w:t>
            </w:r>
          </w:p>
        </w:tc>
      </w:tr>
      <w:tr w14:paraId="208C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2ED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554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0.395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C7C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0.410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89E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持续改进</w:t>
            </w:r>
          </w:p>
        </w:tc>
      </w:tr>
      <w:tr w14:paraId="3309D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72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797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0.335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FF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0.405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010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收敛，选为最优</w:t>
            </w:r>
          </w:p>
        </w:tc>
      </w:tr>
    </w:tbl>
    <w:p w14:paraId="3091E00D">
      <w:pPr>
        <w:rPr>
          <w:rFonts w:hint="eastAsia" w:ascii="宋体" w:hAnsi="宋体" w:eastAsia="宋体" w:cs="宋体"/>
          <w:color w:val="auto"/>
        </w:rPr>
      </w:pPr>
    </w:p>
    <w:p w14:paraId="7943DBA8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四、完整消融实验矩阵</w:t>
      </w:r>
    </w:p>
    <w:p w14:paraId="5B0DC21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4.1 各配置综合得分</w:t>
      </w:r>
    </w:p>
    <w:tbl>
      <w:tblPr>
        <w:tblStyle w:val="12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585"/>
        <w:gridCol w:w="2135"/>
        <w:gridCol w:w="1423"/>
        <w:gridCol w:w="1504"/>
      </w:tblGrid>
      <w:tr w14:paraId="6C28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E750">
            <w:pPr>
              <w:jc w:val="left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585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2542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配置</w:t>
            </w:r>
          </w:p>
        </w:tc>
        <w:tc>
          <w:tcPr>
            <w:tcW w:w="2135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0581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模型</w:t>
            </w:r>
          </w:p>
        </w:tc>
        <w:tc>
          <w:tcPr>
            <w:tcW w:w="142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9450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综合得分</w:t>
            </w:r>
          </w:p>
        </w:tc>
        <w:tc>
          <w:tcPr>
            <w:tcW w:w="1504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95B5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vs 基线</w:t>
            </w:r>
          </w:p>
        </w:tc>
      </w:tr>
      <w:tr w14:paraId="7F248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B0D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①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B6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基线（无 PE/RAG）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D35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DeepSeek-671B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2A8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68.7%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223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—</w:t>
            </w:r>
          </w:p>
        </w:tc>
      </w:tr>
      <w:tr w14:paraId="6ECA7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E40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②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110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PE only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4D8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DeepSeek-671B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E0B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80.3%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4CA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+11.6%</w:t>
            </w:r>
          </w:p>
        </w:tc>
      </w:tr>
      <w:tr w14:paraId="4731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DDE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③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20D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RAG only ⭐最优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F5C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DeepSeek-671B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88B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94.2%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1FC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+25.5%</w:t>
            </w:r>
          </w:p>
        </w:tc>
      </w:tr>
      <w:tr w14:paraId="5B48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BFF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④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9E6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PE + RAG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AB8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DeepSeek-671B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F4A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93.9%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B89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+25.2%</w:t>
            </w:r>
          </w:p>
        </w:tc>
      </w:tr>
      <w:tr w14:paraId="53F9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BB6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⑤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135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基线（无 PE/RAG/FT）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E36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FEE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26.2%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807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-42.5%</w:t>
            </w:r>
          </w:p>
        </w:tc>
      </w:tr>
      <w:tr w14:paraId="2861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214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⑥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200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Fine-tune only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48D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Qwen-1.5B+LoRA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166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67.0%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E73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-1.7%</w:t>
            </w:r>
          </w:p>
        </w:tc>
      </w:tr>
      <w:tr w14:paraId="3DAB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3FE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⑦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61E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PE + Fine-tune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F03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Qwen-1.5B+LoRA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9A1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66.7%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0A2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-2.0%</w:t>
            </w:r>
          </w:p>
        </w:tc>
      </w:tr>
      <w:tr w14:paraId="28B2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139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⑧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128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RAG + Fine-tune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A81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Qwen-1.5B+LoRA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FA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48.0%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0D4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-20.7%</w:t>
            </w:r>
          </w:p>
        </w:tc>
      </w:tr>
      <w:tr w14:paraId="50E4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025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⑨</w:t>
            </w:r>
          </w:p>
        </w:tc>
        <w:tc>
          <w:tcPr>
            <w:tcW w:w="25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BA5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All（PE+RAG+FT）</w:t>
            </w:r>
          </w:p>
        </w:tc>
        <w:tc>
          <w:tcPr>
            <w:tcW w:w="2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55F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Qwen-1.5B+LoRA</w:t>
            </w:r>
          </w:p>
        </w:tc>
        <w:tc>
          <w:tcPr>
            <w:tcW w:w="14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ABE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77.2%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0DC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+8.5%</w:t>
            </w:r>
          </w:p>
        </w:tc>
      </w:tr>
    </w:tbl>
    <w:p w14:paraId="4E617FE0">
      <w:pPr>
        <w:rPr>
          <w:rFonts w:hint="eastAsia" w:ascii="宋体" w:hAnsi="宋体" w:eastAsia="宋体" w:cs="宋体"/>
          <w:color w:val="auto"/>
        </w:rPr>
      </w:pPr>
    </w:p>
    <w:p w14:paraId="74DBE06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4.2 各类别得分明细</w:t>
      </w:r>
    </w:p>
    <w:tbl>
      <w:tblPr>
        <w:tblStyle w:val="12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000"/>
        <w:gridCol w:w="1000"/>
        <w:gridCol w:w="1000"/>
        <w:gridCol w:w="1100"/>
        <w:gridCol w:w="900"/>
        <w:gridCol w:w="1000"/>
        <w:gridCol w:w="1100"/>
        <w:gridCol w:w="960"/>
      </w:tblGrid>
      <w:tr w14:paraId="5A8A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8002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类别</w:t>
            </w:r>
          </w:p>
        </w:tc>
        <w:tc>
          <w:tcPr>
            <w:tcW w:w="1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D363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①基线</w:t>
            </w:r>
          </w:p>
        </w:tc>
        <w:tc>
          <w:tcPr>
            <w:tcW w:w="1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2E0B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②PE</w:t>
            </w:r>
          </w:p>
        </w:tc>
        <w:tc>
          <w:tcPr>
            <w:tcW w:w="1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1E86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③RAG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6C8D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④PE+RAG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7801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⑥FT</w:t>
            </w:r>
          </w:p>
        </w:tc>
        <w:tc>
          <w:tcPr>
            <w:tcW w:w="1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8D9E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⑦PE+FT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0B9D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⑧RAG+FT</w:t>
            </w:r>
          </w:p>
        </w:tc>
        <w:tc>
          <w:tcPr>
            <w:tcW w:w="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1721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⑨All</w:t>
            </w:r>
          </w:p>
        </w:tc>
      </w:tr>
      <w:tr w14:paraId="5AF5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298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A_simple（15）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7FB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90.0%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E8C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96.7%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C7D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90.0%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7B5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86.7%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3BC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83.3%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A07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83.3%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FF6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60.0%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F6F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73.3%</w:t>
            </w:r>
          </w:p>
        </w:tc>
      </w:tr>
      <w:tr w14:paraId="2F58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F98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B_cross_file（15）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F6A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EA5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96.7%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F10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638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6FD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76.7%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DD1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76.7%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BFE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43.3%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A20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80.0%</w:t>
            </w:r>
          </w:p>
        </w:tc>
      </w:tr>
      <w:tr w14:paraId="075E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052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C_fuzzy（12）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B0B8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83.3%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EC7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95.8%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2E1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83.3%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EDB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87.5%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389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75.0%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258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75.0%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ABE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8.3%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780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54.2%</w:t>
            </w:r>
          </w:p>
        </w:tc>
      </w:tr>
      <w:tr w14:paraId="1BEE2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611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D_edge（8）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C87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87.5%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656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6EE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81.2%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1F1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330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50.0%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6FB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50.0%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4EC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31.2%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3D8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56.2%</w:t>
            </w:r>
          </w:p>
        </w:tc>
      </w:tr>
      <w:tr w14:paraId="66C0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003D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auto_generated（97）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7B3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57.2%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C0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71.6%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66B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96.4%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113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94.3%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C2B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63.4%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C1D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62.9%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F9B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53.1%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727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82.0%</w:t>
            </w:r>
          </w:p>
        </w:tc>
      </w:tr>
    </w:tbl>
    <w:p w14:paraId="3C76A738">
      <w:pPr>
        <w:rPr>
          <w:rFonts w:hint="eastAsia" w:ascii="宋体" w:hAnsi="宋体" w:eastAsia="宋体" w:cs="宋体"/>
          <w:color w:val="auto"/>
        </w:rPr>
      </w:pPr>
    </w:p>
    <w:p w14:paraId="075CBA90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五、核心研究发现</w:t>
      </w:r>
    </w:p>
    <w:p w14:paraId="0D63843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发现 1：RAG 是最强单一手段，甚至略强于 PE+RAG</w:t>
      </w:r>
    </w:p>
    <w:p w14:paraId="3DD367DA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RAG only（94.2%）比 PE+RAG（93.9%）高 0.3 个百分点。当检索到的代码片段已包含足够精确的上下文时，额外的 CoT 推理引导会引入轻微冗余，模型直接从代码片段读取答案反而更准。对 auto_generated 类别，RAG 提升尤为显著（57.2% → 96.4%，+39.2%），精准解决了 PE 阶段诊断出的冷门函数定位瓶颈。</w:t>
      </w:r>
    </w:p>
    <w:p w14:paraId="20B0EB7D">
      <w:pPr>
        <w:rPr>
          <w:rFonts w:hint="eastAsia" w:ascii="宋体" w:hAnsi="宋体" w:eastAsia="宋体" w:cs="宋体"/>
          <w:color w:val="auto"/>
        </w:rPr>
      </w:pPr>
    </w:p>
    <w:p w14:paraId="043E8E1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发现 2：PE 对大模型有效，对小模型几乎无效</w:t>
      </w:r>
    </w:p>
    <w:tbl>
      <w:tblPr>
        <w:tblStyle w:val="12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1800"/>
        <w:gridCol w:w="1760"/>
      </w:tblGrid>
      <w:tr w14:paraId="355C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E8FE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对象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0973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有无 PE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1403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综合得分</w:t>
            </w:r>
          </w:p>
        </w:tc>
        <w:tc>
          <w:tcPr>
            <w:tcW w:w="1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1B6F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PE 增益</w:t>
            </w:r>
          </w:p>
        </w:tc>
      </w:tr>
      <w:tr w14:paraId="2CE6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025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DeepSeek-671B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FA3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BDF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68.7%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6F9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—</w:t>
            </w:r>
          </w:p>
        </w:tc>
      </w:tr>
      <w:tr w14:paraId="49AC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A1C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DeepSeek-671B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FC4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59E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80.3%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765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+11.6%</w:t>
            </w:r>
          </w:p>
        </w:tc>
      </w:tr>
      <w:tr w14:paraId="07C2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51A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Qwen-1.5B+LoRA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D29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无（FT only）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5C2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67.0%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0FD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—</w:t>
            </w:r>
          </w:p>
        </w:tc>
      </w:tr>
      <w:tr w14:paraId="2A0A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694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Qwen-1.5B+LoRA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D1B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有（PE+FT）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2F2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66.7%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916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-0.3%</w:t>
            </w:r>
          </w:p>
        </w:tc>
      </w:tr>
    </w:tbl>
    <w:p w14:paraId="3150A2C9">
      <w:pPr>
        <w:rPr>
          <w:rFonts w:hint="eastAsia" w:ascii="宋体" w:hAnsi="宋体" w:eastAsia="宋体" w:cs="宋体"/>
          <w:color w:val="auto"/>
        </w:rPr>
      </w:pPr>
    </w:p>
    <w:p w14:paraId="4698569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发现 3：LoRA 微调让 1.5B 模型追平 671B 零样本</w:t>
      </w:r>
    </w:p>
    <w:p w14:paraId="7C4D1115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Qwen-1.5B 原始基线 26.2%，LoRA 微调后 67.0%（+40.8%），与 DeepSeek-671B 零样本（68.7%）仅差 1.7%。模型参数量相差约 400 倍，但 500 条领域数据的适配训练大幅弥补了这一差距。仅 2 分 12 秒训练时间、18.46M 可训练参数，产生了 +40.8% 的效果提升，参数效率极高。</w:t>
      </w:r>
    </w:p>
    <w:p w14:paraId="240B60FC">
      <w:pPr>
        <w:rPr>
          <w:rFonts w:hint="eastAsia" w:ascii="宋体" w:hAnsi="宋体" w:eastAsia="宋体" w:cs="宋体"/>
          <w:color w:val="auto"/>
        </w:rPr>
      </w:pPr>
    </w:p>
    <w:p w14:paraId="1F0DEDE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发现 4：RAG 对小模型是负向干扰</w:t>
      </w:r>
    </w:p>
    <w:p w14:paraId="0476B3F5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RAG+FT（48.0%）比 FT only（67.0%）下降 19 个百分点，C_fuzzy 类从 75.0% 骤降至 8.3%。1.5B 模型的上下文理解能力不足以处理 5 个代码片段的长上下文，注入 RAG 后模型陷入混乱，反而忘记了微调阶段学到的领域知识。</w:t>
      </w:r>
    </w:p>
    <w:p w14:paraId="5BA2AF16">
      <w:pPr>
        <w:rPr>
          <w:rFonts w:hint="eastAsia" w:ascii="宋体" w:hAnsi="宋体" w:eastAsia="宋体" w:cs="宋体"/>
          <w:color w:val="auto"/>
        </w:rPr>
      </w:pPr>
    </w:p>
    <w:p w14:paraId="119584C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6"/>
          <w:szCs w:val="26"/>
        </w:rPr>
        <w:t>发现 5：叠加不等于增强</w:t>
      </w:r>
    </w:p>
    <w:p w14:paraId="083B0CF0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三个阶段的反直觉发现形成完整研究脉络：PE 实验中 Few-shot 固定示例负迁移（-2.7%）、RAG 实验中 BM25 跨语言失效、消融实验中 RAG + 小模型负向叠加。三个结论均指向同一原理：朴素组合不如单一精准，增强手段的有效性受限于底座能力和场景匹配度。</w:t>
      </w:r>
    </w:p>
    <w:p w14:paraId="16ED2EC8">
      <w:pPr>
        <w:rPr>
          <w:rFonts w:hint="eastAsia" w:ascii="宋体" w:hAnsi="宋体" w:eastAsia="宋体" w:cs="宋体"/>
          <w:color w:val="auto"/>
        </w:rPr>
      </w:pPr>
    </w:p>
    <w:p w14:paraId="524A8D31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六、最优策略识别与适用边界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1200"/>
        <w:gridCol w:w="3960"/>
      </w:tblGrid>
      <w:tr w14:paraId="51250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21CA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C40E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推荐策略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3F7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得分</w:t>
            </w:r>
          </w:p>
        </w:tc>
        <w:tc>
          <w:tcPr>
            <w:tcW w:w="3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F6CD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核心理由</w:t>
            </w:r>
          </w:p>
        </w:tc>
      </w:tr>
      <w:tr w14:paraId="50DB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950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有 API，追求最高分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C9A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RAG only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ADEC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94.2%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BA1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最高分，实现简单，无需复杂 PE 设计</w:t>
            </w:r>
          </w:p>
        </w:tc>
      </w:tr>
      <w:tr w14:paraId="6728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963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有 API，需可解释推理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66E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PE + RAG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46B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93.9%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D20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CoT 思考链便于调试，分数几乎持平</w:t>
            </w:r>
          </w:p>
        </w:tc>
      </w:tr>
      <w:tr w14:paraId="25F9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579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无 API，本地部署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C15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All（PE+RAG+FT）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B8A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77.2%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332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Qwen-1.5B 可离线运行，本地最优</w:t>
            </w:r>
          </w:p>
        </w:tc>
      </w:tr>
      <w:tr w14:paraId="0CF6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B8D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资源极限，无 GPU 推理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42C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Fine-tune only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5F0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67.0%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EF0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推理快、无需检索、接近大模型零样本</w:t>
            </w:r>
          </w:p>
        </w:tc>
      </w:tr>
      <w:tr w14:paraId="44FA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F60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快速上线，不想训练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783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PE only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0B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80.3%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AE0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零样本 + Prompt 设计，无任何训练开销</w:t>
            </w:r>
          </w:p>
        </w:tc>
      </w:tr>
    </w:tbl>
    <w:p w14:paraId="32DC7EF8">
      <w:pPr>
        <w:rPr>
          <w:rFonts w:hint="eastAsia" w:ascii="宋体" w:hAnsi="宋体" w:eastAsia="宋体" w:cs="宋体"/>
          <w:color w:val="auto"/>
        </w:rPr>
      </w:pPr>
    </w:p>
    <w:p w14:paraId="58046DA1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RAG 适用条件：底座模型参数量 ≥ 70B，查询涵盖大量冷门/长尾知识，代码库可向量化索引。</w:t>
      </w:r>
    </w:p>
    <w:p w14:paraId="4B2EE821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RAG 不适用条件：底座模型 &lt; 7B，查询以推理判断为主（D_edge 类 RAG only 反降 6.3%）。</w:t>
      </w:r>
    </w:p>
    <w:p w14:paraId="077AB0DA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LoRA 微调适用条件：有标注领域数据（≥500 条），目标是低成本本地部署，不与大上下文 RAG 叠加使用。</w:t>
      </w:r>
    </w:p>
    <w:p w14:paraId="6C1225BB">
      <w:pPr>
        <w:pStyle w:val="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七、与低难度 PE 实验的对比总结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160"/>
      </w:tblGrid>
      <w:tr w14:paraId="66C2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7215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指标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E097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低难度最优（PE）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6168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中难度最优（RAG only）</w:t>
            </w:r>
          </w:p>
        </w:tc>
        <w:tc>
          <w:tcPr>
            <w:tcW w:w="2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718A">
            <w:pPr>
              <w:jc w:val="left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提升</w:t>
            </w:r>
          </w:p>
        </w:tc>
      </w:tr>
      <w:tr w14:paraId="32C9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1042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综合得分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0B3E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80.3%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13E4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94.2%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19FA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+13.9%</w:t>
            </w:r>
          </w:p>
        </w:tc>
      </w:tr>
      <w:tr w14:paraId="4CCD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3763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auto_generated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633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71.6%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6CF7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96.4%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ECD6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+24.8%</w:t>
            </w:r>
          </w:p>
        </w:tc>
      </w:tr>
      <w:tr w14:paraId="5CF8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94A5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B_cross_file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9611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96.7%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F77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2CB9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+3.3%</w:t>
            </w:r>
          </w:p>
        </w:tc>
      </w:tr>
      <w:tr w14:paraId="4A87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BF40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D_edge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ADA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100.0%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CCEB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81.2%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F8AF">
            <w:pPr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9"/>
                <w:szCs w:val="19"/>
              </w:rPr>
              <w:t>-18.8%（RAG 对推理判断不利）</w:t>
            </w:r>
          </w:p>
        </w:tc>
      </w:tr>
    </w:tbl>
    <w:p w14:paraId="5E82CD37">
      <w:pPr>
        <w:rPr>
          <w:rFonts w:hint="eastAsia" w:ascii="宋体" w:hAnsi="宋体" w:eastAsia="宋体" w:cs="宋体"/>
          <w:color w:val="auto"/>
        </w:rPr>
      </w:pPr>
    </w:p>
    <w:p w14:paraId="674D38B7">
      <w:pPr>
        <w:spacing w:before="6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中难度阶段的核心贡献：精准解决了 PE 阶段诊断出的冷门函数定位瓶颈，将 auto_generated 类从 71.6% 推至 96.4%，是 RAG 增强最核心的价值体现。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C76C4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RepoMind 中难度量化对比报告  |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9883A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2F549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</Words>
  <Characters>1046</Characters>
  <TotalTime>3</TotalTime>
  <ScaleCrop>false</ScaleCrop>
  <LinksUpToDate>false</LinksUpToDate>
  <CharactersWithSpaces>1172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2026-06-16T12:30:00Z</dcterms:created>
  <dc:creator>Un-named</dc:creator>
  <cp:lastModifiedBy>彭雅斯</cp:lastModifiedBy>
  <dcterms:modified xsi:type="dcterms:W3CDTF">2026-06-17T16:05:55Z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eyJoZGlkIjoiYWI2ZGY5NmZmNDMyN2YxNzllYmRlZWQyYzQzODUzMzYiLCJ1c2VySWQiOiIxNzk2MTcyMTU1In0=</vt:lpwstr>
  </property>
  <property fmtid="{D5CDD505-2E9C-101B-9397-08002B2CF9AE}" pid="3" name="KSOProductBuildVer">
    <vt:lpwstr>2052-12.1.0.25222</vt:lpwstr>
  </property>
  <property fmtid="{D5CDD505-2E9C-101B-9397-08002B2CF9AE}" pid="4" name="ICV">
    <vt:lpwstr>D92784625B894031A9868A2C9982C0D2_12</vt:lpwstr>
  </property>
</Properties>
</file>