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</w:pPr>
      <w:r>
        <w:t xml:space="preserve"/>
      </w:r>
    </w:p>
    <w:p>
      <w:pPr>
        <w:spacing w:after="12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999999"/>
          <w:sz w:val="19"/>
          <w:szCs w:val="19"/>
        </w:rPr>
        <w:t xml:space="preserve">AIxBIO Hackathon :  Supporting Documentation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40"/>
          <w:szCs w:val="40"/>
        </w:rPr>
        <w:t xml:space="preserve">AI Biodesign Governance</w:t>
      </w:r>
    </w:p>
    <w:p>
      <w:pPr>
        <w:spacing w:after="8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E75B6"/>
          <w:sz w:val="28"/>
          <w:szCs w:val="28"/>
        </w:rPr>
        <w:t xml:space="preserve">Tool Assessment Results</w:t>
      </w:r>
    </w:p>
    <w:p>
      <w:pPr>
        <w:pBdr>
          <w:bottom w:val="single" w:color="DDDDDD" w:sz="4" w:space="1"/>
        </w:pBdr>
        <w:spacing w:after="240"/>
      </w:pPr>
      <w:r>
        <w:t xml:space="preserve"/>
      </w:r>
    </w:p>
    <w:p>
      <w:pPr>
        <w:spacing w:after="8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Assessment of 8 AI biodesign tools across the three laws of AI biosecurity governance. Tools are evaluated sequentially: Law 1 (Characterize), Law 2 (Govern), and Law 3 (Learns and Adapts). Failure at any law halts the assessment. RAND risk categories follow the RAND Global Risk Index biological function classification.</w:t>
      </w:r>
    </w:p>
    <w:p>
      <w:pPr>
        <w:spacing w:after="200" w:before="0"/>
      </w:pPr>
      <w:r>
        <w:t xml:space="preserve"/>
      </w:r>
    </w:p>
    <w:p>
      <w:pPr>
        <w:spacing w:after="12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8"/>
          <w:szCs w:val="18"/>
        </w:rPr>
        <w:t xml:space="preserve">SUMMARY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200"/>
        <w:gridCol w:w="700"/>
        <w:gridCol w:w="700"/>
        <w:gridCol w:w="700"/>
        <w:gridCol w:w="700"/>
        <w:gridCol w:w="1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 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 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 3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Addgene Viral Vector Resources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Viral Vector Design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AlphaFold2 (DeepMind)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Protein Engineering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Amber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4.0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F4E79"/>
                <w:sz w:val="19"/>
                <w:szCs w:val="19"/>
              </w:rPr>
              <w:t xml:space="preserve">1.2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SyntheMol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Small Biomolecule Design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Evo 2 (Arc Institute)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Genome Design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4.3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F4E79"/>
                <w:sz w:val="19"/>
                <w:szCs w:val="19"/>
              </w:rPr>
              <w:t xml:space="preserve">2.0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EVEscape (Marks Lab, Harvard)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Pathogen Property Prediction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AlphaFold-Multimer (Google DeepMind)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Host-Pathogen Interaction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NetMHCpan-4.1 (DTU Health Tech)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Immune System Modelling and Vaccine Design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76221"/>
                <w:sz w:val="19"/>
                <w:szCs w:val="19"/>
              </w:rPr>
              <w:t xml:space="preserve">Green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4.0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F4E79"/>
                <w:sz w:val="19"/>
                <w:szCs w:val="19"/>
              </w:rPr>
              <w:t xml:space="preserve">2.5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Coscientist (Gomes Group, CMU)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Experimental Design, Simulation and Automation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Red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1.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Addgene Viral Vector Resources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Viral Vector Design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Catalog extensively documented across AAV serotypes, lentiviral, and adenoviral vectors with clear biological function descriptions; not formally mapped to biosecurity-relevant risk categories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BSL-2 classifications and MTAs are required, but no formal dual-use assessment exists; biosecurity literature identifies viral vectors as high-risk delivery mechanisms, yet Addgene's documentation does not address this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Addgene is a repository, not a generative AI model; covers multiple vector types but cross-domain biosecurity implications are not evaluated or 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2.7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Preparations validated through ddPCR titering, sterility testing, and full sequencing for every order; underlying science is mature and peer-reviewed across decades of viral vector research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Production-ready commercial service with documented QC processes, expanded in 2025 with new viral vector services; no formal versioning but a well-established operational model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Rigorous quality control including full sequencing verification is documented; some limitations exist around novel vector types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4.3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Catalog is publicly browsable with no access restrictions to view, but material transfer requires institutional UBMTA agreement; minimal friction for academic institutions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Requires institutional affiliation and UBMTA sign-off; commercial users face additional restrictions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 distribution documented across academic institutions worldwide, with some shipping restrictions to certain countries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Red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addgene.org/terms/1120/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Terms of use, UBMTA requirements, BSL-2 classification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addgene.org/biosafety/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Biosafety documentation, risk acknowledgements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addgene.org/viral-service/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Service description, QC processes, distribution model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addgene.org/news/viral-vector-service-expansion/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2025 service expansion announcement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2.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AlphaFold2 (DeepMind)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Protein Engineering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B45309"/>
          <w:sz w:val="19"/>
          <w:szCs w:val="19"/>
        </w:rPr>
        <w:t xml:space="preserve">Amber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Extensively documented in Nature (Jumper et al. 2021) spanning drug discovery, vaccine development, protein engineering, and fundamental biology; among the most thoroughly characterized AI biodesign tools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Biosecurity literature identifies AlphaFold2 as enabling toxin optimization and protein vulnerability identification; DeepMind has published some biosecurity analysis but no formal dedicated dual-use assessment framework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Documented generalization across protein families and organisms beyond the training distribution; limitations on disordered proteins and novel fold types are also documented, showing characterized boundaries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4.0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Published in Nature, winner of CASP14 with unprecedented accuracy, independently validated across thousands of protein structures; among the most scientifically validated AI tools in existence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Production ready with versioned releases v2.0 through v2.3.1 each with documented improvements; integrated into the AlphaFold Protein Structure Database covering 200 million+ proteins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Comprehensive benchmarks published; per-residue confidence scores (pLDDT) built into every prediction enabling users to assess output reliability; limitations systematically 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Fully open source under Apache 2.0 with no access restrictions; source code, model weights, and training data all publicly available on GitHub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Technically complex deployment requiring 415GB of databases and significant GPU infrastructure; the web-based AlphaFold Protein Structure Database removes these barriers for most users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unrestricted access through both GitHub and the web database; no geographic limitations documented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Pass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Passes threshold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TECHNICAL SAFEGUARDS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Input screening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input screening mechanisms documented anywhere in the official repository, documentation, or publications; any sequence can be submitted without restriction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Output filtering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output filtering implemented; a disclaimer states the tool is not intended for clinical use but this is advisory only with no technical enforcement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Training constraints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Trained entirely on the public Protein Data Bank with no documented biosecurity-specific exclusions; informal awareness of dual-use risks exists but was not translated into training constraints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ACCESS CONTROL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Credential verification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credential verification of any kind; anyone can download the code, weights, and databases without any identity check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Institutional legitimacy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institutional requirements; individual researchers, hobbyists, and malicious actors have identical access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Purpose validation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purpose validation; terms of use prohibit harmful applications in text but there is no technical or procedural enforcement mechanism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1.2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Amber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github.com/google-deepmind/alphafold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License (Apache 2.0), access model, deployment requirements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github.com/google-deepmind/alphafold/releases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Version history v2.0 through v2.3.1, release notes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wikipedia.org/wiki/AlphaFold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Scientific validation, CASP14 benchmarks, limitations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nature.com (Jumper et al. 2021)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Peer-reviewed validation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3.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SyntheMol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Small Biomolecule Design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Generative model for synthesizable small molecule design, applied to antibiotic discovery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Academic literature identifies potential for novel toxic compounds; no formal dual-use assessment in tool documentation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Demonstrated generalization across 46 billion compound chemical spaces beyond antibiotic design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Peer-reviewed in Molecular Systems Biology, benchmarked against competing methods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Active development with SyntheMol-RL as successor; no formal versioning or release documentation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Validated on specific antibiotic targets; broader reliability undocumented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Fully open source on GitHub, no access restrictions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Requires technical expertise; some computational barriers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available, no geographic restrictions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2.7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Red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github.com/swansonk14/SyntheMol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Repository, license, access model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arxiv.org/html/2510.15975v1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Identifies SyntheMol as capable of designing novel toxic compounds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link.springer.com/article/10.1038/s44320-026-00206-9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SyntheMol-RL paper, Molecular Systems Biology 2026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pmc.ncbi.nlm.nih.gov/articles/PMC12541314/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SynFormer paper, benchmark comparisons with SyntheMol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4.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Evo 2 (Arc Institute)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Genome Design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Extensively documented across DNA, RNA, and protein modalities; genome design, variant prediction, CRISPR generation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Dual-use concerns acknowledged by developers, red-teaming conducted, eukaryotic viral sequences excluded from training; no formal published framework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Explicitly designed to generalize across all domains of life; zero-shot performance 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4.7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Published in Nature, validated experimentally in living cells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Production ready; two major versions (Evo 1, Evo 2) with full deployment stack released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Extensively benchmarked; multiple parameter variants for different computational contexts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Fully open source on GitHub and HuggingFace; 88,000+ downloads, no access restrictions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40B model requires significant GPU infrastructure; 7B model accessible on single GPU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unrestricted; over 8 million API requests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4.3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Pass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Passes threshold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TECHNICAL SAFEGUARDS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Input screening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Safeguards prevent generation of sequences from known agents; not formally documented as a screening framework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Output filtering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Eukaryotic viral sequences excluded from training; red-teaming conducted but developers note this is not a permanent guarantee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Training constraints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Deliberate exclusion of human-infecting pathogen sequences, verified through testing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ACCESS CONTROL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Credential verification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credential verification; fully open source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Institutional legitimacy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institutional requirements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Purpose validation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1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purpose validation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Amber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arcinstitute.org/tools/evo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Official tool page, capability description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biorxiv.org/content/10.1101/2025.02.18.638918v1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Evo 2 preprint, training data, biosecurity measures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science.org/doi/10.1126/science.ado9336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Evo 1 Science paper, peer-reviewed validation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github.com/evo-design/evo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GitHub repository, open source release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press.asimov.com/articles/evo-2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Biosecurity measures documentation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5.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EVEscape (Marks Lab, Harvard)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Pathogen Property Prediction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Predicts viral immune escape mutations using evolutionary sequence data; validated on SARS-CoV-2 with 85%+ accuracy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Dual-use implications acknowledged in biosecurity literature; no formal assessment published by developers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Documented limitations in transferring to novel pathogens; acknowledged as not consistently useful across viruses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Peer-reviewed, published by Marks Lab at Harvard, validated retrospectively on COVID-19 variants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Research tool; no formal versioning or production deployment documentation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High accuracy on SARS-CoV-2; limitations on novel pathogens 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4.0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Open source on GitHub, no access restrictions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Requires technical expertise in computational biology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Available globally but primarily used in academic research settings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2.7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Red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pmc.ncbi.nlm.nih.gov/articles/PMC11103722/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Model description, predictive capabilities, accuracy benchmarks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frontiersin.org/journals/fdgth/2025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EVEscape identified as critical biosecurity early warning tool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arxiv.org/pdf/2511.19299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Used as gold standard benchmark for immune escape prediction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github.com/OATML-Markslab/EVEscape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Repository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6.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AlphaFold-Multimer (Google DeepMind)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Host-Pathogen Interaction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Well documented for protein complex structure prediction; applied to host-pathogen interactions across multiple kingdoms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Biosecurity handbook identifies dual-use concerns around toxin target identification; no formal assessment specific to Multimer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Generalization across bacterial, viral, and plant-pathogen interactions documented; limitations on novel pathogen interfaces also documented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3.7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Peer-reviewed extensively, validated experimentally across multiple studies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Production ready; versioned releases v2.1.1 through v2.3.0, integrated into AlphaFold ecosystem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Well benchmarked with documented limitations on host-pathogen interfaces specifically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4.7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Fully open source, Apache 2.0 license, no access restrictions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Requires significant computational resources and technical expertise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unrestricted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3.9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Red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github.com/google-deepmind/alphafold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Repository, license, versioning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nature.com/articles/s41467-023-41721-9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Cross-kingdom pathogen interaction screening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pmc.ncbi.nlm.nih.gov/articles/PMC12258915/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Host-pathogen interaction benchmarking study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biosecurityhandbook.com/ai-biosecurity/ai-pathogen-design.html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Dual-use biosecurity analysis of AlphaFold family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7.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NetMHCpan-4.1 (DTU Health Tech)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Immune System Modelling and Vaccine Design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276221"/>
          <w:sz w:val="19"/>
          <w:szCs w:val="19"/>
        </w:rPr>
        <w:t xml:space="preserve">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MHC class I peptide binding prediction and epitope identification; covers 170+ MHC molecules across multiple species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RAND notes limited misuse potential as it predicts only peptide presentation, not immune activation; no formal dual-use assessment by DTU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Broad coverage across species documented; limited generalization to novel pathogen contexts acknowledged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3.7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Peer-reviewed across multiple versions (4.0, 4.1, 4.2); trained on 850,000+ validated peptides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Production ready web server plus standalone package; multiple versioned releases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5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Consistently benchmarked and widely validated in immunological research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Differentiated access: free web server for all; standalone restricted to academic users; commercial use requires direct DTU contact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Web server has low barriers; standalone requires academic affiliation verification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available via web server; some commercial restrictions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Pass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Passes threshold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TECHNICAL SAFEGUARDS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Input screening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No documented input screening for biosecurity-relevant queries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Output filtering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Restricted license limits redistribution but no output-level filtering documented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Training constraints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Model weights are closed and not publicly available, reducing some misuse vectors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ACCESS CONTROL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Credential verification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Academic vs commercial differentiation requires institutional affiliation; commercial users must contact DTU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Institutional legitimacy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Academic download requires institutional verification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Purpose validation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Commercial use requires direct contact but purpose not formally validated beyond commercial vs academic distinction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2.7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2.5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Amber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services.healthtech.dtu.dk/services/NetMHCpan-4.1/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Official service page, access model, license differentiation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pmc.ncbi.nlm.nih.gov/articles/PMC12367478/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NetMHCpan-4.2 paper, scientific validation, methodology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RAND Global Risk Index (p.33)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Explicitly assessed; noted restrictive license and closed model weights; Green composite score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fas.org/publication/bio-x-ai-policy-recommendations/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Dual-use context for immune modelling tools</w:t>
      </w:r>
    </w:p>
    <w:p>
      <w:pPr>
        <w:spacing w:after="320" w:before="0"/>
      </w:pPr>
      <w:r>
        <w:t xml:space="preserve"/>
      </w:r>
    </w:p>
    <w:p>
      <w:pPr>
        <w:pBdr>
          <w:bottom w:val="single" w:color="1F4E79" w:sz="8" w:space="4"/>
        </w:pBdr>
        <w:spacing w:after="10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8.  </w:t>
      </w:r>
      <w:r>
        <w:rPr>
          <w:rFonts w:ascii="Cambria" w:cs="Cambria" w:eastAsia="Cambria" w:hAnsi="Cambria"/>
          <w:b/>
          <w:bCs/>
          <w:i w:val="false"/>
          <w:iCs w:val="false"/>
          <w:color w:val="1F4E79"/>
          <w:sz w:val="28"/>
          <w:szCs w:val="28"/>
        </w:rPr>
        <w:t xml:space="preserve">Coscientist (Gomes Group, CMU)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Category: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777777"/>
          <w:sz w:val="19"/>
          <w:szCs w:val="19"/>
        </w:rPr>
        <w:t xml:space="preserve">Experimental Design, Simulation and Automation</w:t>
      </w:r>
      <w:r>
        <w:rPr>
          <w:rFonts w:ascii="Cambria" w:cs="Cambria" w:eastAsia="Cambria" w:hAnsi="Cambria"/>
          <w:b/>
          <w:bCs/>
          <w:i w:val="false"/>
          <w:iCs w:val="false"/>
          <w:color w:val="777777"/>
          <w:sz w:val="19"/>
          <w:szCs w:val="19"/>
        </w:rPr>
        <w:t xml:space="preserve">     RAND Risk: </w:t>
      </w:r>
      <w:r>
        <w:rPr>
          <w:rFonts w:ascii="Cambria" w:cs="Cambria" w:eastAsia="Cambria" w:hAnsi="Cambria"/>
          <w:b/>
          <w:bCs/>
          <w:i w:val="false"/>
          <w:iCs w:val="false"/>
          <w:color w:val="9B1C1C"/>
          <w:sz w:val="19"/>
          <w:szCs w:val="19"/>
        </w:rPr>
        <w:t xml:space="preserve">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Sub-Pillar Scores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Law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AI CAPABILITY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Use cases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Documented for autonomous chemical synthesis planning and execution; biological use cases not formally mapped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Dual-use potential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Biosecurity literature documents Coscientist executing harmful synthesis tasks despite its own safeguards; no formal dual-use assessment by developers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Generalizability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General autonomous scientific agent; demonstrated generalization across chemical and biological experimental domains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3.0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TECHNOLOGICAL MATURITY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Scientific readiness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Published in Nature, peer-reviewed, demonstrated on real experimental tasks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Development stage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Research prototype; no formal versioning or production deployment documentation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 reliability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Validated on specific tasks; limitations documented including safety bypass vulnerabilities</w:t>
            </w:r>
          </w:p>
          <w:p>
            <w:pPr>
              <w:spacing w:after="10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3.3</w:t>
            </w:r>
          </w:p>
          <w:p>
            <w:pPr>
              <w:spacing w:after="3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AVAILABILITY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Distribution format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Open source under Apache 2.0 with Commons Clause; Commons Clause restricts commercial sale but not use or modification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Deployment barriers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3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Requires API access to underlying LLMs and some technical expertise</w:t>
            </w:r>
          </w:p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Geographic reach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  4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 :  Globally available, no geographic restrictions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Average: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Red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Assessment stops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999999"/>
          <w:sz w:val="17"/>
          <w:szCs w:val="17"/>
        </w:rPr>
        <w:t xml:space="preserve">SOURCES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github.com/gomesgroup/coscientist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Repository, license (Apache 2.0 with Commons Clause), access model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arxiv.org/html/2510.15975v1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Documents Coscientist executing harmful synthesis tasks despite safeguards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pmc.ncbi.nlm.nih.gov/articles/PMC12368842/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Autonomous self-driving labs review, Coscientist dual-use analysis</w:t>
      </w:r>
    </w:p>
    <w:p>
      <w:pPr>
        <w:spacing w:after="60" w:before="0"/>
        <w:ind w:left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centerforhealthsecurity.org</w:t>
      </w:r>
      <w:r>
        <w:rPr>
          <w:rFonts w:ascii="Cambria" w:cs="Cambria" w:eastAsia="Cambria" w:hAnsi="Cambria"/>
          <w:b w:val="false"/>
          <w:bCs w:val="false"/>
          <w:i/>
          <w:iCs/>
          <w:color w:val="999999"/>
          <w:sz w:val="18"/>
          <w:szCs w:val="18"/>
        </w:rPr>
        <w:t xml:space="preserve"> :  JHU guidance on cloud lab and autonomous experiment governance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2026-04-27T01:10:26.697Z</dcterms:created>
  <dcterms:modified xsi:type="dcterms:W3CDTF">2026-04-27T01:10:26.698Z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