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gjdgxs">
        <w:r w:rsidDel="00000000" w:rsidR="00000000" w:rsidRPr="00000000">
          <w:rPr>
            <w:color w:val="0000ee"/>
            <w:u w:val="single"/>
            <w:rtl w:val="0"/>
          </w:rPr>
          <w:t xml:space="preserve">  Orbit Future Academy</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INFORMASI</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APLIKASI</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ANGGOTA KELOMPOK</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SAT-PAM</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Sms Aman Tanpa sPAM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Aplikasi ini dibuat khusus untuk mendeteksi sms spam seperti penipuan atau </w:t>
      </w:r>
      <w:r w:rsidDel="00000000" w:rsidR="00000000" w:rsidRPr="00000000">
        <w:rPr>
          <w:i w:val="1"/>
          <w:rtl w:val="0"/>
        </w:rPr>
        <w:t xml:space="preserve">fraud</w:t>
      </w:r>
      <w:r w:rsidDel="00000000" w:rsidR="00000000" w:rsidRPr="00000000">
        <w:rPr>
          <w:rtl w:val="0"/>
        </w:rPr>
        <w:t xml:space="preserve"> yang banyak meresahkan masyarakat. SMS yang masuk ke perangkat pengguna akan terlebih dahulu diklasifikasi apakah pesan tersebut adalah pesan wajar, pesan promo, ataupun pesan penipuan. Jika ditemukan pesan singkat yang berisi penipuan, aplikasi ini akan memberi tahu pengguna untuk berhati-hati terhadap pesan tersebut. Dengan SAT-PAM, pengguna dapat merasa aman karena terhindar dari sms yang berisi pesan penipuan.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shd w:fill="28ace5" w:val="clear"/>
            <w:rtl w:val="0"/>
          </w:rPr>
          <w:t xml:space="preserve">Mulai</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28ace5"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28ace5"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28ace5"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shd w:fill="28ace5"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28ace5"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shd w:fill="28ace5"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shd w:fill="28ace5"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shd w:fill="28ace5"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shd w:fill="28ace5"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Oknum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send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ANGGOTA KELOMPOK</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Tim Deployment dan Tim NLP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BUDI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Universitas Sumatera</w:t>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AYU</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Universitas Jawa dan Bali</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TONO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Universitas Kalimantan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PUTRA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Universitas Sulawesi</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PUTRI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Universitas Kepulauan Nusa, Maluku dan Papua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Orbit Future Academy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orbitfutureacademy.id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rbitfutureacademy.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