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df" ContentType="application/pdf"/>
  <Override PartName="/word/media/rId42.pdf" ContentType="application/pdf"/>
  <Override PartName="/word/media/rId4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Recurrent</w:t>
      </w:r>
      <w:r>
        <w:t xml:space="preserve"> </w:t>
      </w:r>
      <w:r>
        <w:t xml:space="preserve">visitation</w:t>
      </w:r>
      <w:r>
        <w:t xml:space="preserve"> </w:t>
      </w:r>
      <w:r>
        <w:t xml:space="preserve">by</w:t>
      </w:r>
      <w:r>
        <w:t xml:space="preserve"> </w:t>
      </w:r>
      <w:r>
        <w:t xml:space="preserve">diverse</w:t>
      </w:r>
      <w:r>
        <w:t xml:space="preserve"> </w:t>
      </w:r>
      <w:r>
        <w:t xml:space="preserve">insects</w:t>
      </w:r>
      <w:r>
        <w:t xml:space="preserve"> </w:t>
      </w:r>
      <w:r>
        <w:t xml:space="preserve">in</w:t>
      </w:r>
      <w:r>
        <w:t xml:space="preserve"> </w:t>
      </w:r>
      <w:r>
        <w:t xml:space="preserve">an</w:t>
      </w:r>
      <w:r>
        <w:t xml:space="preserve"> </w:t>
      </w:r>
      <w:r>
        <w:t xml:space="preserve">inconspicuous</w:t>
      </w:r>
      <w:r>
        <w:t xml:space="preserve"> </w:t>
      </w:r>
      <w:r>
        <w:t xml:space="preserve">flowering</w:t>
      </w:r>
      <w:r>
        <w:t xml:space="preserve"> </w:t>
      </w:r>
      <w:r>
        <w:t xml:space="preserve">plant</w:t>
      </w:r>
      <w:r>
        <w:t xml:space="preserve"> </w:t>
      </w:r>
      <w:r>
        <w:rPr>
          <w:iCs/>
          <w:i/>
        </w:rPr>
        <w:t xml:space="preserve">Achyranthes</w:t>
      </w:r>
      <w:r>
        <w:rPr>
          <w:iCs/>
          <w:i/>
        </w:rPr>
        <w:t xml:space="preserve"> </w:t>
      </w:r>
      <w:r>
        <w:rPr>
          <w:iCs/>
          <w:i/>
        </w:rPr>
        <w:t xml:space="preserve">bidentata</w:t>
      </w:r>
      <w:r>
        <w:t xml:space="preserve"> </w:t>
      </w:r>
      <w:r>
        <w:t xml:space="preserve">(Amaranthaceae)</w:t>
      </w:r>
    </w:p>
    <w:p>
      <w:pPr>
        <w:pStyle w:val="FirstParagraph"/>
      </w:pPr>
      <w:r>
        <w:rPr>
          <w:bCs/>
          <w:b/>
        </w:rPr>
        <w:t xml:space="preserve">Yasuhiro Sato</w:t>
      </w:r>
      <w:r>
        <w:rPr>
          <w:vertAlign w:val="superscript"/>
        </w:rPr>
        <w:t xml:space="preserve">1,2*</w:t>
      </w:r>
      <w:r>
        <w:t xml:space="preserve"> </w:t>
      </w:r>
      <w:r>
        <w:t xml:space="preserve">and</w:t>
      </w:r>
      <w:r>
        <w:t xml:space="preserve"> </w:t>
      </w:r>
      <w:r>
        <w:rPr>
          <w:bCs/>
          <w:b/>
        </w:rPr>
        <w:t xml:space="preserve">Takayoshi Nishida</w:t>
      </w:r>
      <w:r>
        <w:rPr>
          <w:vertAlign w:val="superscript"/>
        </w:rPr>
        <w:t xml:space="preserve">1,3</w:t>
      </w:r>
    </w:p>
    <w:p>
      <w:pPr>
        <w:pStyle w:val="BodyText"/>
      </w:pPr>
      <w:r>
        <w:rPr>
          <w:vertAlign w:val="superscript"/>
        </w:rPr>
        <w:t xml:space="preserve">1</w:t>
      </w:r>
      <w:r>
        <w:t xml:space="preserve">Laboratory of Insect Ecology, Graduate School of Agriculture, Kyoto University, Oiwake-cho, Kitashirakawa, Sakyo-ku, Kyoto 606-8224, Japan</w:t>
      </w:r>
      <w:r>
        <w:br/>
      </w:r>
      <w:r>
        <w:rPr>
          <w:vertAlign w:val="superscript"/>
        </w:rPr>
        <w:t xml:space="preserve">2</w:t>
      </w:r>
      <w:r>
        <w:t xml:space="preserve">Faculty of Environmental Earth Science, Hokkaido University, N10W5 Kita-ku, Sapporo 060-0810, Hokkaido, Japan</w:t>
      </w:r>
      <w:r>
        <w:br/>
      </w:r>
      <w:r>
        <w:rPr>
          <w:vertAlign w:val="superscript"/>
        </w:rPr>
        <w:t xml:space="preserve">3</w:t>
      </w:r>
      <w:r>
        <w:t xml:space="preserve">Graduate School of Environmental Science, The University of Shiga Prefecture, Hassaka-cho 2500, Hikone 522-8533, Shiga, Japan</w:t>
      </w:r>
      <w:r>
        <w:br/>
      </w:r>
      <w:r>
        <w:rPr>
          <w:vertAlign w:val="superscript"/>
        </w:rPr>
        <w:t xml:space="preserve">*</w:t>
      </w:r>
      <w:r>
        <w:t xml:space="preserve">Corresponding author:</w:t>
      </w:r>
      <w:r>
        <w:t xml:space="preserve"> </w:t>
      </w:r>
      <w:hyperlink r:id="rId20">
        <w:r>
          <w:rPr>
            <w:rStyle w:val="Hyperlink"/>
          </w:rPr>
          <w:t xml:space="preserve">yassato@ees.hokudai.ac.jp</w:t>
        </w:r>
      </w:hyperlink>
    </w:p>
    <w:bookmarkStart w:id="21" w:name="abstract"/>
    <w:p>
      <w:pPr>
        <w:pStyle w:val="Heading1"/>
      </w:pPr>
      <w:r>
        <w:t xml:space="preserve">Abstract</w:t>
      </w:r>
    </w:p>
    <w:p>
      <w:pPr>
        <w:pStyle w:val="FirstParagraph"/>
      </w:pPr>
      <w:r>
        <w:t xml:space="preserve">Generalized pollination system, wherein a single plant species attracts diverse flower visitors, is widespread in nature. The common perennial weed</w:t>
      </w:r>
      <w:r>
        <w:t xml:space="preserve"> </w:t>
      </w:r>
      <w:r>
        <w:rPr>
          <w:iCs/>
          <w:i/>
        </w:rPr>
        <w:t xml:space="preserve">Achyranthes bidentata</w:t>
      </w:r>
      <w:r>
        <w:t xml:space="preserve"> </w:t>
      </w:r>
      <w:r>
        <w:t xml:space="preserve">(Amaranthaceae) produces a number of petalless flowers on spikes, but flower visitors have not been well documented. Here we found that, despite its seemingly less attractive flowers,</w:t>
      </w:r>
      <w:r>
        <w:t xml:space="preserve"> </w:t>
      </w:r>
      <w:r>
        <w:rPr>
          <w:iCs/>
          <w:i/>
        </w:rPr>
        <w:t xml:space="preserve">A. bidentata</w:t>
      </w:r>
      <w:r>
        <w:t xml:space="preserve"> </w:t>
      </w:r>
      <w:r>
        <w:t xml:space="preserve">was frequently visited by diverse insects including Hymenoptera, Lepidoptera, and Diptera. We also observed the visiting patterns of the two major visitors, lycaenid butterflies and honeybees. This observation revealed that honeybees were inclined to visit multiple flowers within an individual plant, whereas lycaenid butterflies made long-distance visits between individual plants. These findings pave the way to study pollinator-mediated plant-plant interactions at intraspecific and interspecific levels, such as geitonogamy and reproductive interference.</w:t>
      </w:r>
    </w:p>
    <w:p>
      <w:pPr>
        <w:pStyle w:val="BodyText"/>
      </w:pPr>
      <w:r>
        <w:t xml:space="preserve">Keywords:</w:t>
      </w:r>
      <w:r>
        <w:t xml:space="preserve"> </w:t>
      </w:r>
      <w:r>
        <w:rPr>
          <w:iCs/>
          <w:i/>
        </w:rPr>
        <w:t xml:space="preserve">Achyranthes</w:t>
      </w:r>
      <w:r>
        <w:t xml:space="preserve">, Entomophily, Generalist, Pollination</w:t>
      </w:r>
      <w:r>
        <w:br/>
      </w:r>
      <w:r>
        <w:t xml:space="preserve">Category: Notes and Insights</w:t>
      </w:r>
    </w:p>
    <w:bookmarkEnd w:id="21"/>
    <w:bookmarkStart w:id="22" w:name="introduction"/>
    <w:p>
      <w:pPr>
        <w:pStyle w:val="Heading1"/>
      </w:pPr>
      <w:r>
        <w:t xml:space="preserve">1 | INTRODUCTION</w:t>
      </w:r>
    </w:p>
    <w:p>
      <w:pPr>
        <w:pStyle w:val="FirstParagraph"/>
      </w:pPr>
      <w:r>
        <w:t xml:space="preserve">As sessile organisms, many plant species rely on mobile animals to transfer pollen. Although some plant species have co-evolved with a particular pollinator, many other species remain as generalists to be visited by diverse pollinators</w:t>
      </w:r>
      <w:r>
        <w:t xml:space="preserve"> </w:t>
      </w:r>
      <w:r>
        <w:t xml:space="preserve">(Willmer, 2011)</w:t>
      </w:r>
      <w:r>
        <w:t xml:space="preserve">. To date, it has been estimated that nearly 80% of animal-pollinated species adopt a generalized pollination system that can accept multiple visitors</w:t>
      </w:r>
      <w:r>
        <w:t xml:space="preserve"> </w:t>
      </w:r>
      <w:r>
        <w:t xml:space="preserve">(Olesen et al., 2007)</w:t>
      </w:r>
      <w:r>
        <w:t xml:space="preserve">, highlighting the ubiquitous nature of generalist flowering plants.</w:t>
      </w:r>
    </w:p>
    <w:p>
      <w:pPr>
        <w:pStyle w:val="BodyText"/>
      </w:pPr>
      <w:r>
        <w:t xml:space="preserve">In a generalized pollination system, pollination effectiveness and/or efficiency has long been inspected among multiple flower visitors</w:t>
      </w:r>
      <w:r>
        <w:t xml:space="preserve"> </w:t>
      </w:r>
      <w:r>
        <w:t xml:space="preserve">(Herrera, 1990; Ne’eman et al., 2010; Waser et al., 1996)</w:t>
      </w:r>
      <w:r>
        <w:t xml:space="preserve">. It is well recognized that bees can carry much pollen and thereby serve as an effective pollinator</w:t>
      </w:r>
      <w:r>
        <w:t xml:space="preserve"> </w:t>
      </w:r>
      <w:r>
        <w:t xml:space="preserve">(e.g., Heinrich, 1976; Kandori, 2002; Waser, 1982)</w:t>
      </w:r>
      <w:r>
        <w:t xml:space="preserve">. However, quantitative surveys have shown that abundant pollinators may not always be the best contributor to plant reproduction. For example, frequent visitors often revisit flowers within a single individual, resulting in substantial self-pollination called geitonogamy</w:t>
      </w:r>
      <w:r>
        <w:t xml:space="preserve"> </w:t>
      </w:r>
      <w:r>
        <w:t xml:space="preserve">(De Jong et al., 1993; Hessing, 1988; Karron et al., 1995)</w:t>
      </w:r>
      <w:r>
        <w:t xml:space="preserve">. Genetic paternity analyses have shown that less frequent visitors, such as flower beetles and butterflies, can largely contribute to outcrossing</w:t>
      </w:r>
      <w:r>
        <w:t xml:space="preserve"> </w:t>
      </w:r>
      <w:r>
        <w:t xml:space="preserve">(Broyles &amp; Wyatt, 1991; Matsuki et al., 2008)</w:t>
      </w:r>
      <w:r>
        <w:t xml:space="preserve">. At the interspecific level, less frequent but long-flight pollinators may play a critical role in interspecific pollen transfer and competitive exclusion</w:t>
      </w:r>
      <w:r>
        <w:t xml:space="preserve"> </w:t>
      </w:r>
      <w:r>
        <w:t xml:space="preserve">(Johnson et al., 2022; Kandori et al., 2009; Levin &amp; Anderson, 1970; Nishida et al., 2020; Takakura et al., 2011; Waser, 1978)</w:t>
      </w:r>
      <w:r>
        <w:t xml:space="preserve">. Thus, the quantitative observation of multiple visitors provides a basis for an inclusive understanding of plant reproduction in a generalized pollination system.</w:t>
      </w:r>
    </w:p>
    <w:p>
      <w:pPr>
        <w:pStyle w:val="BodyText"/>
      </w:pPr>
      <w:r>
        <w:t xml:space="preserve">The genus</w:t>
      </w:r>
      <w:r>
        <w:t xml:space="preserve"> </w:t>
      </w:r>
      <w:r>
        <w:rPr>
          <w:iCs/>
          <w:i/>
        </w:rPr>
        <w:t xml:space="preserve">Achyranthes</w:t>
      </w:r>
      <w:r>
        <w:t xml:space="preserve"> </w:t>
      </w:r>
      <w:r>
        <w:t xml:space="preserve">comprises more than 30 species distributed worldwide (POWO 2026). This genus is native to Asia and Africa but was also introduced to Middle-to-South America and Tropical-to-Subtropical Old World (POWO 2026). Although some</w:t>
      </w:r>
      <w:r>
        <w:t xml:space="preserve"> </w:t>
      </w:r>
      <w:r>
        <w:rPr>
          <w:iCs/>
          <w:i/>
        </w:rPr>
        <w:t xml:space="preserve">Achyranthes</w:t>
      </w:r>
      <w:r>
        <w:t xml:space="preserve"> </w:t>
      </w:r>
      <w:r>
        <w:t xml:space="preserve">species are known as medicinal and ornamental plants called</w:t>
      </w:r>
      <w:r>
        <w:t xml:space="preserve"> </w:t>
      </w:r>
      <w:r>
        <w:t xml:space="preserve">‘</w:t>
      </w:r>
      <w:r>
        <w:t xml:space="preserve">chaff flowers</w:t>
      </w:r>
      <w:r>
        <w:t xml:space="preserve">’</w:t>
      </w:r>
      <w:r>
        <w:t xml:space="preserve">, others produce inconspicuous petalless flowers. Rather than floral ecology, seed dispersal of</w:t>
      </w:r>
      <w:r>
        <w:t xml:space="preserve"> </w:t>
      </w:r>
      <w:r>
        <w:rPr>
          <w:iCs/>
          <w:i/>
        </w:rPr>
        <w:t xml:space="preserve">Achyranthes</w:t>
      </w:r>
      <w:r>
        <w:t xml:space="preserve"> </w:t>
      </w:r>
      <w:r>
        <w:t xml:space="preserve">has attracted more ecological attention, as</w:t>
      </w:r>
      <w:r>
        <w:t xml:space="preserve"> </w:t>
      </w:r>
      <w:r>
        <w:rPr>
          <w:iCs/>
          <w:i/>
        </w:rPr>
        <w:t xml:space="preserve">Achyranthes</w:t>
      </w:r>
      <w:r>
        <w:t xml:space="preserve"> </w:t>
      </w:r>
      <w:r>
        <w:t xml:space="preserve">seeds easily attach to animal hairs</w:t>
      </w:r>
      <w:r>
        <w:t xml:space="preserve"> </w:t>
      </w:r>
      <w:r>
        <w:t xml:space="preserve">(e.g., Bullock &amp; Primack, 1977; De Lange et al., 2004)</w:t>
      </w:r>
      <w:r>
        <w:t xml:space="preserve">. A few studies have also examined the population genetic structure and breeding system of widely distributed species, such as Asian</w:t>
      </w:r>
      <w:r>
        <w:t xml:space="preserve"> </w:t>
      </w:r>
      <w:r>
        <w:rPr>
          <w:iCs/>
          <w:i/>
        </w:rPr>
        <w:t xml:space="preserve">A. bidentata</w:t>
      </w:r>
      <w:r>
        <w:t xml:space="preserve"> </w:t>
      </w:r>
      <w:r>
        <w:t xml:space="preserve">and</w:t>
      </w:r>
      <w:r>
        <w:t xml:space="preserve"> </w:t>
      </w:r>
      <w:r>
        <w:rPr>
          <w:iCs/>
          <w:i/>
        </w:rPr>
        <w:t xml:space="preserve">A. aspera</w:t>
      </w:r>
      <w:r>
        <w:t xml:space="preserve"> </w:t>
      </w:r>
      <w:r>
        <w:t xml:space="preserve">(Shivanna, 2014; Yan et al., 2016; Yang et al., 2017)</w:t>
      </w:r>
      <w:r>
        <w:t xml:space="preserve">. These genetic structures and reproductive success are thought to depend on the pollination system of</w:t>
      </w:r>
      <w:r>
        <w:t xml:space="preserve"> </w:t>
      </w:r>
      <w:r>
        <w:rPr>
          <w:iCs/>
          <w:i/>
        </w:rPr>
        <w:t xml:space="preserve">Achyranthes</w:t>
      </w:r>
      <w:r>
        <w:t xml:space="preserve">. However, in-depth observations of flower visitors are lacking.</w:t>
      </w:r>
    </w:p>
    <w:p>
      <w:pPr>
        <w:pStyle w:val="BodyText"/>
      </w:pPr>
      <w:r>
        <w:t xml:space="preserve">In this study, we found that</w:t>
      </w:r>
      <w:r>
        <w:t xml:space="preserve"> </w:t>
      </w:r>
      <w:r>
        <w:rPr>
          <w:iCs/>
          <w:i/>
        </w:rPr>
        <w:t xml:space="preserve">A. bidentata</w:t>
      </w:r>
      <w:r>
        <w:t xml:space="preserve"> </w:t>
      </w:r>
      <w:r>
        <w:t xml:space="preserve">was recurrently visited by diverse insects, despite its inconspicuous petalless flowers. We also observed the visiting patterns of two major visitors, lycaenid butterflies and honeybees. Based on these observations, we briefly discuss how these insects can mediate plant-plant interactions at intraspecific and interspecific levels.</w:t>
      </w:r>
    </w:p>
    <w:bookmarkEnd w:id="22"/>
    <w:bookmarkStart w:id="28" w:name="materials-and-methods"/>
    <w:p>
      <w:pPr>
        <w:pStyle w:val="Heading1"/>
      </w:pPr>
      <w:r>
        <w:t xml:space="preserve">2 | MATERIALS AND METHODS</w:t>
      </w:r>
    </w:p>
    <w:bookmarkStart w:id="23" w:name="study-plants"/>
    <w:p>
      <w:pPr>
        <w:pStyle w:val="Heading2"/>
      </w:pPr>
      <w:r>
        <w:t xml:space="preserve">2.1 | Study plants</w:t>
      </w:r>
    </w:p>
    <w:p>
      <w:pPr>
        <w:pStyle w:val="FirstParagraph"/>
      </w:pPr>
      <w:r>
        <w:t xml:space="preserve">We investigated</w:t>
      </w:r>
      <w:r>
        <w:t xml:space="preserve"> </w:t>
      </w:r>
      <w:r>
        <w:rPr>
          <w:iCs/>
          <w:i/>
        </w:rPr>
        <w:t xml:space="preserve">Achyranthes bidentata</w:t>
      </w:r>
      <w:r>
        <w:t xml:space="preserve"> </w:t>
      </w:r>
      <w:r>
        <w:t xml:space="preserve">Blume and their flower visitors (Fig. 1). The native distribution range of this plant species is from South to East Asia (POWO 2026). In Japan,</w:t>
      </w:r>
      <w:r>
        <w:t xml:space="preserve"> </w:t>
      </w:r>
      <w:r>
        <w:rPr>
          <w:iCs/>
          <w:i/>
        </w:rPr>
        <w:t xml:space="preserve">A. bidentata</w:t>
      </w:r>
      <w:r>
        <w:t xml:space="preserve"> </w:t>
      </w:r>
      <w:r>
        <w:t xml:space="preserve">often occurs in sunny wastelands and blooms from late summer to autumn (Fig. 1a and b). Seeds easily adhere to animal fur or human clothes. Although there are several synonyms for</w:t>
      </w:r>
      <w:r>
        <w:t xml:space="preserve"> </w:t>
      </w:r>
      <w:r>
        <w:rPr>
          <w:iCs/>
          <w:i/>
        </w:rPr>
        <w:t xml:space="preserve">A. bidentata</w:t>
      </w:r>
      <w:r>
        <w:t xml:space="preserve">, our nomenclature follows the Ylist of Japanese plants (Yonekura and Kajita 2003-). According to the Ylist,</w:t>
      </w:r>
      <w:r>
        <w:t xml:space="preserve"> </w:t>
      </w:r>
      <w:r>
        <w:rPr>
          <w:iCs/>
          <w:i/>
        </w:rPr>
        <w:t xml:space="preserve">A. bidentata</w:t>
      </w:r>
      <w:r>
        <w:t xml:space="preserve"> </w:t>
      </w:r>
      <w:r>
        <w:t xml:space="preserve">has four subspecies, some of which might be misidentified as</w:t>
      </w:r>
      <w:r>
        <w:t xml:space="preserve"> </w:t>
      </w:r>
      <w:r>
        <w:rPr>
          <w:iCs/>
          <w:i/>
        </w:rPr>
        <w:t xml:space="preserve">A. aspera</w:t>
      </w:r>
      <w:r>
        <w:t xml:space="preserve">. Specifically, what we referred to as</w:t>
      </w:r>
      <w:r>
        <w:t xml:space="preserve"> </w:t>
      </w:r>
      <w:r>
        <w:rPr>
          <w:iCs/>
          <w:i/>
        </w:rPr>
        <w:t xml:space="preserve">Achyranthes bidentata</w:t>
      </w:r>
      <w:r>
        <w:t xml:space="preserve"> </w:t>
      </w:r>
      <w:r>
        <w:t xml:space="preserve">in this study was</w:t>
      </w:r>
      <w:r>
        <w:t xml:space="preserve"> </w:t>
      </w:r>
      <w:r>
        <w:rPr>
          <w:iCs/>
          <w:i/>
        </w:rPr>
        <w:t xml:space="preserve">A. bidentata</w:t>
      </w:r>
      <w:r>
        <w:t xml:space="preserve"> </w:t>
      </w:r>
      <w:r>
        <w:t xml:space="preserve">Blume var.</w:t>
      </w:r>
      <w:r>
        <w:t xml:space="preserve"> </w:t>
      </w:r>
      <w:r>
        <w:rPr>
          <w:iCs/>
          <w:i/>
        </w:rPr>
        <w:t xml:space="preserve">fauriei</w:t>
      </w:r>
      <w:r>
        <w:t xml:space="preserve"> </w:t>
      </w:r>
      <w:r>
        <w:t xml:space="preserve">(H. Lév. et Vaniot) so-called</w:t>
      </w:r>
      <w:r>
        <w:t xml:space="preserve"> </w:t>
      </w:r>
      <w:r>
        <w:t xml:space="preserve">“</w:t>
      </w:r>
      <w:r>
        <w:t xml:space="preserve">Hinata-inokozuchi</w:t>
      </w:r>
      <w:r>
        <w:t xml:space="preserve">”</w:t>
      </w:r>
      <w:r>
        <w:t xml:space="preserve"> </w:t>
      </w:r>
      <w:r>
        <w:t xml:space="preserve">in Japanese.</w:t>
      </w:r>
    </w:p>
    <w:bookmarkEnd w:id="23"/>
    <w:bookmarkStart w:id="24" w:name="study-sites-and-pilot-observation"/>
    <w:p>
      <w:pPr>
        <w:pStyle w:val="Heading2"/>
      </w:pPr>
      <w:r>
        <w:t xml:space="preserve">2.2 | Study sites and pilot observation</w:t>
      </w:r>
    </w:p>
    <w:p>
      <w:pPr>
        <w:pStyle w:val="FirstParagraph"/>
      </w:pPr>
      <w:r>
        <w:t xml:space="preserve">Our field survey was conducted at the Yoshida campus of Kyoto University, Kyoto, Japan (35°01′54″N, 135°47′14″E). The study area was located near an open playground. The density of individual</w:t>
      </w:r>
      <w:r>
        <w:t xml:space="preserve"> </w:t>
      </w:r>
      <w:r>
        <w:rPr>
          <w:iCs/>
          <w:i/>
        </w:rPr>
        <w:t xml:space="preserve">A. bidentata</w:t>
      </w:r>
      <w:r>
        <w:t xml:space="preserve"> </w:t>
      </w:r>
      <w:r>
        <w:t xml:space="preserve">was so high that a 1 m</w:t>
      </w:r>
      <w:r>
        <w:rPr>
          <w:vertAlign w:val="superscript"/>
        </w:rPr>
        <w:t xml:space="preserve">2</w:t>
      </w:r>
      <w:r>
        <w:t xml:space="preserve"> </w:t>
      </w:r>
      <w:r>
        <w:t xml:space="preserve">patch included spikes from &gt;10 individuals (average = 12.7, SD = 2.1, number of measured patches = 10). In addition to</w:t>
      </w:r>
      <w:r>
        <w:t xml:space="preserve"> </w:t>
      </w:r>
      <w:r>
        <w:rPr>
          <w:iCs/>
          <w:i/>
        </w:rPr>
        <w:t xml:space="preserve">A. bidentata</w:t>
      </w:r>
      <w:r>
        <w:t xml:space="preserve">, the bushkiller</w:t>
      </w:r>
      <w:r>
        <w:t xml:space="preserve"> </w:t>
      </w:r>
      <w:r>
        <w:rPr>
          <w:iCs/>
          <w:i/>
        </w:rPr>
        <w:t xml:space="preserve">Cayratia japonica</w:t>
      </w:r>
      <w:r>
        <w:t xml:space="preserve"> </w:t>
      </w:r>
      <w:r>
        <w:t xml:space="preserve">and long-bristled smartweed</w:t>
      </w:r>
      <w:r>
        <w:t xml:space="preserve"> </w:t>
      </w:r>
      <w:r>
        <w:rPr>
          <w:iCs/>
          <w:i/>
        </w:rPr>
        <w:t xml:space="preserve">Persicaria longiseta</w:t>
      </w:r>
      <w:r>
        <w:t xml:space="preserve"> </w:t>
      </w:r>
      <w:r>
        <w:t xml:space="preserve">bloomed during the study period. Given the active conditions for flower visitors, we made all observations during the daytime (9:00-15:00) on sunny days.</w:t>
      </w:r>
    </w:p>
    <w:p>
      <w:pPr>
        <w:pStyle w:val="BodyText"/>
      </w:pPr>
      <w:r>
        <w:t xml:space="preserve">To ascertain whether</w:t>
      </w:r>
      <w:r>
        <w:t xml:space="preserve"> </w:t>
      </w:r>
      <w:r>
        <w:rPr>
          <w:iCs/>
          <w:i/>
        </w:rPr>
        <w:t xml:space="preserve">A. bidentata</w:t>
      </w:r>
      <w:r>
        <w:t xml:space="preserve"> </w:t>
      </w:r>
      <w:r>
        <w:t xml:space="preserve">produced entomophilous flowers, we first conducted pilot observations in the morning and afternoon in Kyoto. This observation was performed twice (morning and afternoon) on 8 September 2010. We counted insect visits on the spike of</w:t>
      </w:r>
      <w:r>
        <w:t xml:space="preserve"> </w:t>
      </w:r>
      <w:r>
        <w:rPr>
          <w:iCs/>
          <w:i/>
        </w:rPr>
        <w:t xml:space="preserve">A. bidentata</w:t>
      </w:r>
      <w:r>
        <w:t xml:space="preserve"> </w:t>
      </w:r>
      <w:r>
        <w:t xml:space="preserve">per ten minutes up to the order level. The sex of the insect individuals was not distinguished. The area of the observed patch was approximately 4 m</w:t>
      </w:r>
      <w:r>
        <w:rPr>
          <w:vertAlign w:val="superscript"/>
        </w:rPr>
        <w:t xml:space="preserve">2</w:t>
      </w:r>
      <w:r>
        <w:t xml:space="preserve">. Dominant visitors were caught and identified as much as possible.</w:t>
      </w:r>
    </w:p>
    <w:p>
      <w:pPr>
        <w:pStyle w:val="BodyText"/>
      </w:pPr>
      <w:r>
        <w:t xml:space="preserve">To confirm whether</w:t>
      </w:r>
      <w:r>
        <w:t xml:space="preserve"> </w:t>
      </w:r>
      <w:r>
        <w:rPr>
          <w:iCs/>
          <w:i/>
        </w:rPr>
        <w:t xml:space="preserve">A. bidentata</w:t>
      </w:r>
      <w:r>
        <w:t xml:space="preserve"> </w:t>
      </w:r>
      <w:r>
        <w:t xml:space="preserve">attracted multiple flower visitors, we conducted additional observations at another site. We used a rural area in Fujiwara-cho, Mie, Japan (35°09′5″N, 136°30′06″E). This study site was located in a meadow near an abandoned field, including the water willow</w:t>
      </w:r>
      <w:r>
        <w:t xml:space="preserve"> </w:t>
      </w:r>
      <w:r>
        <w:rPr>
          <w:iCs/>
          <w:i/>
        </w:rPr>
        <w:t xml:space="preserve">Justicia procumbens</w:t>
      </w:r>
      <w:r>
        <w:t xml:space="preserve"> </w:t>
      </w:r>
      <w:r>
        <w:t xml:space="preserve">and creeping woodsorrel</w:t>
      </w:r>
      <w:r>
        <w:t xml:space="preserve"> </w:t>
      </w:r>
      <w:r>
        <w:rPr>
          <w:iCs/>
          <w:i/>
        </w:rPr>
        <w:t xml:space="preserve">Oxalis corniculata</w:t>
      </w:r>
      <w:r>
        <w:t xml:space="preserve"> </w:t>
      </w:r>
      <w:r>
        <w:t xml:space="preserve">as the other blooming plants. Our observation was performed twice (morning and afternoon) on 10 October 2010. We counted insect visits following the same method described above for the Kyoto site.</w:t>
      </w:r>
    </w:p>
    <w:bookmarkEnd w:id="24"/>
    <w:bookmarkStart w:id="25" w:name="visiting-patterns-of-major-insects"/>
    <w:p>
      <w:pPr>
        <w:pStyle w:val="Heading2"/>
      </w:pPr>
      <w:r>
        <w:t xml:space="preserve">2.3 | Visiting patterns of major insects</w:t>
      </w:r>
    </w:p>
    <w:p>
      <w:pPr>
        <w:pStyle w:val="FirstParagraph"/>
      </w:pPr>
      <w:r>
        <w:t xml:space="preserve">To identify a potential agent of plant-plant interactions, we focused on the visiting patterns of abundant insects. In addition to visiting frequency, we examined the following three aspects: (a) repeated visits within an individual plant, (b) visitation time, and (c) movement distance. This line of field surveys was conducted at the Kyoto site where honeybees (</w:t>
      </w:r>
      <w:r>
        <w:rPr>
          <w:iCs/>
          <w:i/>
        </w:rPr>
        <w:t xml:space="preserve">Apis cerana</w:t>
      </w:r>
      <w:r>
        <w:t xml:space="preserve"> </w:t>
      </w:r>
      <w:r>
        <w:t xml:space="preserve">ssp.</w:t>
      </w:r>
      <w:r>
        <w:t xml:space="preserve"> </w:t>
      </w:r>
      <w:r>
        <w:rPr>
          <w:iCs/>
          <w:i/>
        </w:rPr>
        <w:t xml:space="preserve">japonica</w:t>
      </w:r>
      <w:r>
        <w:t xml:space="preserve">) and lycaenid butterflies (</w:t>
      </w:r>
      <w:r>
        <w:rPr>
          <w:iCs/>
          <w:i/>
        </w:rPr>
        <w:t xml:space="preserve">Zizeeria maha</w:t>
      </w:r>
      <w:r>
        <w:t xml:space="preserve"> </w:t>
      </w:r>
      <w:r>
        <w:t xml:space="preserve">ssp.</w:t>
      </w:r>
      <w:r>
        <w:t xml:space="preserve"> </w:t>
      </w:r>
      <w:r>
        <w:rPr>
          <w:iCs/>
          <w:i/>
        </w:rPr>
        <w:t xml:space="preserve">argia</w:t>
      </w:r>
      <w:r>
        <w:t xml:space="preserve">,</w:t>
      </w:r>
      <w:r>
        <w:t xml:space="preserve"> </w:t>
      </w:r>
      <w:r>
        <w:rPr>
          <w:iCs/>
          <w:i/>
        </w:rPr>
        <w:t xml:space="preserve">Lycaena phlaeas</w:t>
      </w:r>
      <w:r>
        <w:t xml:space="preserve"> </w:t>
      </w:r>
      <w:r>
        <w:t xml:space="preserve">ssp.</w:t>
      </w:r>
      <w:r>
        <w:t xml:space="preserve"> </w:t>
      </w:r>
      <w:r>
        <w:rPr>
          <w:iCs/>
          <w:i/>
        </w:rPr>
        <w:t xml:space="preserve">daimio</w:t>
      </w:r>
      <w:r>
        <w:t xml:space="preserve">, and</w:t>
      </w:r>
      <w:r>
        <w:t xml:space="preserve"> </w:t>
      </w:r>
      <w:r>
        <w:rPr>
          <w:iCs/>
          <w:i/>
        </w:rPr>
        <w:t xml:space="preserve">Everes argiades</w:t>
      </w:r>
      <w:r>
        <w:t xml:space="preserve"> </w:t>
      </w:r>
      <w:r>
        <w:t xml:space="preserve">ssp.</w:t>
      </w:r>
      <w:r>
        <w:t xml:space="preserve"> </w:t>
      </w:r>
      <w:r>
        <w:rPr>
          <w:iCs/>
          <w:i/>
        </w:rPr>
        <w:t xml:space="preserve">hellotia</w:t>
      </w:r>
      <w:r>
        <w:t xml:space="preserve">) were abundant. We confirmed the potential of these major visitors to carry</w:t>
      </w:r>
      <w:r>
        <w:t xml:space="preserve"> </w:t>
      </w:r>
      <w:r>
        <w:rPr>
          <w:iCs/>
          <w:i/>
        </w:rPr>
        <w:t xml:space="preserve">A. bidentata</w:t>
      </w:r>
      <w:r>
        <w:t xml:space="preserve"> </w:t>
      </w:r>
      <w:r>
        <w:t xml:space="preserve">pollen by observing pollen grains adhering to plant anther and insect bodies under electron microscopy (Fig. 1c-e).</w:t>
      </w:r>
    </w:p>
    <w:p>
      <w:pPr>
        <w:pStyle w:val="BodyText"/>
      </w:pPr>
      <w:r>
        <w:rPr>
          <w:iCs/>
          <w:i/>
        </w:rPr>
        <w:t xml:space="preserve">(a) Intra-individual visitation</w:t>
      </w:r>
      <w:r>
        <w:t xml:space="preserve">: We first compared intra-individual visitation rate and visitation frequency between lycaenid butterflies and honeybees per 30 min. In this observation, we defined a single visit as movement between</w:t>
      </w:r>
      <w:r>
        <w:t xml:space="preserve"> </w:t>
      </w:r>
      <w:r>
        <w:rPr>
          <w:iCs/>
          <w:i/>
        </w:rPr>
        <w:t xml:space="preserve">A. bidentata</w:t>
      </w:r>
      <w:r>
        <w:t xml:space="preserve"> </w:t>
      </w:r>
      <w:r>
        <w:t xml:space="preserve">flowers. In addition to the number of visits, we recorded whether the movement was inter- or intra-individual. The 30-min observation was performed five times on 20 September 2010 afternoon, 26 September 2010 morning and afternoon, 5 October 2010 afternoon and 12 October 2010 afternoon. The observed area was approximately 4 m</w:t>
      </w:r>
      <w:r>
        <w:rPr>
          <w:vertAlign w:val="superscript"/>
        </w:rPr>
        <w:t xml:space="preserve">2</w:t>
      </w:r>
      <w:r>
        <w:t xml:space="preserve">. A leaving movement out of the 4-m</w:t>
      </w:r>
      <w:r>
        <w:rPr>
          <w:vertAlign w:val="superscript"/>
        </w:rPr>
        <w:t xml:space="preserve">2</w:t>
      </w:r>
      <w:r>
        <w:t xml:space="preserve"> </w:t>
      </w:r>
      <w:r>
        <w:t xml:space="preserve">area was also counted as a single visit as long as it was made between</w:t>
      </w:r>
      <w:r>
        <w:t xml:space="preserve"> </w:t>
      </w:r>
      <w:r>
        <w:rPr>
          <w:iCs/>
          <w:i/>
        </w:rPr>
        <w:t xml:space="preserve">A. bidentata</w:t>
      </w:r>
      <w:r>
        <w:t xml:space="preserve"> </w:t>
      </w:r>
      <w:r>
        <w:t xml:space="preserve">flowers.</w:t>
      </w:r>
    </w:p>
    <w:p>
      <w:pPr>
        <w:pStyle w:val="BodyText"/>
      </w:pPr>
      <w:r>
        <w:rPr>
          <w:iCs/>
          <w:i/>
        </w:rPr>
        <w:t xml:space="preserve">(b) Visitation time</w:t>
      </w:r>
      <w:r>
        <w:t xml:space="preserve">: We then compared the time spent on</w:t>
      </w:r>
      <w:r>
        <w:t xml:space="preserve"> </w:t>
      </w:r>
      <w:r>
        <w:rPr>
          <w:iCs/>
          <w:i/>
        </w:rPr>
        <w:t xml:space="preserve">A. bidentata</w:t>
      </w:r>
      <w:r>
        <w:t xml:space="preserve"> </w:t>
      </w:r>
      <w:r>
        <w:t xml:space="preserve">spikes between lycaenid butterflies and honeybees. We recorded the time from landing to departure by 0.01 second order using a stopwatch. This observation was performed twice on 7 October 2010 afternoon and 12 October 2010 afternoon. We examined 40 individuals per survey, yielding a total sample size of 80 honeybees and butterflies.</w:t>
      </w:r>
    </w:p>
    <w:p>
      <w:pPr>
        <w:pStyle w:val="BodyText"/>
      </w:pPr>
      <w:r>
        <w:rPr>
          <w:iCs/>
          <w:i/>
        </w:rPr>
        <w:t xml:space="preserve">(c) Movement distance</w:t>
      </w:r>
      <w:r>
        <w:t xml:space="preserve">: We finally compared the distance of inter-flower movement between honeybees and lycaenid butterflies. We measured the distance between the</w:t>
      </w:r>
      <w:r>
        <w:t xml:space="preserve"> </w:t>
      </w:r>
      <w:r>
        <w:rPr>
          <w:iCs/>
          <w:i/>
        </w:rPr>
        <w:t xml:space="preserve">A. bidentata</w:t>
      </w:r>
      <w:r>
        <w:t xml:space="preserve"> </w:t>
      </w:r>
      <w:r>
        <w:t xml:space="preserve">spikes from 10 to 100 cm. A movement longer than 1 m was recorded as &gt;100 cm. This observation was performed three times on 26 September 2010 afternoon, 29 September 2010 afternoon, and 12 October 2010 afternoon. For each observation, the same number of individuals was measured for butterflies and honeybees. The entire dataset consisted of 20 individuals on 26 September 2010; 30 individuals on 29 September 2010; and 51 individuals on 12 October 2010, yielding a total sample size of 101 honeybees and butterflies.</w:t>
      </w:r>
    </w:p>
    <w:bookmarkEnd w:id="25"/>
    <w:bookmarkStart w:id="27" w:name="statistical-analysis"/>
    <w:p>
      <w:pPr>
        <w:pStyle w:val="Heading2"/>
      </w:pPr>
      <w:r>
        <w:t xml:space="preserve">2.4 | Statistical analysis</w:t>
      </w:r>
    </w:p>
    <w:p>
      <w:pPr>
        <w:pStyle w:val="FirstParagraph"/>
      </w:pPr>
      <w:r>
        <w:t xml:space="preserve">We used generalized linear mixed models (GLMMs) to test the effects of the two visitor types (honeybee or butterfly) on the total number of visits, proportion of intra-individual visits, visitation time, and movement distance. Regarding each response variable, we assumed Poisson error for the total number of visits, binomial error for the proportion of intra-individual visits, Gamma error for the visitation time, and ordered multinomial error for the movement distance. The fixed effects were the two visitor types. The difference in survey dates was considered a random effect. Similarly, we used generalized linear models (GLMs) with a multinomial to test the influence of the study sites (i.e., Kyoto or Mie) on the community composition of flower visitors. In this multinomial GLM, the categories of insect orders were considered the response variable, while the explanatory variables were the study sites (Kyoto or Mie) and time (morning or afternoon). Statistical significance was determined using a likelihood ratio test with or without each term, with the significance level being set at = 0.05.</w:t>
      </w:r>
    </w:p>
    <w:p>
      <w:pPr>
        <w:pStyle w:val="BodyText"/>
      </w:pPr>
      <w:r>
        <w:t xml:space="preserve">All statistical analyses and visualization were performed using R version 4.3.0</w:t>
      </w:r>
      <w:r>
        <w:t xml:space="preserve"> </w:t>
      </w:r>
      <w:r>
        <w:t xml:space="preserve">(R Core Team, 2023)</w:t>
      </w:r>
      <w:r>
        <w:t xml:space="preserve">. The default setting was applied for the link functions of the GLMs and GLMMs. Regarding add-on R packages, we utilized the lme4</w:t>
      </w:r>
      <w:r>
        <w:t xml:space="preserve"> </w:t>
      </w:r>
      <w:r>
        <w:t xml:space="preserve">(Bates et al., 2015)</w:t>
      </w:r>
      <w:r>
        <w:t xml:space="preserve"> </w:t>
      </w:r>
      <w:r>
        <w:t xml:space="preserve">and ordinal</w:t>
      </w:r>
      <w:r>
        <w:t xml:space="preserve"> </w:t>
      </w:r>
      <w:r>
        <w:t xml:space="preserve">(Christensen, 2023)</w:t>
      </w:r>
      <w:r>
        <w:t xml:space="preserve"> </w:t>
      </w:r>
      <w:r>
        <w:t xml:space="preserve">packages for GLMMs, the VGAM</w:t>
      </w:r>
      <w:r>
        <w:t xml:space="preserve"> </w:t>
      </w:r>
      <w:r>
        <w:t xml:space="preserve">(Yee, 2010)</w:t>
      </w:r>
      <w:r>
        <w:t xml:space="preserve"> </w:t>
      </w:r>
      <w:r>
        <w:t xml:space="preserve">package for GLMs, and the tidyverse package</w:t>
      </w:r>
      <w:r>
        <w:t xml:space="preserve"> </w:t>
      </w:r>
      <w:r>
        <w:t xml:space="preserve">(Wickham et al., 2019)</w:t>
      </w:r>
      <w:r>
        <w:t xml:space="preserve"> </w:t>
      </w:r>
      <w:r>
        <w:t xml:space="preserve">for data handling and visualization. All source codes and original data generated in this study are available at Zenodo (</w:t>
      </w:r>
      <w:hyperlink r:id="rId26">
        <w:r>
          <w:rPr>
            <w:rStyle w:val="Hyperlink"/>
          </w:rPr>
          <w:t xml:space="preserve">https://doi.org/xxxx</w:t>
        </w:r>
      </w:hyperlink>
      <w:r>
        <w:t xml:space="preserve">).</w:t>
      </w:r>
    </w:p>
    <w:bookmarkEnd w:id="27"/>
    <w:bookmarkEnd w:id="28"/>
    <w:bookmarkStart w:id="31" w:name="results"/>
    <w:p>
      <w:pPr>
        <w:pStyle w:val="Heading1"/>
      </w:pPr>
      <w:r>
        <w:t xml:space="preserve">3 | RESULTS</w:t>
      </w:r>
    </w:p>
    <w:bookmarkStart w:id="29" w:name="X7cef2b73bf70212bcca33581709407b3242276e"/>
    <w:p>
      <w:pPr>
        <w:pStyle w:val="Heading2"/>
      </w:pPr>
      <w:r>
        <w:t xml:space="preserve">3.1 | Diverse insect visitors to</w:t>
      </w:r>
      <w:r>
        <w:t xml:space="preserve"> </w:t>
      </w:r>
      <w:r>
        <w:rPr>
          <w:iCs/>
          <w:i/>
        </w:rPr>
        <w:t xml:space="preserve">A. bidentata</w:t>
      </w:r>
      <w:r>
        <w:t xml:space="preserve"> </w:t>
      </w:r>
      <w:r>
        <w:t xml:space="preserve">flowers</w:t>
      </w:r>
    </w:p>
    <w:p>
      <w:pPr>
        <w:pStyle w:val="FirstParagraph"/>
      </w:pPr>
      <w:r>
        <w:t xml:space="preserve">We observed a total of 11 species of flower visitors to</w:t>
      </w:r>
      <w:r>
        <w:t xml:space="preserve"> </w:t>
      </w:r>
      <w:r>
        <w:rPr>
          <w:iCs/>
          <w:i/>
        </w:rPr>
        <w:t xml:space="preserve">A. bidentata</w:t>
      </w:r>
      <w:r>
        <w:t xml:space="preserve"> </w:t>
      </w:r>
      <w:r>
        <w:t xml:space="preserve">at the two sites (Table 1). The community composition of flower visitors differed significantly between the Kyoto and Mie sites (multinomial GLM, likelihood ratio test,</w:t>
      </w:r>
      <w:r>
        <w:t xml:space="preserve"> </w:t>
      </w:r>
      <m:oMath>
        <m:sSubSup>
          <m:e>
            <m:r>
              <m:t>χ</m:t>
            </m:r>
          </m:e>
          <m:sub>
            <m:r>
              <m:t>1</m:t>
            </m:r>
          </m:sub>
          <m:sup>
            <m:r>
              <m:t>2</m:t>
            </m:r>
          </m:sup>
        </m:sSubSup>
      </m:oMath>
      <w:r>
        <w:t xml:space="preserve"> </w:t>
      </w:r>
      <w:r>
        <w:t xml:space="preserve">= 97.79</w:t>
      </w:r>
      <w:r>
        <w:t xml:space="preserve"> </w:t>
      </w:r>
      <m:oMath>
        <m:r>
          <m:t>p</m:t>
        </m:r>
      </m:oMath>
      <w:r>
        <w:t xml:space="preserve"> </w:t>
      </w:r>
      <w:r>
        <w:t xml:space="preserve">&lt; 2.2e-16), although the influence of observation time (i.e., morning and afternoon) on the community was weaker but significant (</w:t>
      </w:r>
      <m:oMath>
        <m:sSubSup>
          <m:e>
            <m:r>
              <m:t>χ</m:t>
            </m:r>
          </m:e>
          <m:sub>
            <m:r>
              <m:t>1</m:t>
            </m:r>
          </m:sub>
          <m:sup>
            <m:r>
              <m:t>2</m:t>
            </m:r>
          </m:sup>
        </m:sSubSup>
      </m:oMath>
      <w:r>
        <w:t xml:space="preserve"> </w:t>
      </w:r>
      <w:r>
        <w:t xml:space="preserve">= 12.25,</w:t>
      </w:r>
      <w:r>
        <w:t xml:space="preserve"> </w:t>
      </w:r>
      <m:oMath>
        <m:r>
          <m:t>p</m:t>
        </m:r>
      </m:oMath>
      <w:r>
        <w:t xml:space="preserve"> </w:t>
      </w:r>
      <w:r>
        <w:t xml:space="preserve">= 0.0066). In Kyoto, the most and second-most abundant orders were Hymenoptera and Lepidoptera, respectively (Fig. 2). Specifically, we observed the native honeybee</w:t>
      </w:r>
      <w:r>
        <w:t xml:space="preserve"> </w:t>
      </w:r>
      <w:r>
        <w:rPr>
          <w:iCs/>
          <w:i/>
        </w:rPr>
        <w:t xml:space="preserve">Apis cerana</w:t>
      </w:r>
      <w:r>
        <w:t xml:space="preserve"> </w:t>
      </w:r>
      <w:r>
        <w:t xml:space="preserve">ssp.</w:t>
      </w:r>
      <w:r>
        <w:t xml:space="preserve"> </w:t>
      </w:r>
      <w:r>
        <w:rPr>
          <w:iCs/>
          <w:i/>
        </w:rPr>
        <w:t xml:space="preserve">japonica</w:t>
      </w:r>
      <w:r>
        <w:t xml:space="preserve"> </w:t>
      </w:r>
      <w:r>
        <w:t xml:space="preserve">and three lycaenid butterflies,</w:t>
      </w:r>
      <w:r>
        <w:t xml:space="preserve"> </w:t>
      </w:r>
      <w:r>
        <w:rPr>
          <w:iCs/>
          <w:i/>
        </w:rPr>
        <w:t xml:space="preserve">Zizeeria maha</w:t>
      </w:r>
      <w:r>
        <w:t xml:space="preserve"> </w:t>
      </w:r>
      <w:r>
        <w:t xml:space="preserve">ssp.</w:t>
      </w:r>
      <w:r>
        <w:t xml:space="preserve"> </w:t>
      </w:r>
      <w:r>
        <w:rPr>
          <w:iCs/>
          <w:i/>
        </w:rPr>
        <w:t xml:space="preserve">argia</w:t>
      </w:r>
      <w:r>
        <w:t xml:space="preserve">,</w:t>
      </w:r>
      <w:r>
        <w:t xml:space="preserve"> </w:t>
      </w:r>
      <w:r>
        <w:rPr>
          <w:iCs/>
          <w:i/>
        </w:rPr>
        <w:t xml:space="preserve">Lycaena phlaeas</w:t>
      </w:r>
      <w:r>
        <w:t xml:space="preserve"> </w:t>
      </w:r>
      <w:r>
        <w:t xml:space="preserve">ssp.</w:t>
      </w:r>
      <w:r>
        <w:t xml:space="preserve"> </w:t>
      </w:r>
      <w:r>
        <w:rPr>
          <w:iCs/>
          <w:i/>
        </w:rPr>
        <w:t xml:space="preserve">daimio</w:t>
      </w:r>
      <w:r>
        <w:t xml:space="preserve">, and</w:t>
      </w:r>
      <w:r>
        <w:t xml:space="preserve"> </w:t>
      </w:r>
      <w:r>
        <w:rPr>
          <w:iCs/>
          <w:i/>
        </w:rPr>
        <w:t xml:space="preserve">Everes argiades</w:t>
      </w:r>
      <w:r>
        <w:t xml:space="preserve"> </w:t>
      </w:r>
      <w:r>
        <w:t xml:space="preserve">ssp.</w:t>
      </w:r>
      <w:r>
        <w:t xml:space="preserve"> </w:t>
      </w:r>
      <w:r>
        <w:rPr>
          <w:iCs/>
          <w:i/>
        </w:rPr>
        <w:t xml:space="preserve">hellotia</w:t>
      </w:r>
      <w:r>
        <w:t xml:space="preserve">, as major visitors (Table 1). In contrast, the second most abundant order in Mie was Diptera (Fig. 2). Although the most abundant order in Mie was Hymenoptera (Fig. 2), its abundant species was not a honeybee but a scoliid wasp,</w:t>
      </w:r>
      <w:r>
        <w:t xml:space="preserve"> </w:t>
      </w:r>
      <w:r>
        <w:rPr>
          <w:iCs/>
          <w:i/>
        </w:rPr>
        <w:t xml:space="preserve">Campsomeris prismatica</w:t>
      </w:r>
      <w:r>
        <w:t xml:space="preserve"> </w:t>
      </w:r>
      <w:r>
        <w:t xml:space="preserve">(Table 1). These observations confirm that</w:t>
      </w:r>
      <w:r>
        <w:t xml:space="preserve"> </w:t>
      </w:r>
      <w:r>
        <w:rPr>
          <w:iCs/>
          <w:i/>
        </w:rPr>
        <w:t xml:space="preserve">A. bidentata</w:t>
      </w:r>
      <w:r>
        <w:t xml:space="preserve"> </w:t>
      </w:r>
      <w:r>
        <w:t xml:space="preserve">can attract diverse insects as a generalist flowering plant.</w:t>
      </w:r>
    </w:p>
    <w:bookmarkEnd w:id="29"/>
    <w:bookmarkStart w:id="30" w:name="visiting-patterns-of-major-insects-1"/>
    <w:p>
      <w:pPr>
        <w:pStyle w:val="Heading2"/>
      </w:pPr>
      <w:r>
        <w:t xml:space="preserve">3.2 | Visiting patterns of major insects</w:t>
      </w:r>
    </w:p>
    <w:p>
      <w:pPr>
        <w:pStyle w:val="FirstParagraph"/>
      </w:pPr>
      <w:r>
        <w:t xml:space="preserve">To gain quantitative insights, we then examined the visiting patterns of two major insects, lycaenid butterflies and honeybees, in Kyoto. We found that honeybees visited more frequently than butterflies (Poisson GLMM,</w:t>
      </w:r>
      <w:r>
        <w:t xml:space="preserve"> </w:t>
      </w:r>
      <m:oMath>
        <m:sSubSup>
          <m:e>
            <m:r>
              <m:t>χ</m:t>
            </m:r>
          </m:e>
          <m:sub>
            <m:r>
              <m:t>1</m:t>
            </m:r>
          </m:sub>
          <m:sup>
            <m:r>
              <m:t>2</m:t>
            </m:r>
          </m:sup>
        </m:sSubSup>
      </m:oMath>
      <w:r>
        <w:t xml:space="preserve"> </w:t>
      </w:r>
      <w:r>
        <w:t xml:space="preserve">= 691.95,</w:t>
      </w:r>
      <w:r>
        <w:t xml:space="preserve"> </w:t>
      </w:r>
      <m:oMath>
        <m:r>
          <m:t>p</m:t>
        </m:r>
      </m:oMath>
      <w:r>
        <w:t xml:space="preserve"> </w:t>
      </w:r>
      <w:r>
        <w:t xml:space="preserve">&lt; 2.2e-16), but these honeybees were more likely to have intra-individual visits (binomial GLMM,</w:t>
      </w:r>
      <w:r>
        <w:t xml:space="preserve"> </w:t>
      </w:r>
      <m:oMath>
        <m:sSubSup>
          <m:e>
            <m:r>
              <m:t>χ</m:t>
            </m:r>
          </m:e>
          <m:sub>
            <m:r>
              <m:t>1</m:t>
            </m:r>
          </m:sub>
          <m:sup>
            <m:r>
              <m:t>2</m:t>
            </m:r>
          </m:sup>
        </m:sSubSup>
      </m:oMath>
      <w:r>
        <w:t xml:space="preserve"> </w:t>
      </w:r>
      <w:r>
        <w:t xml:space="preserve">= 103.17,</w:t>
      </w:r>
      <w:r>
        <w:t xml:space="preserve"> </w:t>
      </w:r>
      <m:oMath>
        <m:r>
          <m:t>p</m:t>
        </m:r>
      </m:oMath>
      <w:r>
        <w:t xml:space="preserve"> </w:t>
      </w:r>
      <w:r>
        <w:t xml:space="preserve">&lt; 2.2e-16: Fig. 3a). This pattern indicates that honeybees can be effective pollinators, but their net efficiency is questionable due to potential geitonogamy. We further observed visitation time and flight distance to compare movement patterns between butterflies and honeybees. Lycaenid butterflies stayed longer on flowers than honeybees, as shown by their significant difference in visitation time (Gamma GLMM,</w:t>
      </w:r>
      <w:r>
        <w:t xml:space="preserve"> </w:t>
      </w:r>
      <m:oMath>
        <m:sSubSup>
          <m:e>
            <m:r>
              <m:t>χ</m:t>
            </m:r>
          </m:e>
          <m:sub>
            <m:r>
              <m:t>1</m:t>
            </m:r>
          </m:sub>
          <m:sup>
            <m:r>
              <m:t>2</m:t>
            </m:r>
          </m:sup>
        </m:sSubSup>
      </m:oMath>
      <w:r>
        <w:t xml:space="preserve"> </w:t>
      </w:r>
      <w:r>
        <w:t xml:space="preserve">= 176.77,</w:t>
      </w:r>
      <w:r>
        <w:t xml:space="preserve"> </w:t>
      </w:r>
      <m:oMath>
        <m:r>
          <m:t>p</m:t>
        </m:r>
      </m:oMath>
      <w:r>
        <w:t xml:space="preserve"> </w:t>
      </w:r>
      <w:r>
        <w:t xml:space="preserve">&lt; 2.2e-16: Fig. 3b). We also found that lycaenid butterflies were more likely to move between distant flowers of</w:t>
      </w:r>
      <w:r>
        <w:t xml:space="preserve"> </w:t>
      </w:r>
      <w:r>
        <w:rPr>
          <w:iCs/>
          <w:i/>
        </w:rPr>
        <w:t xml:space="preserve">A. bidentata</w:t>
      </w:r>
      <w:r>
        <w:t xml:space="preserve"> </w:t>
      </w:r>
      <w:r>
        <w:t xml:space="preserve">than honeybees (ordered multinomial GLMM,</w:t>
      </w:r>
      <w:r>
        <w:t xml:space="preserve"> </w:t>
      </w:r>
      <m:oMath>
        <m:sSubSup>
          <m:e>
            <m:r>
              <m:t>χ</m:t>
            </m:r>
          </m:e>
          <m:sub>
            <m:r>
              <m:t>1</m:t>
            </m:r>
          </m:sub>
          <m:sup>
            <m:r>
              <m:t>2</m:t>
            </m:r>
          </m:sup>
        </m:sSubSup>
      </m:oMath>
      <w:r>
        <w:t xml:space="preserve"> </w:t>
      </w:r>
      <w:r>
        <w:t xml:space="preserve">= 91.86,</w:t>
      </w:r>
      <w:r>
        <w:t xml:space="preserve"> </w:t>
      </w:r>
      <m:oMath>
        <m:r>
          <m:t>p</m:t>
        </m:r>
      </m:oMath>
      <w:r>
        <w:t xml:space="preserve"> </w:t>
      </w:r>
      <w:r>
        <w:t xml:space="preserve">&lt; 2.2e-16: Fig. 3c and d). These findings indicate that lycaenid butterflies are able to transfer pollen to distant individuals, although they may not be an efficient pollinator.</w:t>
      </w:r>
    </w:p>
    <w:bookmarkEnd w:id="30"/>
    <w:bookmarkEnd w:id="31"/>
    <w:bookmarkStart w:id="32" w:name="discussion"/>
    <w:p>
      <w:pPr>
        <w:pStyle w:val="Heading1"/>
      </w:pPr>
      <w:r>
        <w:t xml:space="preserve">4 | DISCUSSION</w:t>
      </w:r>
    </w:p>
    <w:p>
      <w:pPr>
        <w:pStyle w:val="FirstParagraph"/>
      </w:pPr>
      <w:r>
        <w:t xml:space="preserve">Our field survey revealed that</w:t>
      </w:r>
      <w:r>
        <w:t xml:space="preserve"> </w:t>
      </w:r>
      <w:r>
        <w:rPr>
          <w:iCs/>
          <w:i/>
        </w:rPr>
        <w:t xml:space="preserve">A. bidentata</w:t>
      </w:r>
      <w:r>
        <w:t xml:space="preserve"> </w:t>
      </w:r>
      <w:r>
        <w:t xml:space="preserve">produced entomophious flowers to attract diverse insect visitors. Despite their inconspicuous petalless flowers,</w:t>
      </w:r>
      <w:r>
        <w:t xml:space="preserve"> </w:t>
      </w:r>
      <w:r>
        <w:rPr>
          <w:iCs/>
          <w:i/>
        </w:rPr>
        <w:t xml:space="preserve">A. bidentata</w:t>
      </w:r>
      <w:r>
        <w:t xml:space="preserve"> </w:t>
      </w:r>
      <w:r>
        <w:t xml:space="preserve">is able to provide pollen as a resource for bees. In addition to pollen,</w:t>
      </w:r>
      <w:r>
        <w:t xml:space="preserve"> </w:t>
      </w:r>
      <w:r>
        <w:rPr>
          <w:iCs/>
          <w:i/>
        </w:rPr>
        <w:t xml:space="preserve">A. bidentata</w:t>
      </w:r>
      <w:r>
        <w:t xml:space="preserve"> </w:t>
      </w:r>
      <w:r>
        <w:t xml:space="preserve">is likely to produce nectar because it allows adult butterflies to stay long on flowers (Fig. 3b). Such resource provisioning may enable the simultaneous attraction of multiple visitors and thus differentiate visitor communities between the two study sites (Table 1 and Fig. 2). While we observed honeybees not only in Kyoto but also in Mie, these bees visited other blooming species such as the water willow</w:t>
      </w:r>
      <w:r>
        <w:t xml:space="preserve"> </w:t>
      </w:r>
      <w:r>
        <w:rPr>
          <w:iCs/>
          <w:i/>
        </w:rPr>
        <w:t xml:space="preserve">J. procumbens</w:t>
      </w:r>
      <w:r>
        <w:t xml:space="preserve"> </w:t>
      </w:r>
      <w:r>
        <w:t xml:space="preserve">and the creeping woodsorrel</w:t>
      </w:r>
      <w:r>
        <w:t xml:space="preserve"> </w:t>
      </w:r>
      <w:r>
        <w:rPr>
          <w:iCs/>
          <w:i/>
        </w:rPr>
        <w:t xml:space="preserve">O. corniculata</w:t>
      </w:r>
      <w:r>
        <w:t xml:space="preserve"> </w:t>
      </w:r>
      <w:r>
        <w:t xml:space="preserve">(Y. Sato pers. obs.). This suggests that the surrounding flora as well as pollinator fauna may influence which insects</w:t>
      </w:r>
      <w:r>
        <w:t xml:space="preserve"> </w:t>
      </w:r>
      <w:r>
        <w:rPr>
          <w:iCs/>
          <w:i/>
        </w:rPr>
        <w:t xml:space="preserve">A. bidentata</w:t>
      </w:r>
      <w:r>
        <w:t xml:space="preserve"> </w:t>
      </w:r>
      <w:r>
        <w:t xml:space="preserve">can attract.</w:t>
      </w:r>
    </w:p>
    <w:p>
      <w:pPr>
        <w:pStyle w:val="BodyText"/>
      </w:pPr>
      <w:r>
        <w:t xml:space="preserve">In a generalized pollination system, previous studies suggested that the best pollen carrier might not always be the most efficient pollinator due to geitonogamy</w:t>
      </w:r>
      <w:r>
        <w:t xml:space="preserve"> </w:t>
      </w:r>
      <w:r>
        <w:t xml:space="preserve">(Broyles &amp; Wyatt, 1991; Karron et al., 1995; Matsuki et al., 2008)</w:t>
      </w:r>
      <w:r>
        <w:t xml:space="preserve">. Regarding major flower visitors, we found that honeybees frequently visited</w:t>
      </w:r>
      <w:r>
        <w:t xml:space="preserve"> </w:t>
      </w:r>
      <w:r>
        <w:rPr>
          <w:iCs/>
          <w:i/>
        </w:rPr>
        <w:t xml:space="preserve">A. bidentata</w:t>
      </w:r>
      <w:r>
        <w:t xml:space="preserve">, but this resulted in recurrent visitations on multiple flowers within an individual (Fig. 3a). This repeated visitation could be an obstacle for outcrossing whichever</w:t>
      </w:r>
      <w:r>
        <w:t xml:space="preserve"> </w:t>
      </w:r>
      <w:r>
        <w:rPr>
          <w:iCs/>
          <w:i/>
        </w:rPr>
        <w:t xml:space="preserve">A. bidentata</w:t>
      </w:r>
      <w:r>
        <w:t xml:space="preserve"> </w:t>
      </w:r>
      <w:r>
        <w:t xml:space="preserve">is self-compatible or incompatible. Although we provided qualitative evidence for pollen grains adhering to honeybees and butterflies (Fig. 1d and e), we still know little about the extent to which each pollinator contributes to plant reproductive success. Further studies are needed to quantify pollen deposition and its fitness consequences on</w:t>
      </w:r>
      <w:r>
        <w:t xml:space="preserve"> </w:t>
      </w:r>
      <w:r>
        <w:rPr>
          <w:iCs/>
          <w:i/>
        </w:rPr>
        <w:t xml:space="preserve">A. bidentata</w:t>
      </w:r>
      <w:r>
        <w:t xml:space="preserve">.</w:t>
      </w:r>
    </w:p>
    <w:p>
      <w:pPr>
        <w:pStyle w:val="BodyText"/>
      </w:pPr>
      <w:r>
        <w:t xml:space="preserve">Besides intraspecific interactions, pollinator visiting patterns would be a clue to understand interspecific pollen transfer and consequent reproductive interference between related plant species</w:t>
      </w:r>
      <w:r>
        <w:t xml:space="preserve"> </w:t>
      </w:r>
      <w:r>
        <w:t xml:space="preserve">(Nishida et al., 2020; Takakura et al., 2011)</w:t>
      </w:r>
      <w:r>
        <w:t xml:space="preserve">. The genus</w:t>
      </w:r>
      <w:r>
        <w:t xml:space="preserve"> </w:t>
      </w:r>
      <w:r>
        <w:rPr>
          <w:iCs/>
          <w:i/>
        </w:rPr>
        <w:t xml:space="preserve">Achyranthes</w:t>
      </w:r>
      <w:r>
        <w:t xml:space="preserve"> </w:t>
      </w:r>
      <w:r>
        <w:t xml:space="preserve">includes many species with various subspecies worldwide (POWO 2026), In Japan,</w:t>
      </w:r>
      <w:r>
        <w:t xml:space="preserve"> </w:t>
      </w:r>
      <w:r>
        <w:rPr>
          <w:iCs/>
          <w:i/>
        </w:rPr>
        <w:t xml:space="preserve">A. bidentata</w:t>
      </w:r>
      <w:r>
        <w:t xml:space="preserve"> </w:t>
      </w:r>
      <w:r>
        <w:t xml:space="preserve">has a subspecies named</w:t>
      </w:r>
      <w:r>
        <w:t xml:space="preserve"> </w:t>
      </w:r>
      <w:r>
        <w:rPr>
          <w:iCs/>
          <w:i/>
        </w:rPr>
        <w:t xml:space="preserve">A. bidentata</w:t>
      </w:r>
      <w:r>
        <w:t xml:space="preserve"> </w:t>
      </w:r>
      <w:r>
        <w:t xml:space="preserve">var.</w:t>
      </w:r>
      <w:r>
        <w:t xml:space="preserve"> </w:t>
      </w:r>
      <w:r>
        <w:rPr>
          <w:iCs/>
          <w:i/>
        </w:rPr>
        <w:t xml:space="preserve">japonica</w:t>
      </w:r>
      <w:r>
        <w:t xml:space="preserve"> </w:t>
      </w:r>
      <w:r>
        <w:t xml:space="preserve">(Yonekura and Kajita 2003-), which inhabits a shady forest edge adjacent to a sunny habitat of</w:t>
      </w:r>
      <w:r>
        <w:t xml:space="preserve"> </w:t>
      </w:r>
      <w:r>
        <w:rPr>
          <w:iCs/>
          <w:i/>
        </w:rPr>
        <w:t xml:space="preserve">A. bidentata</w:t>
      </w:r>
      <w:r>
        <w:t xml:space="preserve"> </w:t>
      </w:r>
      <w:r>
        <w:t xml:space="preserve">var.</w:t>
      </w:r>
      <w:r>
        <w:t xml:space="preserve"> </w:t>
      </w:r>
      <w:r>
        <w:rPr>
          <w:iCs/>
          <w:i/>
        </w:rPr>
        <w:t xml:space="preserve">fauriei</w:t>
      </w:r>
      <w:r>
        <w:t xml:space="preserve">. These two subspecies were previously classified into different species as</w:t>
      </w:r>
      <w:r>
        <w:t xml:space="preserve"> </w:t>
      </w:r>
      <w:r>
        <w:rPr>
          <w:iCs/>
          <w:i/>
        </w:rPr>
        <w:t xml:space="preserve">A. japonica</w:t>
      </w:r>
      <w:r>
        <w:t xml:space="preserve"> </w:t>
      </w:r>
      <w:r>
        <w:t xml:space="preserve">and</w:t>
      </w:r>
      <w:r>
        <w:t xml:space="preserve"> </w:t>
      </w:r>
      <w:r>
        <w:rPr>
          <w:iCs/>
          <w:i/>
        </w:rPr>
        <w:t xml:space="preserve">A. fauriei</w:t>
      </w:r>
      <w:r>
        <w:t xml:space="preserve">, given their ecological and morphological differences (Okuyama 1936). In this respect, lycaenid butterflies may be able to transfer pollen between these (sub)species. Overall, our study identified potential agents of interspecific interactions as well as intraspecific interactions involving</w:t>
      </w:r>
      <w:r>
        <w:t xml:space="preserve"> </w:t>
      </w:r>
      <w:r>
        <w:rPr>
          <w:iCs/>
          <w:i/>
        </w:rPr>
        <w:t xml:space="preserve">Achyranthes</w:t>
      </w:r>
      <w:r>
        <w:t xml:space="preserve">, thereby opening an avenue to investigate pollinator-mediated plant-plant interactions for future studies.</w:t>
      </w:r>
    </w:p>
    <w:bookmarkEnd w:id="32"/>
    <w:bookmarkStart w:id="34" w:name="acknowledgments"/>
    <w:p>
      <w:pPr>
        <w:pStyle w:val="Heading1"/>
      </w:pPr>
      <w:r>
        <w:t xml:space="preserve">ACKNOWLEDGMENTS</w:t>
      </w:r>
    </w:p>
    <w:p>
      <w:pPr>
        <w:pStyle w:val="FirstParagraph"/>
      </w:pPr>
      <w:r>
        <w:t xml:space="preserve">The fieldwork was conducted when the authors belonged to the Laboratory of Insect Ecology at Kyoto University. We thank the former lab members for their helpful comments. We are also grateful to Sachiko Nishida (Nagoya University) and Koh-Ichi Takakura (The University of Shiga Prefecture) for their fruitful discussions during the study. The language of this manuscript has been corrected using Paperpal by Editage (</w:t>
      </w:r>
      <w:hyperlink r:id="rId33">
        <w:r>
          <w:rPr>
            <w:rStyle w:val="Hyperlink"/>
          </w:rPr>
          <w:t xml:space="preserve">https://paperpal.com/</w:t>
        </w:r>
      </w:hyperlink>
      <w:r>
        <w:t xml:space="preserve">).</w:t>
      </w:r>
    </w:p>
    <w:bookmarkEnd w:id="34"/>
    <w:bookmarkStart w:id="35" w:name="conflict-of-interest-statement"/>
    <w:p>
      <w:pPr>
        <w:pStyle w:val="Heading1"/>
      </w:pPr>
      <w:r>
        <w:t xml:space="preserve">CONFLICT OF INTEREST STATEMENT</w:t>
      </w:r>
    </w:p>
    <w:p>
      <w:pPr>
        <w:pStyle w:val="FirstParagraph"/>
      </w:pPr>
      <w:r>
        <w:t xml:space="preserve">The authors should declare that Y. Sato is one of the associate editors of</w:t>
      </w:r>
      <w:r>
        <w:t xml:space="preserve"> </w:t>
      </w:r>
      <w:r>
        <w:rPr>
          <w:iCs/>
          <w:i/>
        </w:rPr>
        <w:t xml:space="preserve">Plant Species Biology</w:t>
      </w:r>
      <w:r>
        <w:t xml:space="preserve">.</w:t>
      </w:r>
    </w:p>
    <w:bookmarkEnd w:id="35"/>
    <w:bookmarkStart w:id="37" w:name="orcid"/>
    <w:p>
      <w:pPr>
        <w:pStyle w:val="Heading1"/>
      </w:pPr>
      <w:r>
        <w:t xml:space="preserve">ORCID</w:t>
      </w:r>
    </w:p>
    <w:p>
      <w:pPr>
        <w:pStyle w:val="FirstParagraph"/>
      </w:pPr>
      <w:r>
        <w:t xml:space="preserve">Yasuhiro Sato,</w:t>
      </w:r>
      <w:r>
        <w:t xml:space="preserve"> </w:t>
      </w:r>
      <w:hyperlink r:id="rId36">
        <w:r>
          <w:rPr>
            <w:rStyle w:val="Hyperlink"/>
          </w:rPr>
          <w:t xml:space="preserve">https://orcid.org/0000-0002-6466-723X</w:t>
        </w:r>
      </w:hyperlink>
    </w:p>
    <w:bookmarkEnd w:id="37"/>
    <w:bookmarkStart w:id="38" w:name="tables"/>
    <w:p>
      <w:pPr>
        <w:pStyle w:val="Heading1"/>
      </w:pPr>
      <w:r>
        <w:t xml:space="preserve">TABLES</w:t>
      </w:r>
    </w:p>
    <w:p>
      <w:pPr>
        <w:pStyle w:val="FirstParagraph"/>
      </w:pPr>
      <w:r>
        <w:t xml:space="preserve">Table 1. List of insect visitors in the two sites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center"/>
            </w:pPr>
            <w:r>
              <w:t xml:space="preserve">Order</w:t>
            </w:r>
          </w:p>
        </w:tc>
        <w:tc>
          <w:tcPr/>
          <w:p>
            <w:pPr>
              <w:pStyle w:val="Compact"/>
              <w:jc w:val="center"/>
            </w:pPr>
            <w:r>
              <w:t xml:space="preserve">Site</w:t>
            </w:r>
          </w:p>
        </w:tc>
        <w:tc>
          <w:tcPr/>
          <w:p>
            <w:pPr>
              <w:pStyle w:val="Compact"/>
              <w:jc w:val="center"/>
            </w:pPr>
            <w:r>
              <w:t xml:space="preserve">Latin name</w:t>
            </w:r>
          </w:p>
        </w:tc>
      </w:tr>
      <w:tr>
        <w:tc>
          <w:tcPr/>
          <w:p>
            <w:pPr>
              <w:pStyle w:val="Compact"/>
              <w:jc w:val="center"/>
            </w:pPr>
            <w:r>
              <w:t xml:space="preserve">Lepidoptera</w:t>
            </w:r>
          </w:p>
        </w:tc>
        <w:tc>
          <w:tcPr/>
          <w:p>
            <w:pPr>
              <w:pStyle w:val="Compact"/>
              <w:jc w:val="center"/>
            </w:pPr>
            <w:r>
              <w:t xml:space="preserve">Kyoto</w:t>
            </w:r>
          </w:p>
        </w:tc>
        <w:tc>
          <w:tcPr/>
          <w:p>
            <w:pPr>
              <w:pStyle w:val="Compact"/>
              <w:jc w:val="center"/>
            </w:pPr>
            <w:r>
              <w:rPr>
                <w:iCs/>
                <w:i/>
              </w:rPr>
              <w:t xml:space="preserve">Zizeeria maha</w:t>
            </w:r>
            <w:r>
              <w:t xml:space="preserve"> </w:t>
            </w:r>
            <w:r>
              <w:t xml:space="preserve">ssp.</w:t>
            </w:r>
            <w:r>
              <w:t xml:space="preserve"> </w:t>
            </w:r>
            <w:r>
              <w:rPr>
                <w:iCs/>
                <w:i/>
              </w:rPr>
              <w:t xml:space="preserve">argia</w:t>
            </w:r>
          </w:p>
        </w:tc>
      </w:tr>
      <w:tr>
        <w:tc>
          <w:tcPr/>
          <w:p>
            <w:pPr>
              <w:pStyle w:val="Compact"/>
            </w:pPr>
          </w:p>
        </w:tc>
        <w:tc>
          <w:tcPr/>
          <w:p>
            <w:pPr>
              <w:pStyle w:val="Compact"/>
              <w:jc w:val="center"/>
            </w:pPr>
            <w:r>
              <w:t xml:space="preserve">Kyoto</w:t>
            </w:r>
          </w:p>
        </w:tc>
        <w:tc>
          <w:tcPr/>
          <w:p>
            <w:pPr>
              <w:pStyle w:val="Compact"/>
              <w:jc w:val="center"/>
            </w:pPr>
            <w:r>
              <w:rPr>
                <w:iCs/>
                <w:i/>
              </w:rPr>
              <w:t xml:space="preserve">Lycaena phlaeas</w:t>
            </w:r>
            <w:r>
              <w:t xml:space="preserve"> </w:t>
            </w:r>
            <w:r>
              <w:t xml:space="preserve">ssp.</w:t>
            </w:r>
            <w:r>
              <w:t xml:space="preserve"> </w:t>
            </w:r>
            <w:r>
              <w:rPr>
                <w:iCs/>
                <w:i/>
              </w:rPr>
              <w:t xml:space="preserve">daimio</w:t>
            </w:r>
          </w:p>
        </w:tc>
      </w:tr>
      <w:tr>
        <w:tc>
          <w:tcPr/>
          <w:p>
            <w:pPr>
              <w:pStyle w:val="Compact"/>
            </w:pPr>
          </w:p>
        </w:tc>
        <w:tc>
          <w:tcPr/>
          <w:p>
            <w:pPr>
              <w:pStyle w:val="Compact"/>
              <w:jc w:val="center"/>
            </w:pPr>
            <w:r>
              <w:t xml:space="preserve">Kyoto</w:t>
            </w:r>
          </w:p>
        </w:tc>
        <w:tc>
          <w:tcPr/>
          <w:p>
            <w:pPr>
              <w:pStyle w:val="Compact"/>
              <w:jc w:val="center"/>
            </w:pPr>
            <w:r>
              <w:rPr>
                <w:iCs/>
                <w:i/>
              </w:rPr>
              <w:t xml:space="preserve">Everes argiades</w:t>
            </w:r>
            <w:r>
              <w:t xml:space="preserve"> </w:t>
            </w:r>
            <w:r>
              <w:t xml:space="preserve">ssp.</w:t>
            </w:r>
            <w:r>
              <w:t xml:space="preserve"> </w:t>
            </w:r>
            <w:r>
              <w:rPr>
                <w:iCs/>
                <w:i/>
              </w:rPr>
              <w:t xml:space="preserve">hellotia</w:t>
            </w:r>
          </w:p>
        </w:tc>
      </w:tr>
      <w:tr>
        <w:tc>
          <w:tcPr/>
          <w:p>
            <w:pPr>
              <w:pStyle w:val="Compact"/>
            </w:pPr>
          </w:p>
        </w:tc>
        <w:tc>
          <w:tcPr/>
          <w:p>
            <w:pPr>
              <w:pStyle w:val="Compact"/>
              <w:jc w:val="center"/>
            </w:pPr>
            <w:r>
              <w:t xml:space="preserve">Mie</w:t>
            </w:r>
          </w:p>
        </w:tc>
        <w:tc>
          <w:tcPr/>
          <w:p>
            <w:pPr>
              <w:pStyle w:val="Compact"/>
              <w:jc w:val="center"/>
            </w:pPr>
            <w:r>
              <w:rPr>
                <w:iCs/>
                <w:i/>
              </w:rPr>
              <w:t xml:space="preserve">Lycaena phlaeas</w:t>
            </w:r>
            <w:r>
              <w:t xml:space="preserve"> </w:t>
            </w:r>
            <w:r>
              <w:t xml:space="preserve">ssp.</w:t>
            </w:r>
            <w:r>
              <w:t xml:space="preserve"> </w:t>
            </w:r>
            <w:r>
              <w:rPr>
                <w:iCs/>
                <w:i/>
              </w:rPr>
              <w:t xml:space="preserve">daimio</w:t>
            </w:r>
          </w:p>
        </w:tc>
      </w:tr>
      <w:tr>
        <w:tc>
          <w:tcPr/>
          <w:p>
            <w:pPr>
              <w:pStyle w:val="Compact"/>
              <w:jc w:val="center"/>
            </w:pPr>
            <w:r>
              <w:t xml:space="preserve">Hymenoptera</w:t>
            </w:r>
          </w:p>
        </w:tc>
        <w:tc>
          <w:tcPr/>
          <w:p>
            <w:pPr>
              <w:pStyle w:val="Compact"/>
              <w:jc w:val="center"/>
            </w:pPr>
            <w:r>
              <w:t xml:space="preserve">Kyoto</w:t>
            </w:r>
          </w:p>
        </w:tc>
        <w:tc>
          <w:tcPr/>
          <w:p>
            <w:pPr>
              <w:pStyle w:val="Compact"/>
              <w:jc w:val="center"/>
            </w:pPr>
            <w:r>
              <w:rPr>
                <w:iCs/>
                <w:i/>
              </w:rPr>
              <w:t xml:space="preserve">Apis cerana</w:t>
            </w:r>
            <w:r>
              <w:t xml:space="preserve"> </w:t>
            </w:r>
            <w:r>
              <w:t xml:space="preserve">ssp.</w:t>
            </w:r>
            <w:r>
              <w:t xml:space="preserve"> </w:t>
            </w:r>
            <w:r>
              <w:rPr>
                <w:iCs/>
                <w:i/>
              </w:rPr>
              <w:t xml:space="preserve">japonica</w:t>
            </w:r>
          </w:p>
        </w:tc>
      </w:tr>
      <w:tr>
        <w:tc>
          <w:tcPr/>
          <w:p>
            <w:pPr>
              <w:pStyle w:val="Compact"/>
            </w:pPr>
          </w:p>
        </w:tc>
        <w:tc>
          <w:tcPr/>
          <w:p>
            <w:pPr>
              <w:pStyle w:val="Compact"/>
              <w:jc w:val="center"/>
            </w:pPr>
            <w:r>
              <w:t xml:space="preserve">Mie</w:t>
            </w:r>
          </w:p>
        </w:tc>
        <w:tc>
          <w:tcPr/>
          <w:p>
            <w:pPr>
              <w:pStyle w:val="Compact"/>
              <w:jc w:val="center"/>
            </w:pPr>
            <w:r>
              <w:rPr>
                <w:iCs/>
                <w:i/>
              </w:rPr>
              <w:t xml:space="preserve">Campsomeris prismatica</w:t>
            </w:r>
          </w:p>
        </w:tc>
      </w:tr>
      <w:tr>
        <w:tc>
          <w:tcPr/>
          <w:p>
            <w:pPr>
              <w:pStyle w:val="Compact"/>
            </w:pPr>
          </w:p>
        </w:tc>
        <w:tc>
          <w:tcPr/>
          <w:p>
            <w:pPr>
              <w:pStyle w:val="Compact"/>
              <w:jc w:val="center"/>
            </w:pPr>
            <w:r>
              <w:t xml:space="preserve">Mie</w:t>
            </w:r>
          </w:p>
        </w:tc>
        <w:tc>
          <w:tcPr/>
          <w:p>
            <w:pPr>
              <w:pStyle w:val="Compact"/>
              <w:jc w:val="center"/>
            </w:pPr>
            <w:r>
              <w:rPr>
                <w:iCs/>
                <w:i/>
              </w:rPr>
              <w:t xml:space="preserve">Campsomeris prismatica</w:t>
            </w:r>
          </w:p>
        </w:tc>
      </w:tr>
      <w:tr>
        <w:tc>
          <w:tcPr/>
          <w:p>
            <w:pPr>
              <w:pStyle w:val="Compact"/>
              <w:jc w:val="center"/>
            </w:pPr>
            <w:r>
              <w:t xml:space="preserve">Diptera</w:t>
            </w:r>
          </w:p>
        </w:tc>
        <w:tc>
          <w:tcPr/>
          <w:p>
            <w:pPr>
              <w:pStyle w:val="Compact"/>
              <w:jc w:val="center"/>
            </w:pPr>
            <w:r>
              <w:t xml:space="preserve">Kyoto</w:t>
            </w:r>
          </w:p>
        </w:tc>
        <w:tc>
          <w:tcPr/>
          <w:p>
            <w:pPr>
              <w:pStyle w:val="Compact"/>
              <w:jc w:val="center"/>
            </w:pPr>
            <w:r>
              <w:t xml:space="preserve">Syrphidae sp.</w:t>
            </w:r>
          </w:p>
        </w:tc>
      </w:tr>
      <w:tr>
        <w:tc>
          <w:tcPr/>
          <w:p>
            <w:pPr>
              <w:pStyle w:val="Compact"/>
            </w:pPr>
          </w:p>
        </w:tc>
        <w:tc>
          <w:tcPr/>
          <w:p>
            <w:pPr>
              <w:pStyle w:val="Compact"/>
              <w:jc w:val="center"/>
            </w:pPr>
            <w:r>
              <w:t xml:space="preserve">Mie</w:t>
            </w:r>
          </w:p>
        </w:tc>
        <w:tc>
          <w:tcPr/>
          <w:p>
            <w:pPr>
              <w:pStyle w:val="Compact"/>
              <w:jc w:val="center"/>
            </w:pPr>
            <w:r>
              <w:t xml:space="preserve">Oestroidea? sp.1</w:t>
            </w:r>
          </w:p>
        </w:tc>
      </w:tr>
      <w:tr>
        <w:tc>
          <w:tcPr/>
          <w:p>
            <w:pPr>
              <w:pStyle w:val="Compact"/>
            </w:pPr>
          </w:p>
        </w:tc>
        <w:tc>
          <w:tcPr/>
          <w:p>
            <w:pPr>
              <w:pStyle w:val="Compact"/>
              <w:jc w:val="center"/>
            </w:pPr>
            <w:r>
              <w:t xml:space="preserve">Mie</w:t>
            </w:r>
          </w:p>
        </w:tc>
        <w:tc>
          <w:tcPr/>
          <w:p>
            <w:pPr>
              <w:pStyle w:val="Compact"/>
              <w:jc w:val="center"/>
            </w:pPr>
            <w:r>
              <w:t xml:space="preserve">Oestroidea? sp.2</w:t>
            </w:r>
          </w:p>
        </w:tc>
      </w:tr>
      <w:tr>
        <w:tc>
          <w:tcPr/>
          <w:p>
            <w:pPr>
              <w:pStyle w:val="Compact"/>
              <w:jc w:val="center"/>
            </w:pPr>
            <w:r>
              <w:t xml:space="preserve">Coleoptera</w:t>
            </w:r>
          </w:p>
        </w:tc>
        <w:tc>
          <w:tcPr/>
          <w:p>
            <w:pPr>
              <w:pStyle w:val="Compact"/>
              <w:jc w:val="center"/>
            </w:pPr>
            <w:r>
              <w:t xml:space="preserve">Mie</w:t>
            </w:r>
          </w:p>
        </w:tc>
        <w:tc>
          <w:tcPr/>
          <w:p>
            <w:pPr>
              <w:pStyle w:val="Compact"/>
              <w:jc w:val="center"/>
            </w:pPr>
            <w:r>
              <w:rPr>
                <w:iCs/>
                <w:i/>
              </w:rPr>
              <w:t xml:space="preserve">Eucetonia</w:t>
            </w:r>
            <w:r>
              <w:t xml:space="preserve"> </w:t>
            </w:r>
            <w:r>
              <w:t xml:space="preserve">sp.</w:t>
            </w:r>
          </w:p>
        </w:tc>
      </w:tr>
    </w:tbl>
    <w:bookmarkEnd w:id="38"/>
    <w:bookmarkStart w:id="51" w:name="figures"/>
    <w:p>
      <w:pPr>
        <w:pStyle w:val="Heading1"/>
      </w:pPr>
      <w:r>
        <w:t xml:space="preserve">FIGURES</w:t>
      </w:r>
    </w:p>
    <w:p>
      <w:pPr>
        <w:pStyle w:val="CaptionedFigure"/>
      </w:pPr>
      <w:r>
        <w:drawing>
          <wp:inline>
            <wp:extent cx="3263900" cy="3784600"/>
            <wp:effectExtent b="0" l="0" r="0" t="0"/>
            <wp:docPr descr="Figure 1." title="" id="40" name="Picture"/>
            <a:graphic>
              <a:graphicData uri="http://schemas.openxmlformats.org/drawingml/2006/picture">
                <pic:pic>
                  <pic:nvPicPr>
                    <pic:cNvPr descr="../figures/fig1_photo.pdf" id="41" name="Picture"/>
                    <pic:cNvPicPr>
                      <a:picLocks noChangeArrowheads="1" noChangeAspect="1"/>
                    </pic:cNvPicPr>
                  </pic:nvPicPr>
                  <pic:blipFill>
                    <a:blip r:embed="rId39"/>
                    <a:stretch>
                      <a:fillRect/>
                    </a:stretch>
                  </pic:blipFill>
                  <pic:spPr bwMode="auto">
                    <a:xfrm>
                      <a:off x="0" y="0"/>
                      <a:ext cx="3263900" cy="3784600"/>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Photographs of</w:t>
      </w:r>
      <w:r>
        <w:t xml:space="preserve"> </w:t>
      </w:r>
      <w:r>
        <w:rPr>
          <w:iCs/>
          <w:i/>
        </w:rPr>
        <w:t xml:space="preserve">A. bidentata</w:t>
      </w:r>
      <w:r>
        <w:t xml:space="preserve">. (a) Stand of</w:t>
      </w:r>
      <w:r>
        <w:t xml:space="preserve"> </w:t>
      </w:r>
      <w:r>
        <w:rPr>
          <w:iCs/>
          <w:i/>
        </w:rPr>
        <w:t xml:space="preserve">A. bidentata</w:t>
      </w:r>
      <w:r>
        <w:t xml:space="preserve"> </w:t>
      </w:r>
      <w:r>
        <w:t xml:space="preserve">in Kyoto. (b) Spike of</w:t>
      </w:r>
      <w:r>
        <w:t xml:space="preserve"> </w:t>
      </w:r>
      <w:r>
        <w:rPr>
          <w:iCs/>
          <w:i/>
        </w:rPr>
        <w:t xml:space="preserve">A. bidentata</w:t>
      </w:r>
      <w:r>
        <w:t xml:space="preserve">. (c) Pollen on anther observed under electron microscopy. (d) A grain of pollen (indicated by yellow arrow) adhered to</w:t>
      </w:r>
      <w:r>
        <w:t xml:space="preserve"> </w:t>
      </w:r>
      <w:r>
        <w:rPr>
          <w:iCs/>
          <w:i/>
        </w:rPr>
        <w:t xml:space="preserve">Zizeeria maha</w:t>
      </w:r>
      <w:r>
        <w:t xml:space="preserve"> </w:t>
      </w:r>
      <w:r>
        <w:t xml:space="preserve">ssp.</w:t>
      </w:r>
      <w:r>
        <w:t xml:space="preserve"> </w:t>
      </w:r>
      <w:r>
        <w:rPr>
          <w:iCs/>
          <w:i/>
        </w:rPr>
        <w:t xml:space="preserve">argia</w:t>
      </w:r>
      <w:r>
        <w:t xml:space="preserve">. (e) Two grains of pollen adhered to</w:t>
      </w:r>
      <w:r>
        <w:t xml:space="preserve"> </w:t>
      </w:r>
      <w:r>
        <w:rPr>
          <w:iCs/>
          <w:i/>
        </w:rPr>
        <w:t xml:space="preserve">Apis cerana</w:t>
      </w:r>
      <w:r>
        <w:t xml:space="preserve"> </w:t>
      </w:r>
      <w:r>
        <w:t xml:space="preserve">ssp.</w:t>
      </w:r>
      <w:r>
        <w:t xml:space="preserve"> </w:t>
      </w:r>
      <w:r>
        <w:rPr>
          <w:iCs/>
          <w:i/>
        </w:rPr>
        <w:t xml:space="preserve">japonica</w:t>
      </w:r>
      <w:r>
        <w:t xml:space="preserve">. Scale bar = 14.2 μm for panels (c)–(e).</w:t>
      </w:r>
    </w:p>
    <w:p>
      <w:pPr>
        <w:pStyle w:val="CaptionedFigure"/>
      </w:pPr>
      <w:r>
        <w:drawing>
          <wp:inline>
            <wp:extent cx="4572000" cy="2743200"/>
            <wp:effectExtent b="0" l="0" r="0" t="0"/>
            <wp:docPr descr="Figure 2." title="" id="43" name="Picture"/>
            <a:graphic>
              <a:graphicData uri="http://schemas.openxmlformats.org/drawingml/2006/picture">
                <pic:pic>
                  <pic:nvPicPr>
                    <pic:cNvPr descr="../figures/two_sites.pdf" id="44" name="Picture"/>
                    <pic:cNvPicPr>
                      <a:picLocks noChangeArrowheads="1" noChangeAspect="1"/>
                    </pic:cNvPicPr>
                  </pic:nvPicPr>
                  <pic:blipFill>
                    <a:blip r:embed="rId42"/>
                    <a:stretch>
                      <a:fillRect/>
                    </a:stretch>
                  </pic:blipFill>
                  <pic:spPr bwMode="auto">
                    <a:xfrm>
                      <a:off x="0" y="0"/>
                      <a:ext cx="4572000" cy="2743200"/>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Community composition of flower visitors to</w:t>
      </w:r>
      <w:r>
        <w:t xml:space="preserve"> </w:t>
      </w:r>
      <w:r>
        <w:rPr>
          <w:iCs/>
          <w:i/>
        </w:rPr>
        <w:t xml:space="preserve">A. bidentata</w:t>
      </w:r>
      <w:r>
        <w:t xml:space="preserve"> </w:t>
      </w:r>
      <w:r>
        <w:t xml:space="preserve">in the Kyoto and Mie sites. The colors distinguish the different orders of insect visitors. These community compositions significantly differed between the two sites (multinomial GLM,</w:t>
      </w:r>
      <w:r>
        <w:t xml:space="preserve"> </w:t>
      </w:r>
      <m:oMath>
        <m:r>
          <m:t>p</m:t>
        </m:r>
      </m:oMath>
      <w:r>
        <w:t xml:space="preserve">&lt;0.05: see also</w:t>
      </w:r>
      <w:r>
        <w:t xml:space="preserve"> </w:t>
      </w:r>
      <w:r>
        <w:t xml:space="preserve">“</w:t>
      </w:r>
      <w:r>
        <w:t xml:space="preserve">Results</w:t>
      </w:r>
      <w:r>
        <w:t xml:space="preserve">”</w:t>
      </w:r>
      <w:r>
        <w:t xml:space="preserve">).</w:t>
      </w:r>
    </w:p>
    <w:p>
      <w:pPr>
        <w:pStyle w:val="CaptionedFigure"/>
      </w:pPr>
      <w:r>
        <w:drawing>
          <wp:inline>
            <wp:extent cx="5334000" cy="2370666"/>
            <wp:effectExtent b="0" l="0" r="0" t="0"/>
            <wp:docPr descr="Figure 3." title="" id="46" name="Picture"/>
            <a:graphic>
              <a:graphicData uri="http://schemas.openxmlformats.org/drawingml/2006/picture">
                <pic:pic>
                  <pic:nvPicPr>
                    <pic:cNvPr descr="../figures/visit_patterns.pdf" id="47" name="Picture"/>
                    <pic:cNvPicPr>
                      <a:picLocks noChangeArrowheads="1" noChangeAspect="1"/>
                    </pic:cNvPicPr>
                  </pic:nvPicPr>
                  <pic:blipFill>
                    <a:blip r:embed="rId45"/>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Visiting patterns of two abundant insects (lycanid butterflies and honeybees) in Kyoto. (a) Visitation frequency of butterflies and honeybees within ten minitues. Grey and black bars indicate inter-individual (out) and intra-individual (in) floral visits, respectively. A single vertical bar corresponds to a 30-min observation (i.e., 30-min observation</w:t>
      </w:r>
      <w:r>
        <w:t xml:space="preserve"> </w:t>
      </w:r>
      <m:oMath>
        <m:r>
          <m:rPr>
            <m:sty m:val="p"/>
          </m:rPr>
          <m:t>×</m:t>
        </m:r>
      </m:oMath>
      <w:r>
        <w:t xml:space="preserve"> </w:t>
      </w:r>
      <w:r>
        <w:t xml:space="preserve">five times on different dates; see also</w:t>
      </w:r>
      <w:r>
        <w:t xml:space="preserve"> </w:t>
      </w:r>
      <w:r>
        <w:t xml:space="preserve">“</w:t>
      </w:r>
      <w:r>
        <w:t xml:space="preserve">Materials &amp; Methods</w:t>
      </w:r>
      <w:r>
        <w:t xml:space="preserve">”</w:t>
      </w:r>
      <w:r>
        <w:t xml:space="preserve"> </w:t>
      </w:r>
      <w:r>
        <w:t xml:space="preserve">for details). (b) Time spent on a single</w:t>
      </w:r>
      <w:r>
        <w:t xml:space="preserve"> </w:t>
      </w:r>
      <w:r>
        <w:rPr>
          <w:iCs/>
          <w:i/>
        </w:rPr>
        <w:t xml:space="preserve">A. bidentata</w:t>
      </w:r>
      <w:r>
        <w:t xml:space="preserve"> </w:t>
      </w:r>
      <w:r>
        <w:t xml:space="preserve">spike. Box plots display the median with upper and lower quartiles, with whiskers extending to 1.5-times interquartile range. Different plot shapes distinguish the two study dates (see also</w:t>
      </w:r>
      <w:r>
        <w:t xml:space="preserve"> </w:t>
      </w:r>
      <w:r>
        <w:t xml:space="preserve">“</w:t>
      </w:r>
      <w:r>
        <w:t xml:space="preserve">Materials &amp; Methods</w:t>
      </w:r>
      <w:r>
        <w:t xml:space="preserve">”</w:t>
      </w:r>
      <w:r>
        <w:t xml:space="preserve">). (c and d) Histograms of the distance (cm) by butterfly or honeybee movement between two</w:t>
      </w:r>
      <w:r>
        <w:t xml:space="preserve"> </w:t>
      </w:r>
      <w:r>
        <w:rPr>
          <w:iCs/>
          <w:i/>
        </w:rPr>
        <w:t xml:space="preserve">A. bidentata</w:t>
      </w:r>
      <w:r>
        <w:t xml:space="preserve"> </w:t>
      </w:r>
      <w:r>
        <w:t xml:space="preserve">spikes. Black, dark grey, and grey bars distinguish the three different dates of observation (see also</w:t>
      </w:r>
      <w:r>
        <w:t xml:space="preserve"> </w:t>
      </w:r>
      <w:r>
        <w:t xml:space="preserve">“</w:t>
      </w:r>
      <w:r>
        <w:t xml:space="preserve">Materials &amp; Methods</w:t>
      </w:r>
      <w:r>
        <w:t xml:space="preserve">”</w:t>
      </w:r>
      <w:r>
        <w:t xml:space="preserve">). In all panels, the difference between butterfly and honeybee was statistically significant at</w:t>
      </w:r>
      <w:r>
        <w:t xml:space="preserve"> </w:t>
      </w:r>
      <m:oMath>
        <m:r>
          <m:t>p</m:t>
        </m:r>
      </m:oMath>
      <w:r>
        <w:t xml:space="preserve">&lt;0.05 (see</w:t>
      </w:r>
      <w:r>
        <w:t xml:space="preserve"> </w:t>
      </w:r>
      <w:r>
        <w:t xml:space="preserve">“</w:t>
      </w:r>
      <w:r>
        <w:t xml:space="preserve">Results</w:t>
      </w:r>
      <w:r>
        <w:t xml:space="preserve">”</w:t>
      </w:r>
      <w:r>
        <w:t xml:space="preserve"> </w:t>
      </w:r>
      <w:r>
        <w:t xml:space="preserve">for the test-statistics and exact</w:t>
      </w:r>
      <w:r>
        <w:t xml:space="preserve"> </w:t>
      </w:r>
      <m:oMath>
        <m:r>
          <m:t>p</m:t>
        </m:r>
      </m:oMath>
      <w:r>
        <w:t xml:space="preserve">-values).</w:t>
      </w:r>
    </w:p>
    <w:p>
      <w:pPr>
        <w:pStyle w:val="BodyText"/>
      </w:pPr>
      <w:r>
        <w:t xml:space="preserve">POWO (2026). Plants of the World Online. Facilitated by the Royal Botanic Gardens, Kew. Published on the Internet.</w:t>
      </w:r>
      <w:r>
        <w:t xml:space="preserve"> </w:t>
      </w:r>
      <w:hyperlink r:id="rId48">
        <w:r>
          <w:rPr>
            <w:rStyle w:val="Hyperlink"/>
          </w:rPr>
          <w:t xml:space="preserve">https://powo.science.kew.org/</w:t>
        </w:r>
      </w:hyperlink>
      <w:r>
        <w:t xml:space="preserve"> </w:t>
      </w:r>
      <w:r>
        <w:t xml:space="preserve">Retrieved 02 January 2026.</w:t>
      </w:r>
    </w:p>
    <w:p>
      <w:pPr>
        <w:pStyle w:val="BodyText"/>
      </w:pPr>
      <w:r>
        <w:t xml:space="preserve">Yonekura, K., &amp; Kajita, T. (2003-). BG Plants: Japanese name–scientific name index (YList).</w:t>
      </w:r>
      <w:r>
        <w:t xml:space="preserve"> </w:t>
      </w:r>
      <w:hyperlink r:id="rId49">
        <w:r>
          <w:rPr>
            <w:rStyle w:val="Hyperlink"/>
          </w:rPr>
          <w:t xml:space="preserve">http://ylist.info</w:t>
        </w:r>
      </w:hyperlink>
      <w:r>
        <w:t xml:space="preserve"> </w:t>
      </w:r>
      <w:r>
        <w:t xml:space="preserve">Retrieved 02 January 2026. [in Japanese]</w:t>
      </w:r>
    </w:p>
    <w:p>
      <w:pPr>
        <w:pStyle w:val="BodyText"/>
      </w:pPr>
      <w:r>
        <w:t xml:space="preserve">Okuyama, S. (1934)</w:t>
      </w:r>
      <w:r>
        <w:t xml:space="preserve"> </w:t>
      </w:r>
      <w:r>
        <w:rPr>
          <w:iCs/>
          <w:i/>
        </w:rPr>
        <w:t xml:space="preserve">Achyranthes japonica</w:t>
      </w:r>
      <w:r>
        <w:t xml:space="preserve"> </w:t>
      </w:r>
      <w:r>
        <w:t xml:space="preserve">NAKAI and</w:t>
      </w:r>
      <w:r>
        <w:t xml:space="preserve"> </w:t>
      </w:r>
      <w:r>
        <w:rPr>
          <w:iCs/>
          <w:i/>
        </w:rPr>
        <w:t xml:space="preserve">A. Fauriei</w:t>
      </w:r>
      <w:r>
        <w:t xml:space="preserve"> </w:t>
      </w:r>
      <w:r>
        <w:t xml:space="preserve">LEV. et VNT. The Journal of Japanese Botany. 10(4):261–6.</w:t>
      </w:r>
      <w:r>
        <w:t xml:space="preserve"> </w:t>
      </w:r>
      <w:hyperlink r:id="rId50">
        <w:r>
          <w:rPr>
            <w:rStyle w:val="Hyperlink"/>
          </w:rPr>
          <w:t xml:space="preserve">https://doi.org/10.51033/jjapbot.10_4_1350</w:t>
        </w:r>
      </w:hyperlink>
      <w:r>
        <w:t xml:space="preserve"> </w:t>
      </w:r>
      <w:r>
        <w:t xml:space="preserve">[in Japanese]</w:t>
      </w:r>
    </w:p>
    <w:bookmarkEnd w:id="51"/>
    <w:bookmarkStart w:id="110" w:name="references"/>
    <w:p>
      <w:pPr>
        <w:pStyle w:val="Heading1"/>
      </w:pPr>
      <w:r>
        <w:t xml:space="preserve">REFERENCES</w:t>
      </w:r>
    </w:p>
    <w:bookmarkStart w:id="109" w:name="refs"/>
    <w:bookmarkStart w:id="53" w:name="ref-citeRlme4"/>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Cs/>
          <w:i/>
        </w:rPr>
        <w:t xml:space="preserve">Journal of Statistical Software</w:t>
      </w:r>
      <w:r>
        <w:t xml:space="preserve">,</w:t>
      </w:r>
      <w:r>
        <w:t xml:space="preserve"> </w:t>
      </w:r>
      <w:r>
        <w:rPr>
          <w:iCs/>
          <w:i/>
        </w:rPr>
        <w:t xml:space="preserve">67</w:t>
      </w:r>
      <w:r>
        <w:t xml:space="preserve">(1), 1–48.</w:t>
      </w:r>
      <w:r>
        <w:t xml:space="preserve"> </w:t>
      </w:r>
      <w:hyperlink r:id="rId52">
        <w:r>
          <w:rPr>
            <w:rStyle w:val="Hyperlink"/>
          </w:rPr>
          <w:t xml:space="preserve">https://doi.org/10.18637/jss.v067.i01</w:t>
        </w:r>
      </w:hyperlink>
    </w:p>
    <w:bookmarkEnd w:id="53"/>
    <w:bookmarkStart w:id="55" w:name="ref-broyles_effective_1991"/>
    <w:p>
      <w:pPr>
        <w:pStyle w:val="Bibliography"/>
      </w:pPr>
      <w:r>
        <w:t xml:space="preserve">Broyles, S. B., &amp; Wyatt, R. (1991). Effective</w:t>
      </w:r>
      <w:r>
        <w:t xml:space="preserve"> </w:t>
      </w:r>
      <w:r>
        <w:t xml:space="preserve">Pollen</w:t>
      </w:r>
      <w:r>
        <w:t xml:space="preserve"> </w:t>
      </w:r>
      <w:r>
        <w:t xml:space="preserve">Dispersal</w:t>
      </w:r>
      <w:r>
        <w:t xml:space="preserve"> </w:t>
      </w:r>
      <w:r>
        <w:t xml:space="preserve">in a</w:t>
      </w:r>
      <w:r>
        <w:t xml:space="preserve"> </w:t>
      </w:r>
      <w:r>
        <w:t xml:space="preserve">Natural</w:t>
      </w:r>
      <w:r>
        <w:t xml:space="preserve"> </w:t>
      </w:r>
      <w:r>
        <w:t xml:space="preserve">Population</w:t>
      </w:r>
      <w:r>
        <w:t xml:space="preserve"> </w:t>
      </w:r>
      <w:r>
        <w:t xml:space="preserve">of</w:t>
      </w:r>
      <w:r>
        <w:t xml:space="preserve"> </w:t>
      </w:r>
      <w:r>
        <w:t xml:space="preserve">Asclepias</w:t>
      </w:r>
      <w:r>
        <w:t xml:space="preserve"> </w:t>
      </w:r>
      <w:r>
        <w:t xml:space="preserve">exaltata:</w:t>
      </w:r>
      <w:r>
        <w:t xml:space="preserve"> </w:t>
      </w:r>
      <w:r>
        <w:t xml:space="preserve">The</w:t>
      </w:r>
      <w:r>
        <w:t xml:space="preserve"> </w:t>
      </w:r>
      <w:r>
        <w:t xml:space="preserve">Influence</w:t>
      </w:r>
      <w:r>
        <w:t xml:space="preserve"> </w:t>
      </w:r>
      <w:r>
        <w:t xml:space="preserve">of</w:t>
      </w:r>
      <w:r>
        <w:t xml:space="preserve"> </w:t>
      </w:r>
      <w:r>
        <w:t xml:space="preserve">Pollinator</w:t>
      </w:r>
      <w:r>
        <w:t xml:space="preserve"> </w:t>
      </w:r>
      <w:r>
        <w:t xml:space="preserve">Behavior</w:t>
      </w:r>
      <w:r>
        <w:t xml:space="preserve">,</w:t>
      </w:r>
      <w:r>
        <w:t xml:space="preserve"> </w:t>
      </w:r>
      <w:r>
        <w:t xml:space="preserve">Genetic</w:t>
      </w:r>
      <w:r>
        <w:t xml:space="preserve"> </w:t>
      </w:r>
      <w:r>
        <w:t xml:space="preserve">Similarity</w:t>
      </w:r>
      <w:r>
        <w:t xml:space="preserve">, and</w:t>
      </w:r>
      <w:r>
        <w:t xml:space="preserve"> </w:t>
      </w:r>
      <w:r>
        <w:t xml:space="preserve">Mating</w:t>
      </w:r>
      <w:r>
        <w:t xml:space="preserve"> </w:t>
      </w:r>
      <w:r>
        <w:t xml:space="preserve">Success</w:t>
      </w:r>
      <w:r>
        <w:t xml:space="preserve">.</w:t>
      </w:r>
      <w:r>
        <w:t xml:space="preserve"> </w:t>
      </w:r>
      <w:r>
        <w:rPr>
          <w:iCs/>
          <w:i/>
        </w:rPr>
        <w:t xml:space="preserve">The American Naturalist</w:t>
      </w:r>
      <w:r>
        <w:t xml:space="preserve">,</w:t>
      </w:r>
      <w:r>
        <w:t xml:space="preserve"> </w:t>
      </w:r>
      <w:r>
        <w:rPr>
          <w:iCs/>
          <w:i/>
        </w:rPr>
        <w:t xml:space="preserve">138</w:t>
      </w:r>
      <w:r>
        <w:t xml:space="preserve">(5), 1239–1249.</w:t>
      </w:r>
      <w:r>
        <w:t xml:space="preserve"> </w:t>
      </w:r>
      <w:hyperlink r:id="rId54">
        <w:r>
          <w:rPr>
            <w:rStyle w:val="Hyperlink"/>
          </w:rPr>
          <w:t xml:space="preserve">https://doi.org/10.1086/285280</w:t>
        </w:r>
      </w:hyperlink>
    </w:p>
    <w:bookmarkEnd w:id="55"/>
    <w:bookmarkStart w:id="57" w:name="ref-bullock_comparative_1977"/>
    <w:p>
      <w:pPr>
        <w:pStyle w:val="Bibliography"/>
      </w:pPr>
      <w:r>
        <w:t xml:space="preserve">Bullock, S. H., &amp; Primack, R. B. (1977). Comparative</w:t>
      </w:r>
      <w:r>
        <w:t xml:space="preserve"> </w:t>
      </w:r>
      <w:r>
        <w:t xml:space="preserve">Experimental</w:t>
      </w:r>
      <w:r>
        <w:t xml:space="preserve"> </w:t>
      </w:r>
      <w:r>
        <w:t xml:space="preserve">Study</w:t>
      </w:r>
      <w:r>
        <w:t xml:space="preserve"> </w:t>
      </w:r>
      <w:r>
        <w:t xml:space="preserve">of</w:t>
      </w:r>
      <w:r>
        <w:t xml:space="preserve"> </w:t>
      </w:r>
      <w:r>
        <w:t xml:space="preserve">Seed</w:t>
      </w:r>
      <w:r>
        <w:t xml:space="preserve"> </w:t>
      </w:r>
      <w:r>
        <w:t xml:space="preserve">Dispersal</w:t>
      </w:r>
      <w:r>
        <w:t xml:space="preserve"> </w:t>
      </w:r>
      <w:r>
        <w:t xml:space="preserve">on</w:t>
      </w:r>
      <w:r>
        <w:t xml:space="preserve"> </w:t>
      </w:r>
      <w:r>
        <w:t xml:space="preserve">Animals</w:t>
      </w:r>
      <w:r>
        <w:t xml:space="preserve">.</w:t>
      </w:r>
      <w:r>
        <w:t xml:space="preserve"> </w:t>
      </w:r>
      <w:r>
        <w:rPr>
          <w:iCs/>
          <w:i/>
        </w:rPr>
        <w:t xml:space="preserve">Ecology</w:t>
      </w:r>
      <w:r>
        <w:t xml:space="preserve">,</w:t>
      </w:r>
      <w:r>
        <w:t xml:space="preserve"> </w:t>
      </w:r>
      <w:r>
        <w:rPr>
          <w:iCs/>
          <w:i/>
        </w:rPr>
        <w:t xml:space="preserve">58</w:t>
      </w:r>
      <w:r>
        <w:t xml:space="preserve">(3), 681–686.</w:t>
      </w:r>
      <w:r>
        <w:t xml:space="preserve"> </w:t>
      </w:r>
      <w:hyperlink r:id="rId56">
        <w:r>
          <w:rPr>
            <w:rStyle w:val="Hyperlink"/>
          </w:rPr>
          <w:t xml:space="preserve">https://doi.org/10.2307/1939019</w:t>
        </w:r>
      </w:hyperlink>
    </w:p>
    <w:bookmarkEnd w:id="57"/>
    <w:bookmarkStart w:id="59" w:name="ref-citeRordinal"/>
    <w:p>
      <w:pPr>
        <w:pStyle w:val="Bibliography"/>
      </w:pPr>
      <w:r>
        <w:t xml:space="preserve">Christensen, R. H. B. (2023).</w:t>
      </w:r>
      <w:r>
        <w:t xml:space="preserve"> </w:t>
      </w:r>
      <w:r>
        <w:rPr>
          <w:iCs/>
          <w:i/>
        </w:rPr>
        <w:t xml:space="preserve">Ordinal—regression models for ordinal data</w:t>
      </w:r>
      <w:r>
        <w:t xml:space="preserve">.</w:t>
      </w:r>
      <w:r>
        <w:t xml:space="preserve"> </w:t>
      </w:r>
      <w:hyperlink r:id="rId58">
        <w:r>
          <w:rPr>
            <w:rStyle w:val="Hyperlink"/>
          </w:rPr>
          <w:t xml:space="preserve">https://CRAN.R-project.org/package=ordinal</w:t>
        </w:r>
      </w:hyperlink>
    </w:p>
    <w:bookmarkEnd w:id="59"/>
    <w:bookmarkStart w:id="61" w:name="ref-de_jong_geitonogamy_1993"/>
    <w:p>
      <w:pPr>
        <w:pStyle w:val="Bibliography"/>
      </w:pPr>
      <w:r>
        <w:t xml:space="preserve">De Jong, T. J., Waser, N. M., &amp; Klinkhamer, P. G. L. (1993). Geitonogamy:</w:t>
      </w:r>
      <w:r>
        <w:t xml:space="preserve"> </w:t>
      </w:r>
      <w:r>
        <w:t xml:space="preserve">The</w:t>
      </w:r>
      <w:r>
        <w:t xml:space="preserve"> </w:t>
      </w:r>
      <w:r>
        <w:t xml:space="preserve">neglected side of selfing.</w:t>
      </w:r>
      <w:r>
        <w:t xml:space="preserve"> </w:t>
      </w:r>
      <w:r>
        <w:rPr>
          <w:iCs/>
          <w:i/>
        </w:rPr>
        <w:t xml:space="preserve">Trends in Ecology &amp; Evolution</w:t>
      </w:r>
      <w:r>
        <w:t xml:space="preserve">,</w:t>
      </w:r>
      <w:r>
        <w:t xml:space="preserve"> </w:t>
      </w:r>
      <w:r>
        <w:rPr>
          <w:iCs/>
          <w:i/>
        </w:rPr>
        <w:t xml:space="preserve">8</w:t>
      </w:r>
      <w:r>
        <w:t xml:space="preserve">(9), 321–325.</w:t>
      </w:r>
      <w:r>
        <w:t xml:space="preserve"> </w:t>
      </w:r>
      <w:hyperlink r:id="rId60">
        <w:r>
          <w:rPr>
            <w:rStyle w:val="Hyperlink"/>
          </w:rPr>
          <w:t xml:space="preserve">https://doi.org/10.1016/0169-5347(93)90239-L</w:t>
        </w:r>
      </w:hyperlink>
    </w:p>
    <w:bookmarkEnd w:id="61"/>
    <w:bookmarkStart w:id="63" w:name="ref-de_lange_achyranthes_2004"/>
    <w:p>
      <w:pPr>
        <w:pStyle w:val="Bibliography"/>
      </w:pPr>
      <w:r>
        <w:t xml:space="preserve">De Lange, P. J., Scofield, R. P., &amp; Greene, T. (2004).</w:t>
      </w:r>
      <w:r>
        <w:t xml:space="preserve"> </w:t>
      </w:r>
      <w:r>
        <w:rPr>
          <w:iCs/>
          <w:i/>
        </w:rPr>
        <w:t xml:space="preserve">Achyranthes</w:t>
      </w:r>
      <w:r>
        <w:rPr>
          <w:iCs/>
          <w:i/>
        </w:rPr>
        <w:t xml:space="preserve"> </w:t>
      </w:r>
      <w:r>
        <w:rPr>
          <w:iCs/>
          <w:i/>
        </w:rPr>
        <w:t xml:space="preserve">aspera</w:t>
      </w:r>
      <w:r>
        <w:t xml:space="preserve"> </w:t>
      </w:r>
      <w:r>
        <w:t xml:space="preserve">(</w:t>
      </w:r>
      <w:r>
        <w:t xml:space="preserve">Amaranthaceae</w:t>
      </w:r>
      <w:r>
        <w:t xml:space="preserve">) a new indigenous addition to the flora of the</w:t>
      </w:r>
      <w:r>
        <w:t xml:space="preserve"> </w:t>
      </w:r>
      <w:r>
        <w:t xml:space="preserve">Kermadec</w:t>
      </w:r>
      <w:r>
        <w:t xml:space="preserve"> </w:t>
      </w:r>
      <w:r>
        <w:t xml:space="preserve">Islands</w:t>
      </w:r>
      <w:r>
        <w:t xml:space="preserve"> </w:t>
      </w:r>
      <w:r>
        <w:t xml:space="preserve">group.</w:t>
      </w:r>
      <w:r>
        <w:t xml:space="preserve"> </w:t>
      </w:r>
      <w:r>
        <w:rPr>
          <w:iCs/>
          <w:i/>
        </w:rPr>
        <w:t xml:space="preserve">New Zealand Journal of Botany</w:t>
      </w:r>
      <w:r>
        <w:t xml:space="preserve">,</w:t>
      </w:r>
      <w:r>
        <w:t xml:space="preserve"> </w:t>
      </w:r>
      <w:r>
        <w:rPr>
          <w:iCs/>
          <w:i/>
        </w:rPr>
        <w:t xml:space="preserve">42</w:t>
      </w:r>
      <w:r>
        <w:t xml:space="preserve">(2), 167–173.</w:t>
      </w:r>
      <w:r>
        <w:t xml:space="preserve"> </w:t>
      </w:r>
      <w:hyperlink r:id="rId62">
        <w:r>
          <w:rPr>
            <w:rStyle w:val="Hyperlink"/>
          </w:rPr>
          <w:t xml:space="preserve">https://doi.org/10.1080/0028825X.2004.9512897</w:t>
        </w:r>
      </w:hyperlink>
    </w:p>
    <w:bookmarkEnd w:id="63"/>
    <w:bookmarkStart w:id="65" w:name="ref-heinrich_foraging_1976"/>
    <w:p>
      <w:pPr>
        <w:pStyle w:val="Bibliography"/>
      </w:pPr>
      <w:r>
        <w:t xml:space="preserve">Heinrich, B. (1976). The</w:t>
      </w:r>
      <w:r>
        <w:t xml:space="preserve"> </w:t>
      </w:r>
      <w:r>
        <w:t xml:space="preserve">Foraging</w:t>
      </w:r>
      <w:r>
        <w:t xml:space="preserve"> </w:t>
      </w:r>
      <w:r>
        <w:t xml:space="preserve">Specializations</w:t>
      </w:r>
      <w:r>
        <w:t xml:space="preserve"> </w:t>
      </w:r>
      <w:r>
        <w:t xml:space="preserve">of</w:t>
      </w:r>
      <w:r>
        <w:t xml:space="preserve"> </w:t>
      </w:r>
      <w:r>
        <w:t xml:space="preserve">Individual</w:t>
      </w:r>
      <w:r>
        <w:t xml:space="preserve"> </w:t>
      </w:r>
      <w:r>
        <w:t xml:space="preserve">Bumblebees</w:t>
      </w:r>
      <w:r>
        <w:t xml:space="preserve">.</w:t>
      </w:r>
      <w:r>
        <w:t xml:space="preserve"> </w:t>
      </w:r>
      <w:r>
        <w:rPr>
          <w:iCs/>
          <w:i/>
        </w:rPr>
        <w:t xml:space="preserve">Ecological Monographs</w:t>
      </w:r>
      <w:r>
        <w:t xml:space="preserve">,</w:t>
      </w:r>
      <w:r>
        <w:t xml:space="preserve"> </w:t>
      </w:r>
      <w:r>
        <w:rPr>
          <w:iCs/>
          <w:i/>
        </w:rPr>
        <w:t xml:space="preserve">46</w:t>
      </w:r>
      <w:r>
        <w:t xml:space="preserve">(2), 105–128.</w:t>
      </w:r>
      <w:r>
        <w:t xml:space="preserve"> </w:t>
      </w:r>
      <w:hyperlink r:id="rId64">
        <w:r>
          <w:rPr>
            <w:rStyle w:val="Hyperlink"/>
          </w:rPr>
          <w:t xml:space="preserve">https://doi.org/10.2307/1942246</w:t>
        </w:r>
      </w:hyperlink>
    </w:p>
    <w:bookmarkEnd w:id="65"/>
    <w:bookmarkStart w:id="67" w:name="ref-herrera_daily_1990"/>
    <w:p>
      <w:pPr>
        <w:pStyle w:val="Bibliography"/>
      </w:pPr>
      <w:r>
        <w:t xml:space="preserve">Herrera, C. M. (1990). Daily</w:t>
      </w:r>
      <w:r>
        <w:t xml:space="preserve"> </w:t>
      </w:r>
      <w:r>
        <w:t xml:space="preserve">Patterns</w:t>
      </w:r>
      <w:r>
        <w:t xml:space="preserve"> </w:t>
      </w:r>
      <w:r>
        <w:t xml:space="preserve">of</w:t>
      </w:r>
      <w:r>
        <w:t xml:space="preserve"> </w:t>
      </w:r>
      <w:r>
        <w:t xml:space="preserve">Pollinator</w:t>
      </w:r>
      <w:r>
        <w:t xml:space="preserve"> </w:t>
      </w:r>
      <w:r>
        <w:t xml:space="preserve">Activity</w:t>
      </w:r>
      <w:r>
        <w:t xml:space="preserve">,</w:t>
      </w:r>
      <w:r>
        <w:t xml:space="preserve"> </w:t>
      </w:r>
      <w:r>
        <w:t xml:space="preserve">Differential</w:t>
      </w:r>
      <w:r>
        <w:t xml:space="preserve"> </w:t>
      </w:r>
      <w:r>
        <w:t xml:space="preserve">Pollinating</w:t>
      </w:r>
      <w:r>
        <w:t xml:space="preserve"> </w:t>
      </w:r>
      <w:r>
        <w:t xml:space="preserve">Effectiveness</w:t>
      </w:r>
      <w:r>
        <w:t xml:space="preserve">, and</w:t>
      </w:r>
      <w:r>
        <w:t xml:space="preserve"> </w:t>
      </w:r>
      <w:r>
        <w:t xml:space="preserve">Floral</w:t>
      </w:r>
      <w:r>
        <w:t xml:space="preserve"> </w:t>
      </w:r>
      <w:r>
        <w:t xml:space="preserve">Resource</w:t>
      </w:r>
      <w:r>
        <w:t xml:space="preserve"> </w:t>
      </w:r>
      <w:r>
        <w:t xml:space="preserve">Availability</w:t>
      </w:r>
      <w:r>
        <w:t xml:space="preserve">, in a</w:t>
      </w:r>
      <w:r>
        <w:t xml:space="preserve"> </w:t>
      </w:r>
      <w:r>
        <w:t xml:space="preserve">Summer</w:t>
      </w:r>
      <w:r>
        <w:t xml:space="preserve">-</w:t>
      </w:r>
      <w:r>
        <w:t xml:space="preserve">Flowering</w:t>
      </w:r>
      <w:r>
        <w:t xml:space="preserve"> </w:t>
      </w:r>
      <w:r>
        <w:t xml:space="preserve">Mediterranean</w:t>
      </w:r>
      <w:r>
        <w:t xml:space="preserve"> </w:t>
      </w:r>
      <w:r>
        <w:t xml:space="preserve">Shrub</w:t>
      </w:r>
      <w:r>
        <w:t xml:space="preserve">.</w:t>
      </w:r>
      <w:r>
        <w:t xml:space="preserve"> </w:t>
      </w:r>
      <w:r>
        <w:rPr>
          <w:iCs/>
          <w:i/>
        </w:rPr>
        <w:t xml:space="preserve">Oikos</w:t>
      </w:r>
      <w:r>
        <w:t xml:space="preserve">,</w:t>
      </w:r>
      <w:r>
        <w:t xml:space="preserve"> </w:t>
      </w:r>
      <w:r>
        <w:rPr>
          <w:iCs/>
          <w:i/>
        </w:rPr>
        <w:t xml:space="preserve">58</w:t>
      </w:r>
      <w:r>
        <w:t xml:space="preserve">(3), 277.</w:t>
      </w:r>
      <w:r>
        <w:t xml:space="preserve"> </w:t>
      </w:r>
      <w:hyperlink r:id="rId66">
        <w:r>
          <w:rPr>
            <w:rStyle w:val="Hyperlink"/>
          </w:rPr>
          <w:t xml:space="preserve">https://doi.org/10.2307/3545218</w:t>
        </w:r>
      </w:hyperlink>
    </w:p>
    <w:bookmarkEnd w:id="67"/>
    <w:bookmarkStart w:id="69" w:name="ref-hessing_geitonogamous_1988"/>
    <w:p>
      <w:pPr>
        <w:pStyle w:val="Bibliography"/>
      </w:pPr>
      <w:r>
        <w:t xml:space="preserve">Hessing, M. B. (1988).</w:t>
      </w:r>
      <w:r>
        <w:t xml:space="preserve"> </w:t>
      </w:r>
      <w:r>
        <w:t xml:space="preserve">GEITONOGAMOUS</w:t>
      </w:r>
      <w:r>
        <w:t xml:space="preserve"> </w:t>
      </w:r>
      <w:r>
        <w:t xml:space="preserve">POLLINATION</w:t>
      </w:r>
      <w:r>
        <w:t xml:space="preserve"> </w:t>
      </w:r>
      <w:r>
        <w:t xml:space="preserve">AND</w:t>
      </w:r>
      <w:r>
        <w:t xml:space="preserve"> </w:t>
      </w:r>
      <w:r>
        <w:t xml:space="preserve">ITS</w:t>
      </w:r>
      <w:r>
        <w:t xml:space="preserve"> </w:t>
      </w:r>
      <w:r>
        <w:t xml:space="preserve">CONSEQUENCES</w:t>
      </w:r>
      <w:r>
        <w:t xml:space="preserve"> </w:t>
      </w:r>
      <w:r>
        <w:t xml:space="preserve">IN</w:t>
      </w:r>
      <w:r>
        <w:t xml:space="preserve"> </w:t>
      </w:r>
      <w:r>
        <w:t xml:space="preserve">GERANIUM</w:t>
      </w:r>
      <w:r>
        <w:t xml:space="preserve"> </w:t>
      </w:r>
      <w:r>
        <w:t xml:space="preserve">CAESPITOSUM</w:t>
      </w:r>
      <w:r>
        <w:t xml:space="preserve">.</w:t>
      </w:r>
      <w:r>
        <w:t xml:space="preserve"> </w:t>
      </w:r>
      <w:r>
        <w:rPr>
          <w:iCs/>
          <w:i/>
        </w:rPr>
        <w:t xml:space="preserve">American Journal of Botany</w:t>
      </w:r>
      <w:r>
        <w:t xml:space="preserve">,</w:t>
      </w:r>
      <w:r>
        <w:t xml:space="preserve"> </w:t>
      </w:r>
      <w:r>
        <w:rPr>
          <w:iCs/>
          <w:i/>
        </w:rPr>
        <w:t xml:space="preserve">75</w:t>
      </w:r>
      <w:r>
        <w:t xml:space="preserve">(9), 1324–1333.</w:t>
      </w:r>
      <w:r>
        <w:t xml:space="preserve"> </w:t>
      </w:r>
      <w:hyperlink r:id="rId68">
        <w:r>
          <w:rPr>
            <w:rStyle w:val="Hyperlink"/>
          </w:rPr>
          <w:t xml:space="preserve">https://doi.org/10.1002/j.1537-2197.1988.tb14193.x</w:t>
        </w:r>
      </w:hyperlink>
    </w:p>
    <w:bookmarkEnd w:id="69"/>
    <w:bookmarkStart w:id="71" w:name="ref-johnson_competition_2022"/>
    <w:p>
      <w:pPr>
        <w:pStyle w:val="Bibliography"/>
      </w:pPr>
      <w:r>
        <w:t xml:space="preserve">Johnson, C. A., Dutt, P., &amp; Levine, J. M. (2022). Competition for pollinators destabilizes plant coexistence.</w:t>
      </w:r>
      <w:r>
        <w:t xml:space="preserve"> </w:t>
      </w:r>
      <w:r>
        <w:rPr>
          <w:iCs/>
          <w:i/>
        </w:rPr>
        <w:t xml:space="preserve">Nature</w:t>
      </w:r>
      <w:r>
        <w:t xml:space="preserve">,</w:t>
      </w:r>
      <w:r>
        <w:t xml:space="preserve"> </w:t>
      </w:r>
      <w:r>
        <w:rPr>
          <w:iCs/>
          <w:i/>
        </w:rPr>
        <w:t xml:space="preserve">607</w:t>
      </w:r>
      <w:r>
        <w:t xml:space="preserve">(7920), 721–725.</w:t>
      </w:r>
      <w:r>
        <w:t xml:space="preserve"> </w:t>
      </w:r>
      <w:hyperlink r:id="rId70">
        <w:r>
          <w:rPr>
            <w:rStyle w:val="Hyperlink"/>
          </w:rPr>
          <w:t xml:space="preserve">https://doi.org/10.1038/s41586-022-04973-x</w:t>
        </w:r>
      </w:hyperlink>
    </w:p>
    <w:bookmarkEnd w:id="71"/>
    <w:bookmarkStart w:id="73" w:name="ref-kandori_diverse_2002-1"/>
    <w:p>
      <w:pPr>
        <w:pStyle w:val="Bibliography"/>
      </w:pPr>
      <w:r>
        <w:t xml:space="preserve">Kandori, I. (2002). Diverse visitors with various pollinator importance and temporal change in the important pollinators of</w:t>
      </w:r>
      <w:r>
        <w:t xml:space="preserve"> </w:t>
      </w:r>
      <w:r>
        <w:rPr>
          <w:iCs/>
          <w:i/>
        </w:rPr>
        <w:t xml:space="preserve">Geranium</w:t>
      </w:r>
      <w:r>
        <w:rPr>
          <w:iCs/>
          <w:i/>
        </w:rPr>
        <w:t xml:space="preserve"> </w:t>
      </w:r>
      <w:r>
        <w:rPr>
          <w:iCs/>
          <w:i/>
        </w:rPr>
        <w:t xml:space="preserve">thunbergii</w:t>
      </w:r>
      <w:r>
        <w:t xml:space="preserve"> </w:t>
      </w:r>
      <w:r>
        <w:t xml:space="preserve">(</w:t>
      </w:r>
      <w:r>
        <w:t xml:space="preserve">Geraniaceae</w:t>
      </w:r>
      <w:r>
        <w:t xml:space="preserve">).</w:t>
      </w:r>
      <w:r>
        <w:t xml:space="preserve"> </w:t>
      </w:r>
      <w:r>
        <w:rPr>
          <w:iCs/>
          <w:i/>
        </w:rPr>
        <w:t xml:space="preserve">Ecological Research</w:t>
      </w:r>
      <w:r>
        <w:t xml:space="preserve">,</w:t>
      </w:r>
      <w:r>
        <w:t xml:space="preserve"> </w:t>
      </w:r>
      <w:r>
        <w:rPr>
          <w:iCs/>
          <w:i/>
        </w:rPr>
        <w:t xml:space="preserve">17</w:t>
      </w:r>
      <w:r>
        <w:t xml:space="preserve">(3), 283–294.</w:t>
      </w:r>
      <w:r>
        <w:t xml:space="preserve"> </w:t>
      </w:r>
      <w:hyperlink r:id="rId72">
        <w:r>
          <w:rPr>
            <w:rStyle w:val="Hyperlink"/>
          </w:rPr>
          <w:t xml:space="preserve">https://doi.org/10.1046/j.1440-1703.2002.00488.x</w:t>
        </w:r>
      </w:hyperlink>
    </w:p>
    <w:bookmarkEnd w:id="73"/>
    <w:bookmarkStart w:id="75" w:name="ref-kandori_invasive_2009"/>
    <w:p>
      <w:pPr>
        <w:pStyle w:val="Bibliography"/>
      </w:pPr>
      <w:r>
        <w:t xml:space="preserve">Kandori, I., Hirao, T., Matsunaga, S., &amp; Kurosaki, T. (2009). An invasive dandelion unilaterally reduces the reproduction of a native congener through competition for pollination.</w:t>
      </w:r>
      <w:r>
        <w:t xml:space="preserve"> </w:t>
      </w:r>
      <w:r>
        <w:rPr>
          <w:iCs/>
          <w:i/>
        </w:rPr>
        <w:t xml:space="preserve">Oecologia</w:t>
      </w:r>
      <w:r>
        <w:t xml:space="preserve">,</w:t>
      </w:r>
      <w:r>
        <w:t xml:space="preserve"> </w:t>
      </w:r>
      <w:r>
        <w:rPr>
          <w:iCs/>
          <w:i/>
        </w:rPr>
        <w:t xml:space="preserve">159</w:t>
      </w:r>
      <w:r>
        <w:t xml:space="preserve">(3), 559–569.</w:t>
      </w:r>
      <w:r>
        <w:t xml:space="preserve"> </w:t>
      </w:r>
      <w:hyperlink r:id="rId74">
        <w:r>
          <w:rPr>
            <w:rStyle w:val="Hyperlink"/>
          </w:rPr>
          <w:t xml:space="preserve">https://doi.org/10.1007/s00442-008-1250-4</w:t>
        </w:r>
      </w:hyperlink>
    </w:p>
    <w:bookmarkEnd w:id="75"/>
    <w:bookmarkStart w:id="77" w:name="ref-karron_influence_1995"/>
    <w:p>
      <w:pPr>
        <w:pStyle w:val="Bibliography"/>
      </w:pPr>
      <w:r>
        <w:t xml:space="preserve">Karron, J. D., Thumser, N. N., Tucker, R., &amp; Hessenauer, A. J. (1995). The influence of population density on outcrossing rates in</w:t>
      </w:r>
      <w:r>
        <w:t xml:space="preserve"> </w:t>
      </w:r>
      <w:r>
        <w:t xml:space="preserve">Mimulus</w:t>
      </w:r>
      <w:r>
        <w:t xml:space="preserve"> </w:t>
      </w:r>
      <w:r>
        <w:t xml:space="preserve">ringens.</w:t>
      </w:r>
      <w:r>
        <w:t xml:space="preserve"> </w:t>
      </w:r>
      <w:r>
        <w:rPr>
          <w:iCs/>
          <w:i/>
        </w:rPr>
        <w:t xml:space="preserve">Heredity</w:t>
      </w:r>
      <w:r>
        <w:t xml:space="preserve">,</w:t>
      </w:r>
      <w:r>
        <w:t xml:space="preserve"> </w:t>
      </w:r>
      <w:r>
        <w:rPr>
          <w:iCs/>
          <w:i/>
        </w:rPr>
        <w:t xml:space="preserve">75</w:t>
      </w:r>
      <w:r>
        <w:t xml:space="preserve">(2), 175–180.</w:t>
      </w:r>
      <w:r>
        <w:t xml:space="preserve"> </w:t>
      </w:r>
      <w:hyperlink r:id="rId76">
        <w:r>
          <w:rPr>
            <w:rStyle w:val="Hyperlink"/>
          </w:rPr>
          <w:t xml:space="preserve">https://doi.org/10.1038/hdy.1995.121</w:t>
        </w:r>
      </w:hyperlink>
    </w:p>
    <w:bookmarkEnd w:id="77"/>
    <w:bookmarkStart w:id="79" w:name="ref-levin_competition_1970"/>
    <w:p>
      <w:pPr>
        <w:pStyle w:val="Bibliography"/>
      </w:pPr>
      <w:r>
        <w:t xml:space="preserve">Levin, D. A., &amp; Anderson, W. W. (1970). Competition for</w:t>
      </w:r>
      <w:r>
        <w:t xml:space="preserve"> </w:t>
      </w:r>
      <w:r>
        <w:t xml:space="preserve">Pollinators</w:t>
      </w:r>
      <w:r>
        <w:t xml:space="preserve"> </w:t>
      </w:r>
      <w:r>
        <w:t xml:space="preserve">between</w:t>
      </w:r>
      <w:r>
        <w:t xml:space="preserve"> </w:t>
      </w:r>
      <w:r>
        <w:t xml:space="preserve">Simultaneously</w:t>
      </w:r>
      <w:r>
        <w:t xml:space="preserve"> </w:t>
      </w:r>
      <w:r>
        <w:t xml:space="preserve">Flowering</w:t>
      </w:r>
      <w:r>
        <w:t xml:space="preserve"> </w:t>
      </w:r>
      <w:r>
        <w:t xml:space="preserve">Species</w:t>
      </w:r>
      <w:r>
        <w:t xml:space="preserve">.</w:t>
      </w:r>
      <w:r>
        <w:t xml:space="preserve"> </w:t>
      </w:r>
      <w:r>
        <w:rPr>
          <w:iCs/>
          <w:i/>
        </w:rPr>
        <w:t xml:space="preserve">The American Naturalist</w:t>
      </w:r>
      <w:r>
        <w:t xml:space="preserve">,</w:t>
      </w:r>
      <w:r>
        <w:t xml:space="preserve"> </w:t>
      </w:r>
      <w:r>
        <w:rPr>
          <w:iCs/>
          <w:i/>
        </w:rPr>
        <w:t xml:space="preserve">104</w:t>
      </w:r>
      <w:r>
        <w:t xml:space="preserve">(939), 455–467.</w:t>
      </w:r>
      <w:r>
        <w:t xml:space="preserve"> </w:t>
      </w:r>
      <w:hyperlink r:id="rId78">
        <w:r>
          <w:rPr>
            <w:rStyle w:val="Hyperlink"/>
          </w:rPr>
          <w:t xml:space="preserve">https://doi.org/10.1086/282680</w:t>
        </w:r>
      </w:hyperlink>
    </w:p>
    <w:bookmarkEnd w:id="79"/>
    <w:bookmarkStart w:id="81" w:name="ref-matsuki_pollination_2008-1"/>
    <w:p>
      <w:pPr>
        <w:pStyle w:val="Bibliography"/>
      </w:pPr>
      <w:r>
        <w:t xml:space="preserve">Matsuki, Y., Tateno, R., Shibata, M., &amp; Isagi, Y. (2008). Pollination efficiencies of flower‐visiting insects as determined by direct genetic analysis of pollen origin.</w:t>
      </w:r>
      <w:r>
        <w:t xml:space="preserve"> </w:t>
      </w:r>
      <w:r>
        <w:rPr>
          <w:iCs/>
          <w:i/>
        </w:rPr>
        <w:t xml:space="preserve">American Journal of Botany</w:t>
      </w:r>
      <w:r>
        <w:t xml:space="preserve">,</w:t>
      </w:r>
      <w:r>
        <w:t xml:space="preserve"> </w:t>
      </w:r>
      <w:r>
        <w:rPr>
          <w:iCs/>
          <w:i/>
        </w:rPr>
        <w:t xml:space="preserve">95</w:t>
      </w:r>
      <w:r>
        <w:t xml:space="preserve">(8), 925–930.</w:t>
      </w:r>
      <w:r>
        <w:t xml:space="preserve"> </w:t>
      </w:r>
      <w:hyperlink r:id="rId80">
        <w:r>
          <w:rPr>
            <w:rStyle w:val="Hyperlink"/>
          </w:rPr>
          <w:t xml:space="preserve">https://doi.org/10.3732/ajb.0800036</w:t>
        </w:r>
      </w:hyperlink>
    </w:p>
    <w:bookmarkEnd w:id="81"/>
    <w:bookmarkStart w:id="83" w:name="ref-neeman_framework_2010"/>
    <w:p>
      <w:pPr>
        <w:pStyle w:val="Bibliography"/>
      </w:pPr>
      <w:r>
        <w:t xml:space="preserve">Ne’eman, G., Jürgens, A., Newstrom‐Lloyd, L., Potts, S. G., &amp; Dafni, A. (2010). A framework for comparing pollinator performance: Effectiveness and efficiency.</w:t>
      </w:r>
      <w:r>
        <w:t xml:space="preserve"> </w:t>
      </w:r>
      <w:r>
        <w:rPr>
          <w:iCs/>
          <w:i/>
        </w:rPr>
        <w:t xml:space="preserve">Biological Reviews</w:t>
      </w:r>
      <w:r>
        <w:t xml:space="preserve">,</w:t>
      </w:r>
      <w:r>
        <w:t xml:space="preserve"> </w:t>
      </w:r>
      <w:r>
        <w:rPr>
          <w:iCs/>
          <w:i/>
        </w:rPr>
        <w:t xml:space="preserve">85</w:t>
      </w:r>
      <w:r>
        <w:t xml:space="preserve">(3), 435–451.</w:t>
      </w:r>
      <w:r>
        <w:t xml:space="preserve"> </w:t>
      </w:r>
      <w:hyperlink r:id="rId82">
        <w:r>
          <w:rPr>
            <w:rStyle w:val="Hyperlink"/>
          </w:rPr>
          <w:t xml:space="preserve">https://doi.org/10.1111/j.1469-185X.2009.00108.x</w:t>
        </w:r>
      </w:hyperlink>
    </w:p>
    <w:bookmarkEnd w:id="83"/>
    <w:bookmarkStart w:id="85" w:name="ref-nishida_habitat_2020"/>
    <w:p>
      <w:pPr>
        <w:pStyle w:val="Bibliography"/>
      </w:pPr>
      <w:r>
        <w:t xml:space="preserve">Nishida, S., Takakura, K.-I., Naiki, A., &amp; Nishida, T. (2020). Habitat partitioning in native</w:t>
      </w:r>
      <w:r>
        <w:t xml:space="preserve"> </w:t>
      </w:r>
      <w:r>
        <w:t xml:space="preserve">Geranium</w:t>
      </w:r>
      <w:r>
        <w:t xml:space="preserve"> </w:t>
      </w:r>
      <w:r>
        <w:t xml:space="preserve">species through reproductive interference.</w:t>
      </w:r>
      <w:r>
        <w:t xml:space="preserve"> </w:t>
      </w:r>
      <w:r>
        <w:rPr>
          <w:iCs/>
          <w:i/>
        </w:rPr>
        <w:t xml:space="preserve">Annals of Botany</w:t>
      </w:r>
      <w:r>
        <w:t xml:space="preserve">,</w:t>
      </w:r>
      <w:r>
        <w:t xml:space="preserve"> </w:t>
      </w:r>
      <w:r>
        <w:rPr>
          <w:iCs/>
          <w:i/>
        </w:rPr>
        <w:t xml:space="preserve">125</w:t>
      </w:r>
      <w:r>
        <w:t xml:space="preserve">(4), 651–661.</w:t>
      </w:r>
      <w:r>
        <w:t xml:space="preserve"> </w:t>
      </w:r>
      <w:hyperlink r:id="rId84">
        <w:r>
          <w:rPr>
            <w:rStyle w:val="Hyperlink"/>
          </w:rPr>
          <w:t xml:space="preserve">https://doi.org/10.1093/aob/mcz210</w:t>
        </w:r>
      </w:hyperlink>
    </w:p>
    <w:bookmarkEnd w:id="85"/>
    <w:bookmarkStart w:id="87" w:name="ref-olesen_modularity_2007"/>
    <w:p>
      <w:pPr>
        <w:pStyle w:val="Bibliography"/>
      </w:pPr>
      <w:r>
        <w:t xml:space="preserve">Olesen, J. M., Bascompte, J., Dupont, Y. L., &amp; Jordano, P. (2007). The modularity of pollination networks.</w:t>
      </w:r>
      <w:r>
        <w:t xml:space="preserve"> </w:t>
      </w:r>
      <w:r>
        <w:rPr>
          <w:iCs/>
          <w:i/>
        </w:rPr>
        <w:t xml:space="preserve">Proceedings of the National Academy of Sciences</w:t>
      </w:r>
      <w:r>
        <w:t xml:space="preserve">,</w:t>
      </w:r>
      <w:r>
        <w:t xml:space="preserve"> </w:t>
      </w:r>
      <w:r>
        <w:rPr>
          <w:iCs/>
          <w:i/>
        </w:rPr>
        <w:t xml:space="preserve">104</w:t>
      </w:r>
      <w:r>
        <w:t xml:space="preserve">(50), 19891–19896.</w:t>
      </w:r>
      <w:r>
        <w:t xml:space="preserve"> </w:t>
      </w:r>
      <w:hyperlink r:id="rId86">
        <w:r>
          <w:rPr>
            <w:rStyle w:val="Hyperlink"/>
          </w:rPr>
          <w:t xml:space="preserve">https://doi.org/10.1073/pnas.0706375104</w:t>
        </w:r>
      </w:hyperlink>
    </w:p>
    <w:bookmarkEnd w:id="87"/>
    <w:bookmarkStart w:id="89" w:name="ref-Rcite"/>
    <w:p>
      <w:pPr>
        <w:pStyle w:val="Bibliography"/>
      </w:pPr>
      <w:r>
        <w:t xml:space="preserve">R Core Team. (2023).</w:t>
      </w:r>
      <w:r>
        <w:t xml:space="preserve"> </w:t>
      </w:r>
      <w:r>
        <w:rPr>
          <w:iCs/>
          <w:i/>
        </w:rPr>
        <w:t xml:space="preserve">R: A language and environment for statistical computing</w:t>
      </w:r>
      <w:r>
        <w:t xml:space="preserve">. R Foundation for Statistical Computing.</w:t>
      </w:r>
      <w:r>
        <w:t xml:space="preserve"> </w:t>
      </w:r>
      <w:hyperlink r:id="rId88">
        <w:r>
          <w:rPr>
            <w:rStyle w:val="Hyperlink"/>
          </w:rPr>
          <w:t xml:space="preserve">https://www.R-project.org/</w:t>
        </w:r>
      </w:hyperlink>
    </w:p>
    <w:bookmarkEnd w:id="89"/>
    <w:bookmarkStart w:id="91" w:name="ref-shivanna_reproductive_2014"/>
    <w:p>
      <w:pPr>
        <w:pStyle w:val="Bibliography"/>
      </w:pPr>
      <w:r>
        <w:t xml:space="preserve">Shivanna, K. R. (2014). Reproductive</w:t>
      </w:r>
      <w:r>
        <w:t xml:space="preserve"> </w:t>
      </w:r>
      <w:r>
        <w:t xml:space="preserve">Assurance</w:t>
      </w:r>
      <w:r>
        <w:t xml:space="preserve"> </w:t>
      </w:r>
      <w:r>
        <w:t xml:space="preserve">Through</w:t>
      </w:r>
      <w:r>
        <w:t xml:space="preserve"> </w:t>
      </w:r>
      <w:r>
        <w:t xml:space="preserve">Autogamy</w:t>
      </w:r>
      <w:r>
        <w:t xml:space="preserve"> </w:t>
      </w:r>
      <w:r>
        <w:t xml:space="preserve">in</w:t>
      </w:r>
      <w:r>
        <w:t xml:space="preserve"> </w:t>
      </w:r>
      <w:r>
        <w:t xml:space="preserve">Some</w:t>
      </w:r>
      <w:r>
        <w:t xml:space="preserve"> </w:t>
      </w:r>
      <w:r>
        <w:t xml:space="preserve">Annual</w:t>
      </w:r>
      <w:r>
        <w:t xml:space="preserve"> </w:t>
      </w:r>
      <w:r>
        <w:t xml:space="preserve">Weed</w:t>
      </w:r>
      <w:r>
        <w:t xml:space="preserve"> </w:t>
      </w:r>
      <w:r>
        <w:t xml:space="preserve">Species</w:t>
      </w:r>
      <w:r>
        <w:t xml:space="preserve">.</w:t>
      </w:r>
      <w:r>
        <w:t xml:space="preserve"> </w:t>
      </w:r>
      <w:r>
        <w:rPr>
          <w:iCs/>
          <w:i/>
        </w:rPr>
        <w:t xml:space="preserve">Proceedings of the National Academy of Sciences, India Section B: Biological Sciences</w:t>
      </w:r>
      <w:r>
        <w:t xml:space="preserve">,</w:t>
      </w:r>
      <w:r>
        <w:t xml:space="preserve"> </w:t>
      </w:r>
      <w:r>
        <w:rPr>
          <w:iCs/>
          <w:i/>
        </w:rPr>
        <w:t xml:space="preserve">84</w:t>
      </w:r>
      <w:r>
        <w:t xml:space="preserve">(3), 681–687.</w:t>
      </w:r>
      <w:r>
        <w:t xml:space="preserve"> </w:t>
      </w:r>
      <w:hyperlink r:id="rId90">
        <w:r>
          <w:rPr>
            <w:rStyle w:val="Hyperlink"/>
          </w:rPr>
          <w:t xml:space="preserve">https://doi.org/10.1007/s40011-014-0307-x</w:t>
        </w:r>
      </w:hyperlink>
    </w:p>
    <w:bookmarkEnd w:id="91"/>
    <w:bookmarkStart w:id="93" w:name="ref-takakura_effective_2011"/>
    <w:p>
      <w:pPr>
        <w:pStyle w:val="Bibliography"/>
      </w:pPr>
      <w:r>
        <w:t xml:space="preserve">Takakura, K.-I., Matsumoto, T., Nishida, T., &amp; Nishida, S. (2011). Effective range of reproductive interference exerted by an alien dandelion,</w:t>
      </w:r>
      <w:r>
        <w:t xml:space="preserve"> </w:t>
      </w:r>
      <w:r>
        <w:t xml:space="preserve">Taraxacum</w:t>
      </w:r>
      <w:r>
        <w:t xml:space="preserve"> </w:t>
      </w:r>
      <w:r>
        <w:t xml:space="preserve">officinale, on a native congener.</w:t>
      </w:r>
      <w:r>
        <w:t xml:space="preserve"> </w:t>
      </w:r>
      <w:r>
        <w:rPr>
          <w:iCs/>
          <w:i/>
        </w:rPr>
        <w:t xml:space="preserve">Journal of Plant Research</w:t>
      </w:r>
      <w:r>
        <w:t xml:space="preserve">,</w:t>
      </w:r>
      <w:r>
        <w:t xml:space="preserve"> </w:t>
      </w:r>
      <w:r>
        <w:rPr>
          <w:iCs/>
          <w:i/>
        </w:rPr>
        <w:t xml:space="preserve">124</w:t>
      </w:r>
      <w:r>
        <w:t xml:space="preserve">(2), 269–276.</w:t>
      </w:r>
      <w:r>
        <w:t xml:space="preserve"> </w:t>
      </w:r>
      <w:hyperlink r:id="rId92">
        <w:r>
          <w:rPr>
            <w:rStyle w:val="Hyperlink"/>
          </w:rPr>
          <w:t xml:space="preserve">https://doi.org/10.1007/s10265-010-0368-8</w:t>
        </w:r>
      </w:hyperlink>
    </w:p>
    <w:bookmarkEnd w:id="93"/>
    <w:bookmarkStart w:id="95" w:name="ref-waser_interspecific_1978"/>
    <w:p>
      <w:pPr>
        <w:pStyle w:val="Bibliography"/>
      </w:pPr>
      <w:r>
        <w:t xml:space="preserve">Waser, N. M. (1978). Interspecific pollen transfer and competition between co-occurring plant species.</w:t>
      </w:r>
      <w:r>
        <w:t xml:space="preserve"> </w:t>
      </w:r>
      <w:r>
        <w:rPr>
          <w:iCs/>
          <w:i/>
        </w:rPr>
        <w:t xml:space="preserve">Oecologia</w:t>
      </w:r>
      <w:r>
        <w:t xml:space="preserve">,</w:t>
      </w:r>
      <w:r>
        <w:t xml:space="preserve"> </w:t>
      </w:r>
      <w:r>
        <w:rPr>
          <w:iCs/>
          <w:i/>
        </w:rPr>
        <w:t xml:space="preserve">36</w:t>
      </w:r>
      <w:r>
        <w:t xml:space="preserve">(2), 223–236.</w:t>
      </w:r>
      <w:r>
        <w:t xml:space="preserve"> </w:t>
      </w:r>
      <w:hyperlink r:id="rId94">
        <w:r>
          <w:rPr>
            <w:rStyle w:val="Hyperlink"/>
          </w:rPr>
          <w:t xml:space="preserve">https://doi.org/10.1007/BF00349811</w:t>
        </w:r>
      </w:hyperlink>
    </w:p>
    <w:bookmarkEnd w:id="95"/>
    <w:bookmarkStart w:id="97" w:name="ref-waser_comparison_1982"/>
    <w:p>
      <w:pPr>
        <w:pStyle w:val="Bibliography"/>
      </w:pPr>
      <w:r>
        <w:t xml:space="preserve">Waser, N. M. (1982). A comparison of distances flown by different visitors to flowers of the same species.</w:t>
      </w:r>
      <w:r>
        <w:t xml:space="preserve"> </w:t>
      </w:r>
      <w:r>
        <w:rPr>
          <w:iCs/>
          <w:i/>
        </w:rPr>
        <w:t xml:space="preserve">Oecologia</w:t>
      </w:r>
      <w:r>
        <w:t xml:space="preserve">,</w:t>
      </w:r>
      <w:r>
        <w:t xml:space="preserve"> </w:t>
      </w:r>
      <w:r>
        <w:rPr>
          <w:iCs/>
          <w:i/>
        </w:rPr>
        <w:t xml:space="preserve">55</w:t>
      </w:r>
      <w:r>
        <w:t xml:space="preserve">(2), 251–257.</w:t>
      </w:r>
      <w:r>
        <w:t xml:space="preserve"> </w:t>
      </w:r>
      <w:hyperlink r:id="rId96">
        <w:r>
          <w:rPr>
            <w:rStyle w:val="Hyperlink"/>
          </w:rPr>
          <w:t xml:space="preserve">https://doi.org/10.1007/BF00384496</w:t>
        </w:r>
      </w:hyperlink>
    </w:p>
    <w:bookmarkEnd w:id="97"/>
    <w:bookmarkStart w:id="99" w:name="ref-waser_generalization_1996"/>
    <w:p>
      <w:pPr>
        <w:pStyle w:val="Bibliography"/>
      </w:pPr>
      <w:r>
        <w:t xml:space="preserve">Waser, N. M., Chittka, L., Price, M. V., Williams, N. M., &amp; Ollerton, J. (1996). Generalization in</w:t>
      </w:r>
      <w:r>
        <w:t xml:space="preserve"> </w:t>
      </w:r>
      <w:r>
        <w:t xml:space="preserve">Pollination</w:t>
      </w:r>
      <w:r>
        <w:t xml:space="preserve"> </w:t>
      </w:r>
      <w:r>
        <w:t xml:space="preserve">Systems</w:t>
      </w:r>
      <w:r>
        <w:t xml:space="preserve">, and</w:t>
      </w:r>
      <w:r>
        <w:t xml:space="preserve"> </w:t>
      </w:r>
      <w:r>
        <w:t xml:space="preserve">Why</w:t>
      </w:r>
      <w:r>
        <w:t xml:space="preserve"> </w:t>
      </w:r>
      <w:r>
        <w:t xml:space="preserve">it</w:t>
      </w:r>
      <w:r>
        <w:t xml:space="preserve"> </w:t>
      </w:r>
      <w:r>
        <w:t xml:space="preserve">Matters</w:t>
      </w:r>
      <w:r>
        <w:t xml:space="preserve">.</w:t>
      </w:r>
      <w:r>
        <w:t xml:space="preserve"> </w:t>
      </w:r>
      <w:r>
        <w:rPr>
          <w:iCs/>
          <w:i/>
        </w:rPr>
        <w:t xml:space="preserve">Ecology</w:t>
      </w:r>
      <w:r>
        <w:t xml:space="preserve">,</w:t>
      </w:r>
      <w:r>
        <w:t xml:space="preserve"> </w:t>
      </w:r>
      <w:r>
        <w:rPr>
          <w:iCs/>
          <w:i/>
        </w:rPr>
        <w:t xml:space="preserve">77</w:t>
      </w:r>
      <w:r>
        <w:t xml:space="preserve">(4), 1043–1060.</w:t>
      </w:r>
      <w:r>
        <w:t xml:space="preserve"> </w:t>
      </w:r>
      <w:hyperlink r:id="rId98">
        <w:r>
          <w:rPr>
            <w:rStyle w:val="Hyperlink"/>
          </w:rPr>
          <w:t xml:space="preserve">https://doi.org/10.2307/2265575</w:t>
        </w:r>
      </w:hyperlink>
    </w:p>
    <w:bookmarkEnd w:id="99"/>
    <w:bookmarkStart w:id="101" w:name="ref-citeRtidyverse"/>
    <w:p>
      <w:pPr>
        <w:pStyle w:val="Bibliography"/>
      </w:pPr>
      <w:r>
        <w:t xml:space="preserve">Wickham, H., Averick, M., Bryan, J., Chang, W., McGowan, L. D., François, R., Grolemund, G., Hayes, A., Henry, L., Hester, J., Kuhn, M., Pedersen, T. L., Miller, E., Bache, S. M., Müller, K., Ooms, J., Robinson, D., Seidel, D. P., Spinu, V., … Yutani, H. (2019). Welcome to the</w:t>
      </w:r>
      <w:r>
        <w:t xml:space="preserve"> </w:t>
      </w:r>
      <w:r>
        <w:t xml:space="preserve">tidyverse</w:t>
      </w:r>
      <w:r>
        <w:t xml:space="preserve">.</w:t>
      </w:r>
      <w:r>
        <w:t xml:space="preserve"> </w:t>
      </w:r>
      <w:r>
        <w:rPr>
          <w:iCs/>
          <w:i/>
        </w:rPr>
        <w:t xml:space="preserve">Journal of Open Source Software</w:t>
      </w:r>
      <w:r>
        <w:t xml:space="preserve">,</w:t>
      </w:r>
      <w:r>
        <w:t xml:space="preserve"> </w:t>
      </w:r>
      <w:r>
        <w:rPr>
          <w:iCs/>
          <w:i/>
        </w:rPr>
        <w:t xml:space="preserve">4</w:t>
      </w:r>
      <w:r>
        <w:t xml:space="preserve">(43), 1686.</w:t>
      </w:r>
      <w:r>
        <w:t xml:space="preserve"> </w:t>
      </w:r>
      <w:hyperlink r:id="rId100">
        <w:r>
          <w:rPr>
            <w:rStyle w:val="Hyperlink"/>
          </w:rPr>
          <w:t xml:space="preserve">https://doi.org/10.21105/joss.01686</w:t>
        </w:r>
      </w:hyperlink>
    </w:p>
    <w:bookmarkEnd w:id="101"/>
    <w:bookmarkStart w:id="102" w:name="ref-willmer2011pollination"/>
    <w:p>
      <w:pPr>
        <w:pStyle w:val="Bibliography"/>
      </w:pPr>
      <w:r>
        <w:t xml:space="preserve">Willmer, P. (2011).</w:t>
      </w:r>
      <w:r>
        <w:t xml:space="preserve"> </w:t>
      </w:r>
      <w:r>
        <w:rPr>
          <w:iCs/>
          <w:i/>
        </w:rPr>
        <w:t xml:space="preserve">Pollination and floral ecology</w:t>
      </w:r>
      <w:r>
        <w:t xml:space="preserve">. Princeton University Press.</w:t>
      </w:r>
    </w:p>
    <w:bookmarkEnd w:id="102"/>
    <w:bookmarkStart w:id="104" w:name="ref-yan_assessment_2016"/>
    <w:p>
      <w:pPr>
        <w:pStyle w:val="Bibliography"/>
      </w:pPr>
      <w:r>
        <w:t xml:space="preserve">Yan, S.-X., Zhang, L., Mao, R.-L., Zhu, H., &amp; Li, Y. (2016). Assessment of genetic diversity and population differentiation of</w:t>
      </w:r>
      <w:r>
        <w:t xml:space="preserve"> </w:t>
      </w:r>
      <w:r>
        <w:t xml:space="preserve">Achyranthes</w:t>
      </w:r>
      <w:r>
        <w:t xml:space="preserve"> </w:t>
      </w:r>
      <w:r>
        <w:t xml:space="preserve">bidentata (</w:t>
      </w:r>
      <w:r>
        <w:t xml:space="preserve">Amaranthaceae</w:t>
      </w:r>
      <w:r>
        <w:t xml:space="preserve">) in</w:t>
      </w:r>
      <w:r>
        <w:t xml:space="preserve"> </w:t>
      </w:r>
      <w:r>
        <w:t xml:space="preserve">Dao</w:t>
      </w:r>
      <w:r>
        <w:t xml:space="preserve"> </w:t>
      </w:r>
      <w:r>
        <w:t xml:space="preserve">Di</w:t>
      </w:r>
      <w:r>
        <w:t xml:space="preserve"> </w:t>
      </w:r>
      <w:r>
        <w:t xml:space="preserve">and its surrounding region based on microsatellite markers.</w:t>
      </w:r>
      <w:r>
        <w:t xml:space="preserve"> </w:t>
      </w:r>
      <w:r>
        <w:rPr>
          <w:iCs/>
          <w:i/>
        </w:rPr>
        <w:t xml:space="preserve">Biochemical Systematics and Ecology</w:t>
      </w:r>
      <w:r>
        <w:t xml:space="preserve">,</w:t>
      </w:r>
      <w:r>
        <w:t xml:space="preserve"> </w:t>
      </w:r>
      <w:r>
        <w:rPr>
          <w:iCs/>
          <w:i/>
        </w:rPr>
        <w:t xml:space="preserve">69</w:t>
      </w:r>
      <w:r>
        <w:t xml:space="preserve">, 27–32.</w:t>
      </w:r>
      <w:r>
        <w:t xml:space="preserve"> </w:t>
      </w:r>
      <w:hyperlink r:id="rId103">
        <w:r>
          <w:rPr>
            <w:rStyle w:val="Hyperlink"/>
          </w:rPr>
          <w:t xml:space="preserve">https://doi.org/10.1016/j.bse.2016.08.008</w:t>
        </w:r>
      </w:hyperlink>
    </w:p>
    <w:bookmarkEnd w:id="104"/>
    <w:bookmarkStart w:id="106" w:name="ref-yang_landscape_2017"/>
    <w:p>
      <w:pPr>
        <w:pStyle w:val="Bibliography"/>
      </w:pPr>
      <w:r>
        <w:t xml:space="preserve">Yang, J., Li, Y., Miao, C., &amp; Mao, R. (2017). Landscape genomics analysis of</w:t>
      </w:r>
      <w:r>
        <w:t xml:space="preserve"> </w:t>
      </w:r>
      <w:r>
        <w:rPr>
          <w:iCs/>
          <w:i/>
        </w:rPr>
        <w:t xml:space="preserve">Achyranthes</w:t>
      </w:r>
      <w:r>
        <w:rPr>
          <w:iCs/>
          <w:i/>
        </w:rPr>
        <w:t xml:space="preserve"> </w:t>
      </w:r>
      <w:r>
        <w:rPr>
          <w:iCs/>
          <w:i/>
        </w:rPr>
        <w:t xml:space="preserve">bidentata</w:t>
      </w:r>
      <w:r>
        <w:t xml:space="preserve"> </w:t>
      </w:r>
      <w:r>
        <w:t xml:space="preserve">reveal adaptive genetic variations are driven by environmental variations relating to ecological habit.</w:t>
      </w:r>
      <w:r>
        <w:t xml:space="preserve"> </w:t>
      </w:r>
      <w:r>
        <w:rPr>
          <w:iCs/>
          <w:i/>
        </w:rPr>
        <w:t xml:space="preserve">Population Ecology</w:t>
      </w:r>
      <w:r>
        <w:t xml:space="preserve">,</w:t>
      </w:r>
      <w:r>
        <w:t xml:space="preserve"> </w:t>
      </w:r>
      <w:r>
        <w:rPr>
          <w:iCs/>
          <w:i/>
        </w:rPr>
        <w:t xml:space="preserve">59</w:t>
      </w:r>
      <w:r>
        <w:t xml:space="preserve">(4), 355–362.</w:t>
      </w:r>
      <w:r>
        <w:t xml:space="preserve"> </w:t>
      </w:r>
      <w:hyperlink r:id="rId105">
        <w:r>
          <w:rPr>
            <w:rStyle w:val="Hyperlink"/>
          </w:rPr>
          <w:t xml:space="preserve">https://doi.org/10.1007/s10144-017-0599-9</w:t>
        </w:r>
      </w:hyperlink>
    </w:p>
    <w:bookmarkEnd w:id="106"/>
    <w:bookmarkStart w:id="108" w:name="ref-citeRvgam"/>
    <w:p>
      <w:pPr>
        <w:pStyle w:val="Bibliography"/>
      </w:pPr>
      <w:r>
        <w:t xml:space="preserve">Yee, T. W. (2010). The</w:t>
      </w:r>
      <w:r>
        <w:t xml:space="preserve"> </w:t>
      </w:r>
      <w:r>
        <w:t xml:space="preserve">VGAM</w:t>
      </w:r>
      <w:r>
        <w:t xml:space="preserve"> </w:t>
      </w:r>
      <w:r>
        <w:t xml:space="preserve">package for categorical data analysis.</w:t>
      </w:r>
      <w:r>
        <w:t xml:space="preserve"> </w:t>
      </w:r>
      <w:r>
        <w:rPr>
          <w:iCs/>
          <w:i/>
        </w:rPr>
        <w:t xml:space="preserve">Journal of Statistical Software</w:t>
      </w:r>
      <w:r>
        <w:t xml:space="preserve">,</w:t>
      </w:r>
      <w:r>
        <w:t xml:space="preserve"> </w:t>
      </w:r>
      <w:r>
        <w:rPr>
          <w:iCs/>
          <w:i/>
        </w:rPr>
        <w:t xml:space="preserve">32</w:t>
      </w:r>
      <w:r>
        <w:t xml:space="preserve">(10), 1–34.</w:t>
      </w:r>
      <w:r>
        <w:t xml:space="preserve"> </w:t>
      </w:r>
      <w:hyperlink r:id="rId107">
        <w:r>
          <w:rPr>
            <w:rStyle w:val="Hyperlink"/>
          </w:rPr>
          <w:t xml:space="preserve">https://doi.org/10.18637/jss.v032.i10</w:t>
        </w:r>
      </w:hyperlink>
    </w:p>
    <w:bookmarkEnd w:id="108"/>
    <w:bookmarkEnd w:id="109"/>
    <w:bookmarkEnd w:id="1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df" /><Relationship Type="http://schemas.openxmlformats.org/officeDocument/2006/relationships/image" Id="rId42" Target="media/rId42.pdf" /><Relationship Type="http://schemas.openxmlformats.org/officeDocument/2006/relationships/image" Id="rId45" Target="media/rId45.pdf" /><Relationship Type="http://schemas.openxmlformats.org/officeDocument/2006/relationships/hyperlink" Id="rId49" Target="http://ylist.info" TargetMode="External" /><Relationship Type="http://schemas.openxmlformats.org/officeDocument/2006/relationships/hyperlink" Id="rId58" Target="https://CRAN.R-project.org/package=ordinal" TargetMode="External" /><Relationship Type="http://schemas.openxmlformats.org/officeDocument/2006/relationships/hyperlink" Id="rId68" Target="https://doi.org/10.1002/j.1537-2197.1988.tb14193.x" TargetMode="External" /><Relationship Type="http://schemas.openxmlformats.org/officeDocument/2006/relationships/hyperlink" Id="rId94" Target="https://doi.org/10.1007/BF00349811" TargetMode="External" /><Relationship Type="http://schemas.openxmlformats.org/officeDocument/2006/relationships/hyperlink" Id="rId96" Target="https://doi.org/10.1007/BF00384496" TargetMode="External" /><Relationship Type="http://schemas.openxmlformats.org/officeDocument/2006/relationships/hyperlink" Id="rId74" Target="https://doi.org/10.1007/s00442-008-1250-4" TargetMode="External" /><Relationship Type="http://schemas.openxmlformats.org/officeDocument/2006/relationships/hyperlink" Id="rId105" Target="https://doi.org/10.1007/s10144-017-0599-9" TargetMode="External" /><Relationship Type="http://schemas.openxmlformats.org/officeDocument/2006/relationships/hyperlink" Id="rId92" Target="https://doi.org/10.1007/s10265-010-0368-8" TargetMode="External" /><Relationship Type="http://schemas.openxmlformats.org/officeDocument/2006/relationships/hyperlink" Id="rId90" Target="https://doi.org/10.1007/s40011-014-0307-x" TargetMode="External" /><Relationship Type="http://schemas.openxmlformats.org/officeDocument/2006/relationships/hyperlink" Id="rId60" Target="https://doi.org/10.1016/0169-5347(93)90239-L" TargetMode="External" /><Relationship Type="http://schemas.openxmlformats.org/officeDocument/2006/relationships/hyperlink" Id="rId103" Target="https://doi.org/10.1016/j.bse.2016.08.008" TargetMode="External" /><Relationship Type="http://schemas.openxmlformats.org/officeDocument/2006/relationships/hyperlink" Id="rId76" Target="https://doi.org/10.1038/hdy.1995.121" TargetMode="External" /><Relationship Type="http://schemas.openxmlformats.org/officeDocument/2006/relationships/hyperlink" Id="rId70" Target="https://doi.org/10.1038/s41586-022-04973-x" TargetMode="External" /><Relationship Type="http://schemas.openxmlformats.org/officeDocument/2006/relationships/hyperlink" Id="rId72" Target="https://doi.org/10.1046/j.1440-1703.2002.00488.x" TargetMode="External" /><Relationship Type="http://schemas.openxmlformats.org/officeDocument/2006/relationships/hyperlink" Id="rId86" Target="https://doi.org/10.1073/pnas.0706375104" TargetMode="External" /><Relationship Type="http://schemas.openxmlformats.org/officeDocument/2006/relationships/hyperlink" Id="rId62" Target="https://doi.org/10.1080/0028825X.2004.9512897" TargetMode="External" /><Relationship Type="http://schemas.openxmlformats.org/officeDocument/2006/relationships/hyperlink" Id="rId78" Target="https://doi.org/10.1086/282680" TargetMode="External" /><Relationship Type="http://schemas.openxmlformats.org/officeDocument/2006/relationships/hyperlink" Id="rId54" Target="https://doi.org/10.1086/285280" TargetMode="External" /><Relationship Type="http://schemas.openxmlformats.org/officeDocument/2006/relationships/hyperlink" Id="rId84" Target="https://doi.org/10.1093/aob/mcz210" TargetMode="External" /><Relationship Type="http://schemas.openxmlformats.org/officeDocument/2006/relationships/hyperlink" Id="rId82" Target="https://doi.org/10.1111/j.1469-185X.2009.00108.x" TargetMode="External" /><Relationship Type="http://schemas.openxmlformats.org/officeDocument/2006/relationships/hyperlink" Id="rId107" Target="https://doi.org/10.18637/jss.v032.i10" TargetMode="External" /><Relationship Type="http://schemas.openxmlformats.org/officeDocument/2006/relationships/hyperlink" Id="rId52" Target="https://doi.org/10.18637/jss.v067.i01" TargetMode="External" /><Relationship Type="http://schemas.openxmlformats.org/officeDocument/2006/relationships/hyperlink" Id="rId100" Target="https://doi.org/10.21105/joss.01686" TargetMode="External" /><Relationship Type="http://schemas.openxmlformats.org/officeDocument/2006/relationships/hyperlink" Id="rId56" Target="https://doi.org/10.2307/1939019" TargetMode="External" /><Relationship Type="http://schemas.openxmlformats.org/officeDocument/2006/relationships/hyperlink" Id="rId64" Target="https://doi.org/10.2307/1942246" TargetMode="External" /><Relationship Type="http://schemas.openxmlformats.org/officeDocument/2006/relationships/hyperlink" Id="rId98" Target="https://doi.org/10.2307/2265575" TargetMode="External" /><Relationship Type="http://schemas.openxmlformats.org/officeDocument/2006/relationships/hyperlink" Id="rId66" Target="https://doi.org/10.2307/3545218" TargetMode="External" /><Relationship Type="http://schemas.openxmlformats.org/officeDocument/2006/relationships/hyperlink" Id="rId80" Target="https://doi.org/10.3732/ajb.0800036" TargetMode="External" /><Relationship Type="http://schemas.openxmlformats.org/officeDocument/2006/relationships/hyperlink" Id="rId50" Target="https://doi.org/10.51033/jjapbot.10_4_1350" TargetMode="External" /><Relationship Type="http://schemas.openxmlformats.org/officeDocument/2006/relationships/hyperlink" Id="rId26" Target="https://doi.org/xxxx" TargetMode="External" /><Relationship Type="http://schemas.openxmlformats.org/officeDocument/2006/relationships/hyperlink" Id="rId36" Target="https://orcid.org/0000-0002-6466-723X" TargetMode="External" /><Relationship Type="http://schemas.openxmlformats.org/officeDocument/2006/relationships/hyperlink" Id="rId33" Target="https://paperpal.com/" TargetMode="External" /><Relationship Type="http://schemas.openxmlformats.org/officeDocument/2006/relationships/hyperlink" Id="rId48" Target="https://powo.science.kew.org/" TargetMode="External" /><Relationship Type="http://schemas.openxmlformats.org/officeDocument/2006/relationships/hyperlink" Id="rId88" Target="https://www.R-project.org/" TargetMode="External" /><Relationship Type="http://schemas.openxmlformats.org/officeDocument/2006/relationships/hyperlink" Id="rId20" Target="mailto:yassato@ees.hokudai.ac.jp" TargetMode="External" /></Relationships>
</file>

<file path=word/_rels/footnotes.xml.rels><?xml version="1.0" encoding="UTF-8"?><Relationships xmlns="http://schemas.openxmlformats.org/package/2006/relationships"><Relationship Type="http://schemas.openxmlformats.org/officeDocument/2006/relationships/hyperlink" Id="rId49" Target="http://ylist.info" TargetMode="External" /><Relationship Type="http://schemas.openxmlformats.org/officeDocument/2006/relationships/hyperlink" Id="rId58" Target="https://CRAN.R-project.org/package=ordinal" TargetMode="External" /><Relationship Type="http://schemas.openxmlformats.org/officeDocument/2006/relationships/hyperlink" Id="rId68" Target="https://doi.org/10.1002/j.1537-2197.1988.tb14193.x" TargetMode="External" /><Relationship Type="http://schemas.openxmlformats.org/officeDocument/2006/relationships/hyperlink" Id="rId94" Target="https://doi.org/10.1007/BF00349811" TargetMode="External" /><Relationship Type="http://schemas.openxmlformats.org/officeDocument/2006/relationships/hyperlink" Id="rId96" Target="https://doi.org/10.1007/BF00384496" TargetMode="External" /><Relationship Type="http://schemas.openxmlformats.org/officeDocument/2006/relationships/hyperlink" Id="rId74" Target="https://doi.org/10.1007/s00442-008-1250-4" TargetMode="External" /><Relationship Type="http://schemas.openxmlformats.org/officeDocument/2006/relationships/hyperlink" Id="rId105" Target="https://doi.org/10.1007/s10144-017-0599-9" TargetMode="External" /><Relationship Type="http://schemas.openxmlformats.org/officeDocument/2006/relationships/hyperlink" Id="rId92" Target="https://doi.org/10.1007/s10265-010-0368-8" TargetMode="External" /><Relationship Type="http://schemas.openxmlformats.org/officeDocument/2006/relationships/hyperlink" Id="rId90" Target="https://doi.org/10.1007/s40011-014-0307-x" TargetMode="External" /><Relationship Type="http://schemas.openxmlformats.org/officeDocument/2006/relationships/hyperlink" Id="rId60" Target="https://doi.org/10.1016/0169-5347(93)90239-L" TargetMode="External" /><Relationship Type="http://schemas.openxmlformats.org/officeDocument/2006/relationships/hyperlink" Id="rId103" Target="https://doi.org/10.1016/j.bse.2016.08.008" TargetMode="External" /><Relationship Type="http://schemas.openxmlformats.org/officeDocument/2006/relationships/hyperlink" Id="rId76" Target="https://doi.org/10.1038/hdy.1995.121" TargetMode="External" /><Relationship Type="http://schemas.openxmlformats.org/officeDocument/2006/relationships/hyperlink" Id="rId70" Target="https://doi.org/10.1038/s41586-022-04973-x" TargetMode="External" /><Relationship Type="http://schemas.openxmlformats.org/officeDocument/2006/relationships/hyperlink" Id="rId72" Target="https://doi.org/10.1046/j.1440-1703.2002.00488.x" TargetMode="External" /><Relationship Type="http://schemas.openxmlformats.org/officeDocument/2006/relationships/hyperlink" Id="rId86" Target="https://doi.org/10.1073/pnas.0706375104" TargetMode="External" /><Relationship Type="http://schemas.openxmlformats.org/officeDocument/2006/relationships/hyperlink" Id="rId62" Target="https://doi.org/10.1080/0028825X.2004.9512897" TargetMode="External" /><Relationship Type="http://schemas.openxmlformats.org/officeDocument/2006/relationships/hyperlink" Id="rId78" Target="https://doi.org/10.1086/282680" TargetMode="External" /><Relationship Type="http://schemas.openxmlformats.org/officeDocument/2006/relationships/hyperlink" Id="rId54" Target="https://doi.org/10.1086/285280" TargetMode="External" /><Relationship Type="http://schemas.openxmlformats.org/officeDocument/2006/relationships/hyperlink" Id="rId84" Target="https://doi.org/10.1093/aob/mcz210" TargetMode="External" /><Relationship Type="http://schemas.openxmlformats.org/officeDocument/2006/relationships/hyperlink" Id="rId82" Target="https://doi.org/10.1111/j.1469-185X.2009.00108.x" TargetMode="External" /><Relationship Type="http://schemas.openxmlformats.org/officeDocument/2006/relationships/hyperlink" Id="rId107" Target="https://doi.org/10.18637/jss.v032.i10" TargetMode="External" /><Relationship Type="http://schemas.openxmlformats.org/officeDocument/2006/relationships/hyperlink" Id="rId52" Target="https://doi.org/10.18637/jss.v067.i01" TargetMode="External" /><Relationship Type="http://schemas.openxmlformats.org/officeDocument/2006/relationships/hyperlink" Id="rId100" Target="https://doi.org/10.21105/joss.01686" TargetMode="External" /><Relationship Type="http://schemas.openxmlformats.org/officeDocument/2006/relationships/hyperlink" Id="rId56" Target="https://doi.org/10.2307/1939019" TargetMode="External" /><Relationship Type="http://schemas.openxmlformats.org/officeDocument/2006/relationships/hyperlink" Id="rId64" Target="https://doi.org/10.2307/1942246" TargetMode="External" /><Relationship Type="http://schemas.openxmlformats.org/officeDocument/2006/relationships/hyperlink" Id="rId98" Target="https://doi.org/10.2307/2265575" TargetMode="External" /><Relationship Type="http://schemas.openxmlformats.org/officeDocument/2006/relationships/hyperlink" Id="rId66" Target="https://doi.org/10.2307/3545218" TargetMode="External" /><Relationship Type="http://schemas.openxmlformats.org/officeDocument/2006/relationships/hyperlink" Id="rId80" Target="https://doi.org/10.3732/ajb.0800036" TargetMode="External" /><Relationship Type="http://schemas.openxmlformats.org/officeDocument/2006/relationships/hyperlink" Id="rId50" Target="https://doi.org/10.51033/jjapbot.10_4_1350" TargetMode="External" /><Relationship Type="http://schemas.openxmlformats.org/officeDocument/2006/relationships/hyperlink" Id="rId26" Target="https://doi.org/xxxx" TargetMode="External" /><Relationship Type="http://schemas.openxmlformats.org/officeDocument/2006/relationships/hyperlink" Id="rId36" Target="https://orcid.org/0000-0002-6466-723X" TargetMode="External" /><Relationship Type="http://schemas.openxmlformats.org/officeDocument/2006/relationships/hyperlink" Id="rId33" Target="https://paperpal.com/" TargetMode="External" /><Relationship Type="http://schemas.openxmlformats.org/officeDocument/2006/relationships/hyperlink" Id="rId48" Target="https://powo.science.kew.org/" TargetMode="External" /><Relationship Type="http://schemas.openxmlformats.org/officeDocument/2006/relationships/hyperlink" Id="rId88" Target="https://www.R-project.org/" TargetMode="External" /><Relationship Type="http://schemas.openxmlformats.org/officeDocument/2006/relationships/hyperlink" Id="rId20" Target="mailto:yassato@ees.hokudai.ac.j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Recurrent visitation by diverse insects in an inconspicuous flowering plant Achyranthes bidentata (Amaranthaceae)</dc:title>
  <dc:creator/>
  <cp:keywords/>
  <dcterms:created xsi:type="dcterms:W3CDTF">2026-01-05T12:59:14Z</dcterms:created>
  <dcterms:modified xsi:type="dcterms:W3CDTF">2026-01-05T12:59:14Z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zotero.bib</vt:lpwstr>
  </property>
  <property fmtid="{D5CDD505-2E9C-101B-9397-08002B2CF9AE}" pid="3" name="csl">
    <vt:lpwstr>apa.csl</vt:lpwstr>
  </property>
  <property fmtid="{D5CDD505-2E9C-101B-9397-08002B2CF9AE}" pid="4" name="output">
    <vt:lpwstr/>
  </property>
</Properties>
</file>