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2b59cd385a1ff6e99ca2fc38a3f478a0789d855"/>
    <w:p>
      <w:pPr>
        <w:pStyle w:val="Heading1"/>
      </w:pPr>
      <w:r>
        <w:t xml:space="preserve">Genome-wide association study reveals escape by delayed growth from aphid herbivory on field-grown</w:t>
      </w:r>
      <w:r>
        <w:t xml:space="preserve"> </w:t>
      </w:r>
      <w:r>
        <w:rPr>
          <w:iCs/>
          <w:i/>
        </w:rPr>
        <w:t xml:space="preserve">Arabidopsis thaliana</w:t>
      </w:r>
    </w:p>
    <w:p>
      <w:pPr>
        <w:pStyle w:val="FirstParagraph"/>
      </w:pPr>
      <w:r>
        <w:rPr>
          <w:bCs/>
          <w:b/>
        </w:rPr>
        <w:t xml:space="preserve">Author 1</w:t>
      </w:r>
      <w:r>
        <w:rPr>
          <w:vertAlign w:val="superscript"/>
        </w:rPr>
        <w:t xml:space="preserve">1</w:t>
      </w:r>
      <w:r>
        <w:br/>
      </w:r>
      <w:r>
        <w:rPr>
          <w:bCs/>
          <w:b/>
        </w:rPr>
        <w:t xml:space="preserve">Author 2</w:t>
      </w:r>
      <w:r>
        <w:rPr>
          <w:vertAlign w:val="superscript"/>
        </w:rPr>
        <w:t xml:space="preserve">1,2</w:t>
      </w:r>
      <w:r>
        <w:br/>
      </w:r>
      <w:r>
        <w:rPr>
          <w:bCs/>
          <w:b/>
        </w:rPr>
        <w:t xml:space="preserve">Author 3</w:t>
      </w:r>
      <w:r>
        <w:rPr>
          <w:vertAlign w:val="superscript"/>
        </w:rPr>
        <w:t xml:space="preserve">1,3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Zurich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Ryukoku University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Yokohama City University</w:t>
      </w:r>
    </w:p>
    <w:bookmarkEnd w:id="20"/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Growing number of ecological studies have shown that plant developmental and phenological traits greatly contribute to shaping field herbivory. To reveal genetic bases underlying aphid herbivory, we conducted a genome-wide association study (GWAS) of aphid abundance in a field population of</w:t>
      </w:r>
      <w:r>
        <w:t xml:space="preserve"> </w:t>
      </w:r>
      <w:r>
        <w:rPr>
          <w:iCs/>
          <w:i/>
        </w:rPr>
        <w:t xml:space="preserve">Arabidopsis thaliana</w:t>
      </w:r>
      <w:r>
        <w:t xml:space="preserve">. Out of a single significant peak on the third chromosome, we isolated</w:t>
      </w:r>
      <w:r>
        <w:t xml:space="preserve"> </w:t>
      </w:r>
      <w:r>
        <w:rPr>
          <w:iCs/>
          <w:i/>
        </w:rPr>
        <w:t xml:space="preserve">NAME OF THE GENE</w:t>
      </w:r>
      <w:r>
        <w:t xml:space="preserve"> </w:t>
      </w:r>
      <w:r>
        <w:t xml:space="preserve">(</w:t>
      </w:r>
      <w:r>
        <w:rPr>
          <w:iCs/>
          <w:i/>
        </w:rPr>
        <w:t xml:space="preserve">NOG</w:t>
      </w:r>
      <w:r>
        <w:t xml:space="preserve">) that encoded a ribosomal gene (AT3Gxxxx). Knockout mutants of</w:t>
      </w:r>
      <w:r>
        <w:t xml:space="preserve"> </w:t>
      </w:r>
      <w:r>
        <w:rPr>
          <w:iCs/>
          <w:i/>
        </w:rPr>
        <w:t xml:space="preserve">nog</w:t>
      </w:r>
      <w:r>
        <w:t xml:space="preserve"> </w:t>
      </w:r>
      <w:r>
        <w:t xml:space="preserve">exhibited slower growth and ca. x-days later flowering than Col-0. Our laboratory bioassay further showed that a colony of the mustard aphid</w:t>
      </w:r>
      <w:r>
        <w:t xml:space="preserve"> </w:t>
      </w:r>
      <w:r>
        <w:rPr>
          <w:iCs/>
          <w:i/>
        </w:rPr>
        <w:t xml:space="preserve">Lipaphis erysimi</w:t>
      </w:r>
      <w:r>
        <w:t xml:space="preserve"> </w:t>
      </w:r>
      <w:r>
        <w:t xml:space="preserve">was difficult to establish on</w:t>
      </w:r>
      <w:r>
        <w:t xml:space="preserve"> </w:t>
      </w:r>
      <w:r>
        <w:rPr>
          <w:iCs/>
          <w:i/>
        </w:rPr>
        <w:t xml:space="preserve">nog</w:t>
      </w:r>
      <w:r>
        <w:t xml:space="preserve"> </w:t>
      </w:r>
      <w:r>
        <w:t xml:space="preserve">due to its small rosette size. These findings suggest that side effects of life-history traits on biotic interaction play a more critical role</w:t>
      </w:r>
      <w:r>
        <w:t xml:space="preserve"> </w:t>
      </w:r>
      <w:r>
        <w:rPr>
          <w:iCs/>
          <w:i/>
        </w:rPr>
        <w:t xml:space="preserve">in natura</w:t>
      </w:r>
      <w:r>
        <w:t xml:space="preserve"> </w:t>
      </w:r>
      <w:r>
        <w:t xml:space="preserve">than currently appreciated.</w:t>
      </w:r>
    </w:p>
    <w:bookmarkEnd w:id="21"/>
    <w:bookmarkStart w:id="22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Plants are attacked by herbivores across their life cycles in natural environments. While chemical and physical traits have long been a main focus of anti-herbivore defense</w:t>
      </w:r>
      <w:r>
        <w:t xml:space="preserve"> </w:t>
      </w:r>
      <w:r>
        <w:t xml:space="preserve">[1]</w:t>
      </w:r>
      <w:r>
        <w:t xml:space="preserve">, plant life-history traits also account for herbivory in field environments</w:t>
      </w:r>
      <w:r>
        <w:t xml:space="preserve"> </w:t>
      </w:r>
      <w:r>
        <w:t xml:space="preserve">[2, 3]</w:t>
      </w:r>
      <w:r>
        <w:t xml:space="preserve">. For example, phenological shifts can allow plants to escape from seasonal herbivory</w:t>
      </w:r>
      <w:r>
        <w:t xml:space="preserve"> </w:t>
      </w:r>
      <w:r>
        <w:t xml:space="preserve">[4, 5]</w:t>
      </w:r>
      <w:r>
        <w:t xml:space="preserve">. Plants’ visibility for herbivores, namely plant apparency</w:t>
      </w:r>
      <w:r>
        <w:t xml:space="preserve"> </w:t>
      </w:r>
      <w:r>
        <w:t xml:space="preserve">[6]</w:t>
      </w:r>
      <w:r>
        <w:t xml:space="preserve">, often changes from vegetative to reproductive phase, which alters the risk of herbivore attacks across plant ontogeny</w:t>
      </w:r>
      <w:r>
        <w:t xml:space="preserve"> </w:t>
      </w:r>
      <w:r>
        <w:t xml:space="preserve">[3, 7]</w:t>
      </w:r>
      <w:r>
        <w:t xml:space="preserve">. By focusing on intraspecific variation within a plant species, several studies have shown that plant apparency shapes heritable variation in herbivory among plant genotypes</w:t>
      </w:r>
      <w:r>
        <w:t xml:space="preserve"> </w:t>
      </w:r>
      <w:r>
        <w:t xml:space="preserve">[8–10]</w:t>
      </w:r>
      <w:r>
        <w:t xml:space="preserve">, though key genes remain unknown.</w:t>
      </w:r>
    </w:p>
    <w:p>
      <w:pPr>
        <w:pStyle w:val="BodyText"/>
      </w:pPr>
      <w:r>
        <w:t xml:space="preserve">Genome-wide association study (GWAS) is recognized as a promising approach to dissect the genetic architecture of ecologically important traits</w:t>
      </w:r>
      <w:r>
        <w:t xml:space="preserve"> </w:t>
      </w:r>
      <w:r>
        <w:t xml:space="preserve">[11, 12]</w:t>
      </w:r>
      <w:r>
        <w:t xml:space="preserve"> </w:t>
      </w:r>
      <w:r>
        <w:t xml:space="preserve">and identify novel genes from natural phenotypic variation</w:t>
      </w:r>
      <w:r>
        <w:t xml:space="preserve"> </w:t>
      </w:r>
      <w:r>
        <w:t xml:space="preserve">[13, 14]</w:t>
      </w:r>
      <w:r>
        <w:t xml:space="preserve">. However, field studies have suggested that controlled laboratory conditions unlikely reflect outdoor environments where interspecific interactions typically occur</w:t>
      </w:r>
      <w:r>
        <w:t xml:space="preserve"> </w:t>
      </w:r>
      <w:r>
        <w:t xml:space="preserve">[15, 16]</w:t>
      </w:r>
      <w:r>
        <w:t xml:space="preserve">, highlighting the importance of</w:t>
      </w:r>
      <w:r>
        <w:t xml:space="preserve"> </w:t>
      </w:r>
      <w:r>
        <w:rPr>
          <w:iCs/>
          <w:i/>
        </w:rPr>
        <w:t xml:space="preserve">in natura</w:t>
      </w:r>
      <w:r>
        <w:t xml:space="preserve"> </w:t>
      </w:r>
      <w:r>
        <w:t xml:space="preserve">study on gene functions</w:t>
      </w:r>
      <w:r>
        <w:t xml:space="preserve"> </w:t>
      </w:r>
      <w:r>
        <w:t xml:space="preserve">[17–19]</w:t>
      </w:r>
      <w:r>
        <w:t xml:space="preserve">. For</w:t>
      </w:r>
      <w:r>
        <w:t xml:space="preserve"> </w:t>
      </w:r>
      <w:r>
        <w:rPr>
          <w:iCs/>
          <w:i/>
        </w:rPr>
        <w:t xml:space="preserve">in natura</w:t>
      </w:r>
      <w:r>
        <w:t xml:space="preserve"> </w:t>
      </w:r>
      <w:r>
        <w:t xml:space="preserve">understanding of interspecific interactions, it is necessary to conduct GWAS under field conditions.</w:t>
      </w:r>
    </w:p>
    <w:p>
      <w:pPr>
        <w:pStyle w:val="BodyText"/>
      </w:pPr>
      <w:r>
        <w:rPr>
          <w:iCs/>
          <w:i/>
        </w:rPr>
        <w:t xml:space="preserve">Arabidopsis thaliana</w:t>
      </w:r>
      <w:r>
        <w:t xml:space="preserve"> </w:t>
      </w:r>
      <w:r>
        <w:t xml:space="preserve">is the model plant species distributed in Europe and naturalized around the world. While most accessions of</w:t>
      </w:r>
      <w:r>
        <w:t xml:space="preserve"> </w:t>
      </w:r>
      <w:r>
        <w:rPr>
          <w:iCs/>
          <w:i/>
        </w:rPr>
        <w:t xml:space="preserve">A. thaliana</w:t>
      </w:r>
      <w:r>
        <w:t xml:space="preserve"> </w:t>
      </w:r>
      <w:r>
        <w:t xml:space="preserve">bloom in spring after over-wintering, some cohorts have overlapped life cycles []. When plants emerge from late spring to early summer, they are threatened by various herbivores such as aphids and beetles</w:t>
      </w:r>
      <w:r>
        <w:t xml:space="preserve"> </w:t>
      </w:r>
      <w:r>
        <w:t xml:space="preserve">[10, 20]</w:t>
      </w:r>
      <w:r>
        <w:t xml:space="preserve">. Of the diverse herbivores, aphids are a major herbivore that can exert selection across a natural distribution range of</w:t>
      </w:r>
      <w:r>
        <w:t xml:space="preserve"> </w:t>
      </w:r>
      <w:r>
        <w:rPr>
          <w:iCs/>
          <w:i/>
        </w:rPr>
        <w:t xml:space="preserve">A. thaliana</w:t>
      </w:r>
      <w:r>
        <w:t xml:space="preserve"> </w:t>
      </w:r>
      <w:r>
        <w:t xml:space="preserve">[21]</w:t>
      </w:r>
      <w:r>
        <w:t xml:space="preserve">. Because aphids often suck phloem saps from flowering stems, we hypothesized that plant life-history traits may play a key role in aphid colonization in the field.</w:t>
      </w:r>
    </w:p>
    <w:p>
      <w:pPr>
        <w:pStyle w:val="BodyText"/>
      </w:pPr>
      <w:r>
        <w:t xml:space="preserve">In this study, we discovered a new locus</w:t>
      </w:r>
      <w:r>
        <w:t xml:space="preserve"> </w:t>
      </w:r>
      <w:r>
        <w:rPr>
          <w:iCs/>
          <w:i/>
        </w:rPr>
        <w:t xml:space="preserve">NAME OF THE GENE</w:t>
      </w:r>
      <w:r>
        <w:t xml:space="preserve"> </w:t>
      </w:r>
      <w:r>
        <w:t xml:space="preserve">(</w:t>
      </w:r>
      <w:r>
        <w:rPr>
          <w:iCs/>
          <w:i/>
        </w:rPr>
        <w:t xml:space="preserve">NOG</w:t>
      </w:r>
      <w:r>
        <w:t xml:space="preserve">) by using GWAS of aphid herbivory on field-grown</w:t>
      </w:r>
      <w:r>
        <w:t xml:space="preserve"> </w:t>
      </w:r>
      <w:r>
        <w:rPr>
          <w:iCs/>
          <w:i/>
        </w:rPr>
        <w:t xml:space="preserve">A. thaliana</w:t>
      </w:r>
      <w:r>
        <w:t xml:space="preserve">. To conduct GWAS, we first recorded aphid abundance on 196</w:t>
      </w:r>
      <w:r>
        <w:t xml:space="preserve"> </w:t>
      </w:r>
      <w:r>
        <w:rPr>
          <w:iCs/>
          <w:i/>
        </w:rPr>
        <w:t xml:space="preserve">A. thaliana</w:t>
      </w:r>
      <w:r>
        <w:t xml:space="preserve"> </w:t>
      </w:r>
      <w:r>
        <w:t xml:space="preserve">accessions grown in a field site of Zurich, Switzerland. To validate candidate genes, we then cultivated and released the mustard aphid</w:t>
      </w:r>
      <w:r>
        <w:t xml:space="preserve"> </w:t>
      </w:r>
      <w:r>
        <w:rPr>
          <w:iCs/>
          <w:i/>
        </w:rPr>
        <w:t xml:space="preserve">Lipaphis erysimi</w:t>
      </w:r>
      <w:r>
        <w:t xml:space="preserve"> </w:t>
      </w:r>
      <w:r>
        <w:t xml:space="preserve">on</w:t>
      </w:r>
      <w:r>
        <w:t xml:space="preserve"> </w:t>
      </w:r>
      <w:r>
        <w:rPr>
          <w:iCs/>
          <w:i/>
        </w:rPr>
        <w:t xml:space="preserve">A. thaliana</w:t>
      </w:r>
      <w:r>
        <w:t xml:space="preserve"> </w:t>
      </w:r>
      <w:r>
        <w:t xml:space="preserve">mutants. The field-based discovery of</w:t>
      </w:r>
      <w:r>
        <w:t xml:space="preserve"> </w:t>
      </w:r>
      <w:r>
        <w:rPr>
          <w:iCs/>
          <w:i/>
        </w:rPr>
        <w:t xml:space="preserve">NOG</w:t>
      </w:r>
      <w:r>
        <w:t xml:space="preserve"> </w:t>
      </w:r>
      <w:r>
        <w:t xml:space="preserve">will gain genetic insights into plant apparency on insect herbivory</w:t>
      </w:r>
      <w:r>
        <w:t xml:space="preserve"> </w:t>
      </w:r>
      <w:r>
        <w:rPr>
          <w:iCs/>
          <w:i/>
        </w:rPr>
        <w:t xml:space="preserve">in natura</w:t>
      </w:r>
      <w:r>
        <w:t xml:space="preserve">.</w:t>
      </w:r>
    </w:p>
    <w:bookmarkEnd w:id="22"/>
    <w:bookmarkStart w:id="33" w:name="materials-methods"/>
    <w:p>
      <w:pPr>
        <w:pStyle w:val="Heading1"/>
      </w:pPr>
      <w:r>
        <w:t xml:space="preserve">Materials &amp; Methods</w:t>
      </w:r>
    </w:p>
    <w:bookmarkStart w:id="28" w:name="field-gwas"/>
    <w:p>
      <w:pPr>
        <w:pStyle w:val="Heading2"/>
      </w:pPr>
      <w:r>
        <w:t xml:space="preserve">Field GWAS</w:t>
      </w:r>
    </w:p>
    <w:bookmarkStart w:id="23" w:name="plants"/>
    <w:p>
      <w:pPr>
        <w:pStyle w:val="Heading3"/>
      </w:pPr>
      <w:r>
        <w:t xml:space="preserve">Plants</w:t>
      </w:r>
    </w:p>
    <w:p>
      <w:pPr>
        <w:pStyle w:val="FirstParagraph"/>
      </w:pPr>
      <w:r>
        <w:t xml:space="preserve">We selected 196 accessions from RegMap</w:t>
      </w:r>
      <w:r>
        <w:t xml:space="preserve"> </w:t>
      </w:r>
      <w:r>
        <w:t xml:space="preserve">[22]</w:t>
      </w:r>
      <w:r>
        <w:t xml:space="preserve"> </w:t>
      </w:r>
      <w:r>
        <w:t xml:space="preserve">and 1001 Genomes</w:t>
      </w:r>
      <w:r>
        <w:t xml:space="preserve"> </w:t>
      </w:r>
      <w:r>
        <w:t xml:space="preserve">[23]</w:t>
      </w:r>
      <w:r>
        <w:t xml:space="preserve"> </w:t>
      </w:r>
      <w:r>
        <w:t xml:space="preserve">projects, most of which were overlapped with previous GWAS of biotic interaction</w:t>
      </w:r>
      <w:r>
        <w:t xml:space="preserve"> </w:t>
      </w:r>
      <w:r>
        <w:t xml:space="preserve">[24]</w:t>
      </w:r>
      <w:r>
        <w:t xml:space="preserve">.</w:t>
      </w:r>
    </w:p>
    <w:bookmarkEnd w:id="23"/>
    <w:bookmarkStart w:id="24" w:name="field-experiments"/>
    <w:p>
      <w:pPr>
        <w:pStyle w:val="Heading3"/>
      </w:pPr>
      <w:r>
        <w:t xml:space="preserve">Field experiments</w:t>
      </w:r>
    </w:p>
    <w:p>
      <w:pPr>
        <w:pStyle w:val="FirstParagraph"/>
      </w:pPr>
      <w:r>
        <w:t xml:space="preserve">Our field survey was conducted in the Irchel-Campus of the University of Zurich….</w:t>
      </w:r>
    </w:p>
    <w:bookmarkEnd w:id="24"/>
    <w:bookmarkStart w:id="27" w:name="data-analysis"/>
    <w:p>
      <w:pPr>
        <w:pStyle w:val="Heading3"/>
      </w:pPr>
      <w:r>
        <w:t xml:space="preserve">Data analysis</w:t>
      </w:r>
    </w:p>
    <w:p>
      <w:pPr>
        <w:pStyle w:val="FirstParagraph"/>
      </w:pPr>
      <w:r>
        <w:t xml:space="preserve">GWAS was performed using the GWA-portal website (</w:t>
      </w:r>
      <w:hyperlink r:id="rId25">
        <w:r>
          <w:rPr>
            <w:rStyle w:val="Hyperlink"/>
          </w:rPr>
          <w:t xml:space="preserve">https://gwas.gmi.oeaw.ac.at</w:t>
        </w:r>
      </w:hyperlink>
      <w:r>
        <w:t xml:space="preserve">)</w:t>
      </w:r>
      <w:r>
        <w:t xml:space="preserve"> </w:t>
      </w:r>
      <w:r>
        <w:t xml:space="preserve">[25]</w:t>
      </w:r>
      <w:r>
        <w:t xml:space="preserve">. Target phenotypes were the total number of</w:t>
      </w:r>
      <w:r>
        <w:t xml:space="preserve"> </w:t>
      </w:r>
      <w:r>
        <w:rPr>
          <w:iCs/>
          <w:i/>
        </w:rPr>
        <w:t xml:space="preserve">Lipaphis erysimi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Brevicoryne brassicae</w:t>
      </w:r>
      <w:r>
        <w:t xml:space="preserve"> </w:t>
      </w:r>
      <w:r>
        <w:t xml:space="preserve">per plant; or presence (1) or absense (0) of bolting. The imputed fullsequence dataset were chosen as SNP data for the 196 accessions. Pseudo-heritability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was calculated for each target phenotype before association mapping. Accelerated mixed models (AMMs) were used for association mapping with a correction of kinship structure. The genome-wide significance level was given at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0.05</m:t>
        </m:r>
      </m:oMath>
      <w:r>
        <w:t xml:space="preserve"> </w:t>
      </w:r>
      <w:r>
        <w:t xml:space="preserve">with Bonferroni correction of multiple testing. The number of aphids was log(</w:t>
      </w:r>
      <m:oMath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)-transformed to improve normality. Input phenotype data are available as a supplementary material (Table S1). After the association mapping, candidate genes were searched within ca. 10 kb near a focal SNP. To estimate gene functions from gene expression information, we used eFP browser, 1001 transcriptome data, and ATTED-II coexpression database.</w:t>
      </w:r>
    </w:p>
    <w:p>
      <w:pPr>
        <w:pStyle w:val="BodyText"/>
      </w:pPr>
      <w:r>
        <w:t xml:space="preserve">Gene ontology enrichment analysis was performed for the results of GWA-portal. xxxx. To deal with statistical non-independence of SNPs, we employed an unbiased GO analysis implemented in the Gowinda program. The cut-off value of minor allele frequency (MAF) was set at 0.025 for the entire SNP set, and SNPs having the top 1% value of -log</w:t>
      </w:r>
      <w:r>
        <w:t xml:space="preserve">10</w:t>
      </w:r>
      <w:r>
        <w:t xml:space="preserve">(</w:t>
      </w:r>
      <m:oMath>
        <m:r>
          <m:t>p</m:t>
        </m:r>
      </m:oMath>
      <w:r>
        <w:t xml:space="preserve">) were tested against the entire set. The latest gene feature format (GFF) and GO slim annotation of</w:t>
      </w:r>
      <w:r>
        <w:t xml:space="preserve"> </w:t>
      </w:r>
      <w:r>
        <w:rPr>
          <w:iCs/>
          <w:i/>
        </w:rPr>
        <w:t xml:space="preserve">A. thaliana</w:t>
      </w:r>
      <w:r>
        <w:t xml:space="preserve"> </w:t>
      </w:r>
      <w:r>
        <w:t xml:space="preserve">were downloaded from The Arabidopsis Information Resource (TAIR) (</w:t>
      </w:r>
      <w:hyperlink r:id="rId26">
        <w:r>
          <w:rPr>
            <w:rStyle w:val="Hyperlink"/>
          </w:rPr>
          <w:t xml:space="preserve">https://www.arabidopsis.org/</w:t>
        </w:r>
      </w:hyperlink>
      <w:r>
        <w:t xml:space="preserve">). The Gowinda program was run with the key arguments of –simulations 1000000 –min-significance 1 –gene-definition updownstream1000 –mode gene –min-genes 2.</w:t>
      </w:r>
    </w:p>
    <w:bookmarkEnd w:id="27"/>
    <w:bookmarkEnd w:id="28"/>
    <w:bookmarkStart w:id="32" w:name="mutant-analysis"/>
    <w:p>
      <w:pPr>
        <w:pStyle w:val="Heading2"/>
      </w:pPr>
      <w:r>
        <w:t xml:space="preserve">Mutant analysis</w:t>
      </w:r>
    </w:p>
    <w:bookmarkStart w:id="30" w:name="plants-1"/>
    <w:p>
      <w:pPr>
        <w:pStyle w:val="Heading3"/>
      </w:pPr>
      <w:r>
        <w:t xml:space="preserve">Plants</w:t>
      </w:r>
    </w:p>
    <w:p>
      <w:pPr>
        <w:pStyle w:val="FirstParagraph"/>
      </w:pPr>
      <w:r>
        <w:t xml:space="preserve">T-DNA insertion lines of</w:t>
      </w:r>
      <w:r>
        <w:t xml:space="preserve"> </w:t>
      </w:r>
      <w:r>
        <w:rPr>
          <w:iCs/>
          <w:i/>
        </w:rPr>
        <w:t xml:space="preserve">A. thaliana</w:t>
      </w:r>
      <w:r>
        <w:t xml:space="preserve"> </w:t>
      </w:r>
      <w:r>
        <w:t xml:space="preserve">were obtained from the Nottingham Arabidopsis Stock Centre (NASC) (</w:t>
      </w:r>
      <w:hyperlink r:id="rId29">
        <w:r>
          <w:rPr>
            <w:rStyle w:val="Hyperlink"/>
          </w:rPr>
          <w:t xml:space="preserve">https://arabidopsis.info/</w:t>
        </w:r>
      </w:hyperlink>
      <w:r>
        <w:t xml:space="preserve">).</w:t>
      </w:r>
    </w:p>
    <w:bookmarkEnd w:id="30"/>
    <w:bookmarkStart w:id="31" w:name="bioassay"/>
    <w:p>
      <w:pPr>
        <w:pStyle w:val="Heading3"/>
      </w:pPr>
      <w:r>
        <w:t xml:space="preserve">Bioassay</w:t>
      </w:r>
    </w:p>
    <w:bookmarkEnd w:id="31"/>
    <w:bookmarkEnd w:id="32"/>
    <w:bookmarkEnd w:id="33"/>
    <w:bookmarkStart w:id="35" w:name="results-discussion"/>
    <w:p>
      <w:pPr>
        <w:pStyle w:val="Heading1"/>
      </w:pPr>
      <w:r>
        <w:t xml:space="preserve">Results &amp; Discussion</w:t>
      </w:r>
    </w:p>
    <w:p>
      <w:pPr>
        <w:pStyle w:val="FirstParagraph"/>
      </w:pPr>
      <w:r>
        <w:t xml:space="preserve">Bolting: pseudo h</w:t>
      </w:r>
      <w:r>
        <w:rPr>
          <w:vertAlign w:val="superscript"/>
        </w:rPr>
        <w:t xml:space="preserve">2</w:t>
      </w:r>
      <w:r>
        <w:t xml:space="preserve"> </w:t>
      </w:r>
      <w:r>
        <w:t xml:space="preserve">= near to 1.0</w:t>
      </w:r>
      <w:r>
        <w:br/>
      </w:r>
      <w:r>
        <w:t xml:space="preserve">log_BbLe_max: pseudo h</w:t>
      </w:r>
      <w:r>
        <w:rPr>
          <w:vertAlign w:val="superscript"/>
        </w:rPr>
        <w:t xml:space="preserve">2</w:t>
      </w:r>
      <w:r>
        <w:t xml:space="preserve"> </w:t>
      </w:r>
      <w:r>
        <w:t xml:space="preserve">= 0.7</w:t>
      </w:r>
      <w:r>
        <w:br/>
      </w:r>
      <w:r>
        <w:t xml:space="preserve">log_BbLe_sum: pseudo h</w:t>
      </w:r>
      <w:r>
        <w:rPr>
          <w:vertAlign w:val="superscript"/>
        </w:rPr>
        <w:t xml:space="preserve">2</w:t>
      </w:r>
      <w:r>
        <w:t xml:space="preserve"> </w:t>
      </w:r>
      <w:r>
        <w:t xml:space="preserve">= 0.71</w:t>
      </w:r>
    </w:p>
    <w:p>
      <w:pPr>
        <w:pStyle w:val="BodyText"/>
      </w:pPr>
      <w:r>
        <w:t xml:space="preserve">Indirect association with herbivory through growth rate</w:t>
      </w:r>
      <w:r>
        <w:t xml:space="preserve"> </w:t>
      </w:r>
      <w:r>
        <w:t xml:space="preserve">Although xxx, the difficulty in plant GWAS (pseudo-correlation, population structure). To solve this issue, xxx.</w:t>
      </w:r>
    </w:p>
    <w:p>
      <w:pPr>
        <w:pStyle w:val="BodyText"/>
      </w:pPr>
      <w:r>
        <w:t xml:space="preserve">This study dealt with virtual data and thereby provided no biological significance. Citation Style Language (.csl) is usually available at journal’s page or other repository (</w:t>
      </w:r>
      <w:hyperlink r:id="rId34">
        <w:r>
          <w:rPr>
            <w:rStyle w:val="Hyperlink"/>
          </w:rPr>
          <w:t xml:space="preserve">https://github.com/citation-style-language/styles</w:t>
        </w:r>
      </w:hyperlink>
      <w:r>
        <w:t xml:space="preserve">). If you need a more complex format, HTML or even LaTeX may be required. Try to minimize manual handling until you give up, and export to .docx lastly.</w:t>
      </w:r>
    </w:p>
    <w:bookmarkEnd w:id="35"/>
    <w:bookmarkStart w:id="62" w:name="references"/>
    <w:p>
      <w:pPr>
        <w:pStyle w:val="Heading1"/>
      </w:pPr>
      <w:r>
        <w:t xml:space="preserve">References</w:t>
      </w:r>
    </w:p>
    <w:bookmarkStart w:id="61" w:name="refs"/>
    <w:bookmarkStart w:id="36" w:name="ref-schoonhoven2005insect"/>
    <w:p>
      <w:pPr>
        <w:pStyle w:val="Bibliography"/>
      </w:pPr>
      <w:r>
        <w:t xml:space="preserve">1. Schoonhoven LM, Van Loon B, Loon JJ van, Dicke M:</w:t>
      </w:r>
      <w:r>
        <w:t xml:space="preserve"> </w:t>
      </w:r>
      <w:r>
        <w:rPr>
          <w:iCs/>
          <w:i/>
        </w:rPr>
        <w:t xml:space="preserve">Insect-Plant Biology</w:t>
      </w:r>
      <w:r>
        <w:t xml:space="preserve">. Oxford University Press on Demand; 2005.</w:t>
      </w:r>
    </w:p>
    <w:bookmarkEnd w:id="36"/>
    <w:bookmarkStart w:id="37" w:name="ref-carmona2011plant"/>
    <w:p>
      <w:pPr>
        <w:pStyle w:val="Bibliography"/>
      </w:pPr>
      <w:r>
        <w:t xml:space="preserve">2. Carmona D, Lajeunesse MJ, Johnson MT:</w:t>
      </w:r>
      <w:r>
        <w:t xml:space="preserve"> </w:t>
      </w:r>
      <w:r>
        <w:rPr>
          <w:bCs/>
          <w:b/>
        </w:rPr>
        <w:t xml:space="preserve">Plant traits that predict resistance to herbivores</w:t>
      </w:r>
      <w:r>
        <w:t xml:space="preserve">.</w:t>
      </w:r>
      <w:r>
        <w:t xml:space="preserve"> </w:t>
      </w:r>
      <w:r>
        <w:rPr>
          <w:iCs/>
          <w:i/>
        </w:rPr>
        <w:t xml:space="preserve">Functional Ecology</w:t>
      </w:r>
      <w:r>
        <w:t xml:space="preserve"> </w:t>
      </w:r>
      <w:r>
        <w:t xml:space="preserve">2011,</w:t>
      </w:r>
      <w:r>
        <w:t xml:space="preserve"> </w:t>
      </w:r>
      <w:r>
        <w:rPr>
          <w:bCs/>
          <w:b/>
        </w:rPr>
        <w:t xml:space="preserve">25</w:t>
      </w:r>
      <w:r>
        <w:t xml:space="preserve">:358–367.</w:t>
      </w:r>
    </w:p>
    <w:bookmarkEnd w:id="37"/>
    <w:bookmarkStart w:id="38" w:name="ref-barton2017future"/>
    <w:p>
      <w:pPr>
        <w:pStyle w:val="Bibliography"/>
      </w:pPr>
      <w:r>
        <w:t xml:space="preserve">3. Barton KE, Boege K:</w:t>
      </w:r>
      <w:r>
        <w:t xml:space="preserve"> </w:t>
      </w:r>
      <w:r>
        <w:rPr>
          <w:bCs/>
          <w:b/>
        </w:rPr>
        <w:t xml:space="preserve">Future directions in the ontogeny of plant defence: Understanding the evolutionary causes and consequences</w:t>
      </w:r>
      <w:r>
        <w:t xml:space="preserve">.</w:t>
      </w:r>
      <w:r>
        <w:t xml:space="preserve"> </w:t>
      </w:r>
      <w:r>
        <w:rPr>
          <w:iCs/>
          <w:i/>
        </w:rPr>
        <w:t xml:space="preserve">Ecology Letters</w:t>
      </w:r>
      <w:r>
        <w:t xml:space="preserve"> </w:t>
      </w:r>
      <w:r>
        <w:t xml:space="preserve">2017,</w:t>
      </w:r>
      <w:r>
        <w:t xml:space="preserve"> </w:t>
      </w:r>
      <w:r>
        <w:rPr>
          <w:bCs/>
          <w:b/>
        </w:rPr>
        <w:t xml:space="preserve">20</w:t>
      </w:r>
      <w:r>
        <w:t xml:space="preserve">:403–411.</w:t>
      </w:r>
    </w:p>
    <w:bookmarkEnd w:id="38"/>
    <w:bookmarkStart w:id="39" w:name="ref-kawagoe2010escape"/>
    <w:p>
      <w:pPr>
        <w:pStyle w:val="Bibliography"/>
      </w:pPr>
      <w:r>
        <w:t xml:space="preserve">4. Kawagoe T, Kudoh H:</w:t>
      </w:r>
      <w:r>
        <w:t xml:space="preserve"> </w:t>
      </w:r>
      <w:r>
        <w:rPr>
          <w:bCs/>
          <w:b/>
        </w:rPr>
        <w:t xml:space="preserve">Escape from floral herbivory by early flowering in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Arabidopsis halleri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subsp.</w:t>
      </w:r>
      <w:r>
        <w:rPr>
          <w:iCs/>
          <w:i/>
          <w:bCs/>
          <w:b/>
        </w:rPr>
        <w:t xml:space="preserve"> </w:t>
      </w:r>
      <w:r>
        <w:rPr>
          <w:iCs/>
          <w:i/>
          <w:iCs/>
          <w:i/>
          <w:bCs/>
          <w:b/>
        </w:rPr>
        <w:t xml:space="preserve">gemmifera</w:t>
      </w:r>
      <w:r>
        <w:t xml:space="preserve">.</w:t>
      </w:r>
      <w:r>
        <w:t xml:space="preserve"> </w:t>
      </w:r>
      <w:r>
        <w:rPr>
          <w:iCs/>
          <w:i/>
        </w:rPr>
        <w:t xml:space="preserve">Oecologia</w:t>
      </w:r>
      <w:r>
        <w:t xml:space="preserve"> </w:t>
      </w:r>
      <w:r>
        <w:t xml:space="preserve">2010,</w:t>
      </w:r>
      <w:r>
        <w:t xml:space="preserve"> </w:t>
      </w:r>
      <w:r>
        <w:rPr>
          <w:bCs/>
          <w:b/>
        </w:rPr>
        <w:t xml:space="preserve">164</w:t>
      </w:r>
      <w:r>
        <w:t xml:space="preserve">:713–720.</w:t>
      </w:r>
    </w:p>
    <w:bookmarkEnd w:id="39"/>
    <w:bookmarkStart w:id="40" w:name="ref-marquis2021escape"/>
    <w:p>
      <w:pPr>
        <w:pStyle w:val="Bibliography"/>
      </w:pPr>
      <w:r>
        <w:t xml:space="preserve">5. Marquis RJ, Moura RF:</w:t>
      </w:r>
      <w:r>
        <w:t xml:space="preserve"> </w:t>
      </w:r>
      <w:r>
        <w:rPr>
          <w:bCs/>
          <w:b/>
        </w:rPr>
        <w:t xml:space="preserve">Escape as a mechanism of plant resistance against herbivores</w:t>
      </w:r>
      <w:r>
        <w:t xml:space="preserve">. In</w:t>
      </w:r>
      <w:r>
        <w:t xml:space="preserve"> </w:t>
      </w:r>
      <w:r>
        <w:rPr>
          <w:iCs/>
          <w:i/>
        </w:rPr>
        <w:t xml:space="preserve">Plant-animal interactions</w:t>
      </w:r>
      <w:r>
        <w:t xml:space="preserve">. Springer; 2021:39–57.</w:t>
      </w:r>
    </w:p>
    <w:bookmarkEnd w:id="40"/>
    <w:bookmarkStart w:id="41" w:name="ref-feeny1976plant"/>
    <w:p>
      <w:pPr>
        <w:pStyle w:val="Bibliography"/>
      </w:pPr>
      <w:r>
        <w:t xml:space="preserve">6. Feeny P:</w:t>
      </w:r>
      <w:r>
        <w:t xml:space="preserve"> </w:t>
      </w:r>
      <w:r>
        <w:rPr>
          <w:bCs/>
          <w:b/>
        </w:rPr>
        <w:t xml:space="preserve">Plant apparency and chemical defense</w:t>
      </w:r>
      <w:r>
        <w:t xml:space="preserve">. In</w:t>
      </w:r>
      <w:r>
        <w:t xml:space="preserve"> </w:t>
      </w:r>
      <w:r>
        <w:rPr>
          <w:iCs/>
          <w:i/>
        </w:rPr>
        <w:t xml:space="preserve">Biochemical interaction between plants and insects</w:t>
      </w:r>
      <w:r>
        <w:t xml:space="preserve">. Springer; 1976:1–40.</w:t>
      </w:r>
    </w:p>
    <w:bookmarkEnd w:id="41"/>
    <w:bookmarkStart w:id="42" w:name="ref-zverev2017ontogenetic"/>
    <w:p>
      <w:pPr>
        <w:pStyle w:val="Bibliography"/>
      </w:pPr>
      <w:r>
        <w:t xml:space="preserve">7. Zverev V, Zvereva EL, Kozlov MV:</w:t>
      </w:r>
      <w:r>
        <w:t xml:space="preserve"> </w:t>
      </w:r>
      <w:r>
        <w:rPr>
          <w:bCs/>
          <w:b/>
        </w:rPr>
        <w:t xml:space="preserve">Ontogenetic changes in insect herbivory in birch (betula pubesecens): The importance of plant apparency</w:t>
      </w:r>
      <w:r>
        <w:t xml:space="preserve">.</w:t>
      </w:r>
      <w:r>
        <w:t xml:space="preserve"> </w:t>
      </w:r>
      <w:r>
        <w:rPr>
          <w:iCs/>
          <w:i/>
        </w:rPr>
        <w:t xml:space="preserve">Functional Ecology</w:t>
      </w:r>
      <w:r>
        <w:t xml:space="preserve"> </w:t>
      </w:r>
      <w:r>
        <w:t xml:space="preserve">2017,</w:t>
      </w:r>
      <w:r>
        <w:t xml:space="preserve"> </w:t>
      </w:r>
      <w:r>
        <w:rPr>
          <w:bCs/>
          <w:b/>
        </w:rPr>
        <w:t xml:space="preserve">31</w:t>
      </w:r>
      <w:r>
        <w:t xml:space="preserve">:2224–2232.</w:t>
      </w:r>
    </w:p>
    <w:bookmarkEnd w:id="42"/>
    <w:bookmarkStart w:id="43" w:name="ref-johnson2009heritability"/>
    <w:p>
      <w:pPr>
        <w:pStyle w:val="Bibliography"/>
      </w:pPr>
      <w:r>
        <w:t xml:space="preserve">8. Johnson MT, Agrawal AA, Maron JL, Salminen J-P:</w:t>
      </w:r>
      <w:r>
        <w:t xml:space="preserve"> </w:t>
      </w:r>
      <w:r>
        <w:rPr>
          <w:bCs/>
          <w:b/>
        </w:rPr>
        <w:t xml:space="preserve">Heritability, covariation and natural selection on 24 traits of common evening primrose (oenothera biennis) from a field experiment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Evolutionary Biology</w:t>
      </w:r>
      <w:r>
        <w:t xml:space="preserve"> </w:t>
      </w:r>
      <w:r>
        <w:t xml:space="preserve">2009,</w:t>
      </w:r>
      <w:r>
        <w:t xml:space="preserve"> </w:t>
      </w:r>
      <w:r>
        <w:rPr>
          <w:bCs/>
          <w:b/>
        </w:rPr>
        <w:t xml:space="preserve">22</w:t>
      </w:r>
      <w:r>
        <w:t xml:space="preserve">:1295–1307.</w:t>
      </w:r>
    </w:p>
    <w:bookmarkEnd w:id="43"/>
    <w:bookmarkStart w:id="44" w:name="ref-barbour2015multiple"/>
    <w:p>
      <w:pPr>
        <w:pStyle w:val="Bibliography"/>
      </w:pPr>
      <w:r>
        <w:t xml:space="preserve">9. Barbour MA, Rodriguez-Cabal MA, Wu ET, Julkunen-Tiitto R, Ritland CE, Miscampbell AE, Jules ES, Crutsinger GM:</w:t>
      </w:r>
      <w:r>
        <w:t xml:space="preserve"> </w:t>
      </w:r>
      <w:r>
        <w:rPr>
          <w:bCs/>
          <w:b/>
        </w:rPr>
        <w:t xml:space="preserve">Multiple plant traits shape the genetic basis of herbivore community assembly</w:t>
      </w:r>
      <w:r>
        <w:t xml:space="preserve">.</w:t>
      </w:r>
      <w:r>
        <w:t xml:space="preserve"> </w:t>
      </w:r>
      <w:r>
        <w:rPr>
          <w:iCs/>
          <w:i/>
        </w:rPr>
        <w:t xml:space="preserve">Functional Ecology</w:t>
      </w:r>
      <w:r>
        <w:t xml:space="preserve"> </w:t>
      </w:r>
      <w:r>
        <w:t xml:space="preserve">2015,</w:t>
      </w:r>
      <w:r>
        <w:t xml:space="preserve"> </w:t>
      </w:r>
      <w:r>
        <w:rPr>
          <w:bCs/>
          <w:b/>
        </w:rPr>
        <w:t xml:space="preserve">29</w:t>
      </w:r>
      <w:r>
        <w:t xml:space="preserve">:995–1006.</w:t>
      </w:r>
    </w:p>
    <w:bookmarkEnd w:id="44"/>
    <w:bookmarkStart w:id="45" w:name="ref-sato2019plant"/>
    <w:p>
      <w:pPr>
        <w:pStyle w:val="Bibliography"/>
      </w:pPr>
      <w:r>
        <w:t xml:space="preserve">10. Sato Y, Shimizu-Inatsugi R, Yamazaki M, Shimizu KK, Nagano AJ:</w:t>
      </w:r>
      <w:r>
        <w:t xml:space="preserve"> </w:t>
      </w:r>
      <w:r>
        <w:rPr>
          <w:bCs/>
          <w:b/>
        </w:rPr>
        <w:t xml:space="preserve">Plant trichomes and a single gene GLABRA1 contribute to insect community composition on field-grown arabidopsis thaliana</w:t>
      </w:r>
      <w:r>
        <w:t xml:space="preserve">.</w:t>
      </w:r>
      <w:r>
        <w:t xml:space="preserve"> </w:t>
      </w:r>
      <w:r>
        <w:rPr>
          <w:iCs/>
          <w:i/>
        </w:rPr>
        <w:t xml:space="preserve">BMC Plant Biology</w:t>
      </w:r>
      <w:r>
        <w:t xml:space="preserve"> </w:t>
      </w:r>
      <w:r>
        <w:t xml:space="preserve">2019,</w:t>
      </w:r>
      <w:r>
        <w:t xml:space="preserve"> </w:t>
      </w:r>
      <w:r>
        <w:rPr>
          <w:bCs/>
          <w:b/>
        </w:rPr>
        <w:t xml:space="preserve">19</w:t>
      </w:r>
      <w:r>
        <w:t xml:space="preserve">:1–12.</w:t>
      </w:r>
    </w:p>
    <w:bookmarkEnd w:id="45"/>
    <w:bookmarkStart w:id="46" w:name="ref-anderson2011ecological"/>
    <w:p>
      <w:pPr>
        <w:pStyle w:val="Bibliography"/>
      </w:pPr>
      <w:r>
        <w:t xml:space="preserve">11. Anderson JT, Mitchell-Olds T:</w:t>
      </w:r>
      <w:r>
        <w:t xml:space="preserve"> </w:t>
      </w:r>
      <w:r>
        <w:rPr>
          <w:bCs/>
          <w:b/>
        </w:rPr>
        <w:t xml:space="preserve">Ecological genetics and genomics of plant defences: Evidence and approaches</w:t>
      </w:r>
      <w:r>
        <w:t xml:space="preserve">.</w:t>
      </w:r>
      <w:r>
        <w:t xml:space="preserve"> </w:t>
      </w:r>
      <w:r>
        <w:rPr>
          <w:iCs/>
          <w:i/>
        </w:rPr>
        <w:t xml:space="preserve">Functional Ecology</w:t>
      </w:r>
      <w:r>
        <w:t xml:space="preserve"> </w:t>
      </w:r>
      <w:r>
        <w:t xml:space="preserve">2011,</w:t>
      </w:r>
      <w:r>
        <w:t xml:space="preserve"> </w:t>
      </w:r>
      <w:r>
        <w:rPr>
          <w:bCs/>
          <w:b/>
        </w:rPr>
        <w:t xml:space="preserve">25</w:t>
      </w:r>
      <w:r>
        <w:t xml:space="preserve">:312–324.</w:t>
      </w:r>
    </w:p>
    <w:bookmarkEnd w:id="46"/>
    <w:bookmarkStart w:id="47" w:name="ref-santure2018wild"/>
    <w:p>
      <w:pPr>
        <w:pStyle w:val="Bibliography"/>
      </w:pPr>
      <w:r>
        <w:t xml:space="preserve">12. Santure AW, Garant D:</w:t>
      </w:r>
      <w:r>
        <w:t xml:space="preserve"> </w:t>
      </w:r>
      <w:r>
        <w:rPr>
          <w:bCs/>
          <w:b/>
        </w:rPr>
        <w:t xml:space="preserve">Wild GWAS—association mapping in natural populations</w:t>
      </w:r>
      <w:r>
        <w:t xml:space="preserve">.</w:t>
      </w:r>
      <w:r>
        <w:t xml:space="preserve"> </w:t>
      </w:r>
      <w:r>
        <w:rPr>
          <w:iCs/>
          <w:i/>
        </w:rPr>
        <w:t xml:space="preserve">Molecular Ecology Resources</w:t>
      </w:r>
      <w:r>
        <w:t xml:space="preserve"> </w:t>
      </w:r>
      <w:r>
        <w:t xml:space="preserve">2018,</w:t>
      </w:r>
      <w:r>
        <w:t xml:space="preserve"> </w:t>
      </w:r>
      <w:r>
        <w:rPr>
          <w:bCs/>
          <w:b/>
        </w:rPr>
        <w:t xml:space="preserve">18</w:t>
      </w:r>
      <w:r>
        <w:t xml:space="preserve">:729–738.</w:t>
      </w:r>
    </w:p>
    <w:bookmarkEnd w:id="47"/>
    <w:bookmarkStart w:id="48" w:name="ref-fujii2019stigmatic"/>
    <w:p>
      <w:pPr>
        <w:pStyle w:val="Bibliography"/>
      </w:pPr>
      <w:r>
        <w:t xml:space="preserve">13. Fujii S, Tsuchimatsu T, Kimura Y, Ishida S, Tangpranomkorn S, Shimosato-Asano H, Iwano M, Furukawa S, Itoyama W, Wada Y, et al.:</w:t>
      </w:r>
      <w:r>
        <w:t xml:space="preserve"> </w:t>
      </w:r>
      <w:r>
        <w:rPr>
          <w:bCs/>
          <w:b/>
        </w:rPr>
        <w:t xml:space="preserve">A stigmatic gene confers interspecies incompatibility in the brassicaceae</w:t>
      </w:r>
      <w:r>
        <w:t xml:space="preserve">.</w:t>
      </w:r>
      <w:r>
        <w:t xml:space="preserve"> </w:t>
      </w:r>
      <w:r>
        <w:rPr>
          <w:iCs/>
          <w:i/>
        </w:rPr>
        <w:t xml:space="preserve">Nature Plants</w:t>
      </w:r>
      <w:r>
        <w:t xml:space="preserve"> </w:t>
      </w:r>
      <w:r>
        <w:t xml:space="preserve">2019,</w:t>
      </w:r>
      <w:r>
        <w:t xml:space="preserve"> </w:t>
      </w:r>
      <w:r>
        <w:rPr>
          <w:bCs/>
          <w:b/>
        </w:rPr>
        <w:t xml:space="preserve">5</w:t>
      </w:r>
      <w:r>
        <w:t xml:space="preserve">:731–741.</w:t>
      </w:r>
    </w:p>
    <w:bookmarkEnd w:id="48"/>
    <w:bookmarkStart w:id="49" w:name="ref-tsuchimatsu2020adaptive"/>
    <w:p>
      <w:pPr>
        <w:pStyle w:val="Bibliography"/>
      </w:pPr>
      <w:r>
        <w:t xml:space="preserve">14. Tsuchimatsu T, Kakui H, Yamazaki M, Marona C, Tsutsui H, Hedhly A, Meng D, Sato Y, Städler T, Grossniklaus U, et al.:</w:t>
      </w:r>
      <w:r>
        <w:t xml:space="preserve"> </w:t>
      </w:r>
      <w:r>
        <w:rPr>
          <w:bCs/>
          <w:b/>
        </w:rPr>
        <w:t xml:space="preserve">Adaptive reduction of male gamete number in the selfing plant arabidopsis thaliana</w:t>
      </w:r>
      <w:r>
        <w:t xml:space="preserve">.</w:t>
      </w:r>
      <w:r>
        <w:t xml:space="preserve"> </w:t>
      </w:r>
      <w:r>
        <w:rPr>
          <w:iCs/>
          <w:i/>
        </w:rPr>
        <w:t xml:space="preserve">Nature communications</w:t>
      </w:r>
      <w:r>
        <w:t xml:space="preserve"> </w:t>
      </w:r>
      <w:r>
        <w:t xml:space="preserve">2020,</w:t>
      </w:r>
      <w:r>
        <w:t xml:space="preserve"> </w:t>
      </w:r>
      <w:r>
        <w:rPr>
          <w:bCs/>
          <w:b/>
        </w:rPr>
        <w:t xml:space="preserve">11</w:t>
      </w:r>
      <w:r>
        <w:t xml:space="preserve">:1–9.</w:t>
      </w:r>
    </w:p>
    <w:bookmarkEnd w:id="49"/>
    <w:bookmarkStart w:id="50" w:name="ref-honjo2020seasonality"/>
    <w:p>
      <w:pPr>
        <w:pStyle w:val="Bibliography"/>
      </w:pPr>
      <w:r>
        <w:t xml:space="preserve">15. Honjo MN, Emura N, Kawagoe T, Sugisaka J, Kamitani M, Nagano AJ, Kudoh H:</w:t>
      </w:r>
      <w:r>
        <w:t xml:space="preserve"> </w:t>
      </w:r>
      <w:r>
        <w:rPr>
          <w:bCs/>
          <w:b/>
        </w:rPr>
        <w:t xml:space="preserve">Seasonality of interactions between a plant virus and its host during persistent infection in a natural environment</w:t>
      </w:r>
      <w:r>
        <w:t xml:space="preserve">.</w:t>
      </w:r>
      <w:r>
        <w:t xml:space="preserve"> </w:t>
      </w:r>
      <w:r>
        <w:rPr>
          <w:iCs/>
          <w:i/>
        </w:rPr>
        <w:t xml:space="preserve">The ISME journal</w:t>
      </w:r>
      <w:r>
        <w:t xml:space="preserve"> </w:t>
      </w:r>
      <w:r>
        <w:t xml:space="preserve">2020,</w:t>
      </w:r>
      <w:r>
        <w:t xml:space="preserve"> </w:t>
      </w:r>
      <w:r>
        <w:rPr>
          <w:bCs/>
          <w:b/>
        </w:rPr>
        <w:t xml:space="preserve">14</w:t>
      </w:r>
      <w:r>
        <w:t xml:space="preserve">:506–518.</w:t>
      </w:r>
    </w:p>
    <w:bookmarkEnd w:id="50"/>
    <w:bookmarkStart w:id="51" w:name="ref-sato2019transcriptional"/>
    <w:p>
      <w:pPr>
        <w:pStyle w:val="Bibliography"/>
      </w:pPr>
      <w:r>
        <w:t xml:space="preserve">16. Sato Y, Tezuka A, Kashima M, Deguchi A, Shimizu-Inatsugi R, Yamazaki M, Shimizu KK, Nagano AJ:</w:t>
      </w:r>
      <w:r>
        <w:t xml:space="preserve"> </w:t>
      </w:r>
      <w:r>
        <w:rPr>
          <w:bCs/>
          <w:b/>
        </w:rPr>
        <w:t xml:space="preserve">Transcriptional variation in glucosinolate biosynthetic genes and inducible responses to aphid herbivory on field-grown arabidopsis thaliana</w:t>
      </w:r>
      <w:r>
        <w:t xml:space="preserve">.</w:t>
      </w:r>
      <w:r>
        <w:t xml:space="preserve"> </w:t>
      </w:r>
      <w:r>
        <w:rPr>
          <w:iCs/>
          <w:i/>
        </w:rPr>
        <w:t xml:space="preserve">Frontiers in Genetics</w:t>
      </w:r>
      <w:r>
        <w:t xml:space="preserve"> </w:t>
      </w:r>
      <w:r>
        <w:t xml:space="preserve">2019:787.</w:t>
      </w:r>
    </w:p>
    <w:bookmarkEnd w:id="51"/>
    <w:bookmarkStart w:id="52" w:name="ref-shimizu2011plant"/>
    <w:p>
      <w:pPr>
        <w:pStyle w:val="Bibliography"/>
      </w:pPr>
      <w:r>
        <w:t xml:space="preserve">17. Shimizu KK, Kudoh H, Kobayashi MJ:</w:t>
      </w:r>
      <w:r>
        <w:t xml:space="preserve"> </w:t>
      </w:r>
      <w:r>
        <w:rPr>
          <w:bCs/>
          <w:b/>
        </w:rPr>
        <w:t xml:space="preserve">Plant sexual reproduction during climate change: Gene function in natura studied by ecological and evolutionary systems biology</w:t>
      </w:r>
      <w:r>
        <w:t xml:space="preserve">.</w:t>
      </w:r>
      <w:r>
        <w:t xml:space="preserve"> </w:t>
      </w:r>
      <w:r>
        <w:rPr>
          <w:iCs/>
          <w:i/>
        </w:rPr>
        <w:t xml:space="preserve">Annals of Botany</w:t>
      </w:r>
      <w:r>
        <w:t xml:space="preserve"> </w:t>
      </w:r>
      <w:r>
        <w:t xml:space="preserve">2011,</w:t>
      </w:r>
      <w:r>
        <w:t xml:space="preserve"> </w:t>
      </w:r>
      <w:r>
        <w:rPr>
          <w:bCs/>
          <w:b/>
        </w:rPr>
        <w:t xml:space="preserve">108</w:t>
      </w:r>
      <w:r>
        <w:t xml:space="preserve">:777–787.</w:t>
      </w:r>
    </w:p>
    <w:bookmarkEnd w:id="52"/>
    <w:bookmarkStart w:id="53" w:name="ref-kudoh2016molecular"/>
    <w:p>
      <w:pPr>
        <w:pStyle w:val="Bibliography"/>
      </w:pPr>
      <w:r>
        <w:t xml:space="preserve">18. Kudoh H:</w:t>
      </w:r>
      <w:r>
        <w:t xml:space="preserve"> </w:t>
      </w:r>
      <w:r>
        <w:rPr>
          <w:bCs/>
          <w:b/>
        </w:rPr>
        <w:t xml:space="preserve">Molecular phenology in plants: In natura systems biology for the comprehensive understanding of seasonal responses under natural environments</w:t>
      </w:r>
      <w:r>
        <w:t xml:space="preserve">.</w:t>
      </w:r>
      <w:r>
        <w:t xml:space="preserve"> </w:t>
      </w:r>
      <w:r>
        <w:rPr>
          <w:iCs/>
          <w:i/>
        </w:rPr>
        <w:t xml:space="preserve">New Phytologist</w:t>
      </w:r>
      <w:r>
        <w:t xml:space="preserve"> </w:t>
      </w:r>
      <w:r>
        <w:t xml:space="preserve">2016,</w:t>
      </w:r>
      <w:r>
        <w:t xml:space="preserve"> </w:t>
      </w:r>
      <w:r>
        <w:rPr>
          <w:bCs/>
          <w:b/>
        </w:rPr>
        <w:t xml:space="preserve">210</w:t>
      </w:r>
      <w:r>
        <w:t xml:space="preserve">:399–412.</w:t>
      </w:r>
    </w:p>
    <w:bookmarkEnd w:id="53"/>
    <w:bookmarkStart w:id="54" w:name="ref-yamasaki2017genomics"/>
    <w:p>
      <w:pPr>
        <w:pStyle w:val="Bibliography"/>
      </w:pPr>
      <w:r>
        <w:t xml:space="preserve">19. Yamasaki E, Altermatt F, Cavender-Bares J, Schuman MC, Zuppinger-Dingley D, Garonna I, Schneider FD, Guillén-Escribà C, Moorsel SJ van, Hahl T, et al.:</w:t>
      </w:r>
      <w:r>
        <w:t xml:space="preserve"> </w:t>
      </w:r>
      <w:r>
        <w:rPr>
          <w:bCs/>
          <w:b/>
        </w:rPr>
        <w:t xml:space="preserve">Genomics meets remote sensing in global change studies: Monitoring and predicting phenology, evolution and biodiversity</w:t>
      </w:r>
      <w:r>
        <w:t xml:space="preserve">.</w:t>
      </w:r>
      <w:r>
        <w:t xml:space="preserve"> </w:t>
      </w:r>
      <w:r>
        <w:rPr>
          <w:iCs/>
          <w:i/>
        </w:rPr>
        <w:t xml:space="preserve">Current Opinion in Environmental Sustainability</w:t>
      </w:r>
      <w:r>
        <w:t xml:space="preserve"> </w:t>
      </w:r>
      <w:r>
        <w:t xml:space="preserve">2017,</w:t>
      </w:r>
      <w:r>
        <w:t xml:space="preserve"> </w:t>
      </w:r>
      <w:r>
        <w:rPr>
          <w:bCs/>
          <w:b/>
        </w:rPr>
        <w:t xml:space="preserve">29</w:t>
      </w:r>
      <w:r>
        <w:t xml:space="preserve">:177–186.</w:t>
      </w:r>
    </w:p>
    <w:bookmarkEnd w:id="54"/>
    <w:bookmarkStart w:id="55" w:name="ref-mosleh2009herbivory"/>
    <w:p>
      <w:pPr>
        <w:pStyle w:val="Bibliography"/>
      </w:pPr>
      <w:r>
        <w:t xml:space="preserve">20. Mosleh Arany A, Jong TJ de, Meijden E van der:</w:t>
      </w:r>
      <w:r>
        <w:t xml:space="preserve"> </w:t>
      </w:r>
      <w:r>
        <w:rPr>
          <w:bCs/>
          <w:b/>
        </w:rPr>
        <w:t xml:space="preserve">Herbivory and local genetic differentiation in natural populations of arabidopsis thaliana (brassicaceae)</w:t>
      </w:r>
      <w:r>
        <w:t xml:space="preserve">.</w:t>
      </w:r>
      <w:r>
        <w:t xml:space="preserve"> </w:t>
      </w:r>
      <w:r>
        <w:rPr>
          <w:iCs/>
          <w:i/>
        </w:rPr>
        <w:t xml:space="preserve">Plant Ecology</w:t>
      </w:r>
      <w:r>
        <w:t xml:space="preserve"> </w:t>
      </w:r>
      <w:r>
        <w:t xml:space="preserve">2009,</w:t>
      </w:r>
      <w:r>
        <w:t xml:space="preserve"> </w:t>
      </w:r>
      <w:r>
        <w:rPr>
          <w:bCs/>
          <w:b/>
        </w:rPr>
        <w:t xml:space="preserve">201</w:t>
      </w:r>
      <w:r>
        <w:t xml:space="preserve">:651–659.</w:t>
      </w:r>
    </w:p>
    <w:bookmarkEnd w:id="55"/>
    <w:bookmarkStart w:id="56" w:name="ref-zust2012natural"/>
    <w:p>
      <w:pPr>
        <w:pStyle w:val="Bibliography"/>
      </w:pPr>
      <w:r>
        <w:t xml:space="preserve">21. Züst T, Heichinger C, Grossniklaus U, Harrington R, Kliebenstein DJ, Turnbull LA:</w:t>
      </w:r>
      <w:r>
        <w:t xml:space="preserve"> </w:t>
      </w:r>
      <w:r>
        <w:rPr>
          <w:bCs/>
          <w:b/>
        </w:rPr>
        <w:t xml:space="preserve">Natural enemies drive geographic variation in plant defenses</w:t>
      </w:r>
      <w:r>
        <w:t xml:space="preserve">.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t xml:space="preserve">2012,</w:t>
      </w:r>
      <w:r>
        <w:t xml:space="preserve"> </w:t>
      </w:r>
      <w:r>
        <w:rPr>
          <w:bCs/>
          <w:b/>
        </w:rPr>
        <w:t xml:space="preserve">338</w:t>
      </w:r>
      <w:r>
        <w:t xml:space="preserve">:116–119.</w:t>
      </w:r>
    </w:p>
    <w:bookmarkEnd w:id="56"/>
    <w:bookmarkStart w:id="57" w:name="ref-horton2012genome"/>
    <w:p>
      <w:pPr>
        <w:pStyle w:val="Bibliography"/>
      </w:pPr>
      <w:r>
        <w:t xml:space="preserve">22. Horton MW, Hancock AM, Huang YS, Toomajian C, Atwell S, Auton A, Muliyati NW, Platt A, Sperone FG, Vilhjálmsson BJ, et al.:</w:t>
      </w:r>
      <w:r>
        <w:t xml:space="preserve"> </w:t>
      </w:r>
      <w:r>
        <w:rPr>
          <w:bCs/>
          <w:b/>
        </w:rPr>
        <w:t xml:space="preserve">Genome-wide patterns of genetic variation in worldwide arabidopsis thaliana accessions from the RegMap panel</w:t>
      </w:r>
      <w:r>
        <w:t xml:space="preserve">.</w:t>
      </w:r>
      <w:r>
        <w:t xml:space="preserve"> </w:t>
      </w:r>
      <w:r>
        <w:rPr>
          <w:iCs/>
          <w:i/>
        </w:rPr>
        <w:t xml:space="preserve">Nature Genetics</w:t>
      </w:r>
      <w:r>
        <w:t xml:space="preserve"> </w:t>
      </w:r>
      <w:r>
        <w:t xml:space="preserve">2012,</w:t>
      </w:r>
      <w:r>
        <w:t xml:space="preserve"> </w:t>
      </w:r>
      <w:r>
        <w:rPr>
          <w:bCs/>
          <w:b/>
        </w:rPr>
        <w:t xml:space="preserve">44</w:t>
      </w:r>
      <w:r>
        <w:t xml:space="preserve">:212–216.</w:t>
      </w:r>
    </w:p>
    <w:bookmarkEnd w:id="57"/>
    <w:bookmarkStart w:id="58" w:name="ref-alonso20161"/>
    <w:p>
      <w:pPr>
        <w:pStyle w:val="Bibliography"/>
      </w:pPr>
      <w:r>
        <w:t xml:space="preserve">23. Alonso-Blanco C, Andrade J, Becker C, Bemm F, Bergelson J, Borgwardt KM, Cao J, Chae E, Dezwaan TM, Ding W, et al.:</w:t>
      </w:r>
      <w:r>
        <w:t xml:space="preserve"> </w:t>
      </w:r>
      <w:r>
        <w:rPr>
          <w:bCs/>
          <w:b/>
        </w:rPr>
        <w:t xml:space="preserve">1,135 genomes reveal the global pattern of polymorphism in arabidopsis thaliana</w:t>
      </w:r>
      <w:r>
        <w:t xml:space="preserve">.</w:t>
      </w:r>
      <w:r>
        <w:t xml:space="preserve"> </w:t>
      </w:r>
      <w:r>
        <w:rPr>
          <w:iCs/>
          <w:i/>
        </w:rPr>
        <w:t xml:space="preserve">Cell</w:t>
      </w:r>
      <w:r>
        <w:t xml:space="preserve"> </w:t>
      </w:r>
      <w:r>
        <w:t xml:space="preserve">2016,</w:t>
      </w:r>
      <w:r>
        <w:t xml:space="preserve"> </w:t>
      </w:r>
      <w:r>
        <w:rPr>
          <w:bCs/>
          <w:b/>
        </w:rPr>
        <w:t xml:space="preserve">166</w:t>
      </w:r>
      <w:r>
        <w:t xml:space="preserve">:481–491.</w:t>
      </w:r>
    </w:p>
    <w:bookmarkEnd w:id="58"/>
    <w:bookmarkStart w:id="59" w:name="ref-horton2014genome"/>
    <w:p>
      <w:pPr>
        <w:pStyle w:val="Bibliography"/>
      </w:pPr>
      <w:r>
        <w:t xml:space="preserve">24. Horton MW, Bodenhausen N, Beilsmith K, Meng D, Muegge BD, Subramanian S, Vetter MM, Vilhjálmsson BJ, Nordborg M, Gordon JI, et al.:</w:t>
      </w:r>
      <w:r>
        <w:t xml:space="preserve"> </w:t>
      </w:r>
      <w:r>
        <w:rPr>
          <w:bCs/>
          <w:b/>
        </w:rPr>
        <w:t xml:space="preserve">Genome-wide association study of arabidopsis thaliana leaf microbial community</w:t>
      </w:r>
      <w:r>
        <w:t xml:space="preserve">.</w:t>
      </w:r>
      <w:r>
        <w:t xml:space="preserve"> </w:t>
      </w:r>
      <w:r>
        <w:rPr>
          <w:iCs/>
          <w:i/>
        </w:rPr>
        <w:t xml:space="preserve">Nature communications</w:t>
      </w:r>
      <w:r>
        <w:t xml:space="preserve"> </w:t>
      </w:r>
      <w:r>
        <w:t xml:space="preserve">2014,</w:t>
      </w:r>
      <w:r>
        <w:t xml:space="preserve"> </w:t>
      </w:r>
      <w:r>
        <w:rPr>
          <w:bCs/>
          <w:b/>
        </w:rPr>
        <w:t xml:space="preserve">5</w:t>
      </w:r>
      <w:r>
        <w:t xml:space="preserve">:1–7.</w:t>
      </w:r>
    </w:p>
    <w:bookmarkEnd w:id="59"/>
    <w:bookmarkStart w:id="60" w:name="ref-seren2018gwa"/>
    <w:p>
      <w:pPr>
        <w:pStyle w:val="Bibliography"/>
      </w:pPr>
      <w:r>
        <w:t xml:space="preserve">25. Seren Ü:</w:t>
      </w:r>
      <w:r>
        <w:t xml:space="preserve"> </w:t>
      </w:r>
      <w:r>
        <w:rPr>
          <w:bCs/>
          <w:b/>
        </w:rPr>
        <w:t xml:space="preserve">GWA-portal: Genome-wide association studies made easy</w:t>
      </w:r>
      <w:r>
        <w:t xml:space="preserve">. In</w:t>
      </w:r>
      <w:r>
        <w:t xml:space="preserve"> </w:t>
      </w:r>
      <w:r>
        <w:rPr>
          <w:iCs/>
          <w:i/>
        </w:rPr>
        <w:t xml:space="preserve">Root development</w:t>
      </w:r>
      <w:r>
        <w:t xml:space="preserve">. Springer; 2018:303–319.</w:t>
      </w:r>
    </w:p>
    <w:bookmarkEnd w:id="60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arabidopsis.info/" TargetMode="External" /><Relationship Type="http://schemas.openxmlformats.org/officeDocument/2006/relationships/hyperlink" Id="rId34" Target="https://github.com/citation-style-language/styles" TargetMode="External" /><Relationship Type="http://schemas.openxmlformats.org/officeDocument/2006/relationships/hyperlink" Id="rId25" Target="https://gwas.gmi.oeaw.ac.at" TargetMode="External" /><Relationship Type="http://schemas.openxmlformats.org/officeDocument/2006/relationships/hyperlink" Id="rId26" Target="https://www.arabidopsis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arabidopsis.info/" TargetMode="External" /><Relationship Type="http://schemas.openxmlformats.org/officeDocument/2006/relationships/hyperlink" Id="rId34" Target="https://github.com/citation-style-language/styles" TargetMode="External" /><Relationship Type="http://schemas.openxmlformats.org/officeDocument/2006/relationships/hyperlink" Id="rId25" Target="https://gwas.gmi.oeaw.ac.at" TargetMode="External" /><Relationship Type="http://schemas.openxmlformats.org/officeDocument/2006/relationships/hyperlink" Id="rId26" Target="https://www.arabidopsis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2022-03-01T14:34:57Z</dcterms:created>
  <dcterms:modified xsi:type="dcterms:W3CDTF">2022-03-01T14:34:57Z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sl">
    <vt:lpwstr>biomed-central.csl</vt:lpwstr>
  </property>
  <property fmtid="{D5CDD505-2E9C-101B-9397-08002B2CF9AE}" pid="4" name="output">
    <vt:lpwstr/>
  </property>
</Properties>
</file>