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7d38dfd8de5625a9c97d3e12f5ab5ca376a36"/>
    <w:p>
      <w:pPr>
        <w:pStyle w:val="Heading1"/>
      </w:pPr>
      <w:r>
        <w:t xml:space="preserve">Genome-wide association study highlights escape by delayed growth from aphid herbivory on in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XX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YY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ZZ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Focusing on a single significant peak on the third chromosome, we discovered several growth-related genes and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(AT3G13882).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increasingly recognized as a powerful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[17–20]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usually bloom in spring after over-wintering, some cohorts have overlapped life cycles from spring to autumn</w:t>
      </w:r>
      <w:r>
        <w:t xml:space="preserve"> </w:t>
      </w:r>
      <w:r>
        <w:t xml:space="preserve">[20–22]</w:t>
      </w:r>
      <w:r>
        <w:t xml:space="preserve">. When plants emerge from late spring to early summer, they are threatened by various herbivores, such as aphids and beetles</w:t>
      </w:r>
      <w:r>
        <w:t xml:space="preserve"> </w:t>
      </w:r>
      <w:r>
        <w:t xml:space="preserve">[10, 23]</w:t>
      </w:r>
      <w:r>
        <w:t xml:space="preserve">. Of the diverse insect herbivores, aphids are a major herbivore occurring across a natural distribution range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[24]</w:t>
      </w:r>
      <w:r>
        <w:t xml:space="preserve">. Because aphids often suck phloem saps from flowering stems, we hypothesized that plant life-history traits may play a key role in aphid colonization in the field.</w:t>
      </w:r>
    </w:p>
    <w:p>
      <w:pPr>
        <w:pStyle w:val="BodyText"/>
      </w:pPr>
      <w:r>
        <w:t xml:space="preserve">To reveal the genetic architecture of aphid herbivory, we combined GWAS and mutant analysis in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We first conducted GWAS of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Near a GWAS peak,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as well as several known genes involved in delayed growth. To further validate the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34" w:name="materials-methods"/>
    <w:p>
      <w:pPr>
        <w:pStyle w:val="Heading1"/>
      </w:pPr>
      <w:r>
        <w:t xml:space="preserve">Materials &amp; Methods</w:t>
      </w:r>
    </w:p>
    <w:bookmarkStart w:id="29" w:name="X5e0380377130d4629c36ab6ef9a8d301dd2199b"/>
    <w:p>
      <w:pPr>
        <w:pStyle w:val="Heading2"/>
      </w:pPr>
      <w:r>
        <w:t xml:space="preserve">Field GWAS (</w:t>
      </w:r>
      <w:r>
        <w:rPr>
          <w:iCs/>
          <w:i/>
        </w:rPr>
        <w:t xml:space="preserve">Yasu will fill in this section</w:t>
      </w:r>
      <w:r>
        <w:t xml:space="preserve">).</w:t>
      </w:r>
    </w:p>
    <w:bookmarkStart w:id="23" w:name="plants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We selected 196 accessions from RegMap</w:t>
      </w:r>
      <w:r>
        <w:t xml:space="preserve"> </w:t>
      </w:r>
      <w:r>
        <w:t xml:space="preserve">[25]</w:t>
      </w:r>
      <w:r>
        <w:t xml:space="preserve"> </w:t>
      </w:r>
      <w:r>
        <w:t xml:space="preserve">and 1001 Genomes</w:t>
      </w:r>
      <w:r>
        <w:t xml:space="preserve"> </w:t>
      </w:r>
      <w:r>
        <w:t xml:space="preserve">[26]</w:t>
      </w:r>
      <w:r>
        <w:t xml:space="preserve"> </w:t>
      </w:r>
      <w:r>
        <w:t xml:space="preserve">projects, most of which were overlapped with previous GWAS of biotic interaction</w:t>
      </w:r>
      <w:r>
        <w:t xml:space="preserve"> </w:t>
      </w:r>
      <w:r>
        <w:t xml:space="preserve">[27]</w:t>
      </w:r>
      <w:r>
        <w:t xml:space="preserve">. The list of accessions are available in a supplementary material.</w:t>
      </w:r>
    </w:p>
    <w:bookmarkEnd w:id="23"/>
    <w:bookmarkStart w:id="24" w:name="field-experiments"/>
    <w:p>
      <w:pPr>
        <w:pStyle w:val="Heading3"/>
      </w:pPr>
      <w:r>
        <w:t xml:space="preserve">Field experiments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4"/>
    <w:bookmarkStart w:id="28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GWAS was performed using the GWA-portal website (</w:t>
      </w:r>
      <w:hyperlink r:id="rId25">
        <w:r>
          <w:rPr>
            <w:rStyle w:val="Hyperlink"/>
          </w:rPr>
          <w:t xml:space="preserve">https://gwas.gmi.oeaw.ac.at</w:t>
        </w:r>
      </w:hyperlink>
      <w:r>
        <w:t xml:space="preserve">)</w:t>
      </w:r>
      <w:r>
        <w:t xml:space="preserve"> </w:t>
      </w:r>
      <w:r>
        <w:t xml:space="preserve">[28]</w:t>
      </w:r>
      <w:r>
        <w:t xml:space="preserve">. Target phenotypes were the total number of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Brevicoryne brassicae</w:t>
      </w:r>
      <w:r>
        <w:t xml:space="preserve"> </w:t>
      </w:r>
      <w:r>
        <w:t xml:space="preserve">per plant; or presence (1) or absense (0) of bolting. The imputed fullsequence dataset were chosen as SNP data for the 196 accessions.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for each target phenotype before association mapping. Accelerated mixed models were used for association mapping with a correction of kinship structure. The genome-wide significance level was given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with Bonferroni correction of multiple testing. The number of aphids was log(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)-transformed to improve normality. Input phenotype data are available as a supplementary material. After the association mapping, candidate genes were searched within ca. 10 kb near a focal SNP. To estimate gene functions from gene expression information, we used the Arabidopsis eFP browser</w:t>
      </w:r>
      <w:r>
        <w:t xml:space="preserve"> </w:t>
      </w:r>
      <w:r>
        <w:t xml:space="preserve">[29]</w:t>
      </w:r>
      <w:r>
        <w:t xml:space="preserve">, 1001 transcriptome data</w:t>
      </w:r>
      <w:r>
        <w:t xml:space="preserve"> </w:t>
      </w:r>
      <w:r>
        <w:t xml:space="preserve">[30]</w:t>
      </w:r>
      <w:r>
        <w:t xml:space="preserve">, and ATTED-II coexpression database</w:t>
      </w:r>
      <w:r>
        <w:t xml:space="preserve"> </w:t>
      </w:r>
      <w:r>
        <w:t xml:space="preserve">[31]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https://atted.jp/</w:t>
        </w:r>
      </w:hyperlink>
      <w:r>
        <w:t xml:space="preserve">).</w:t>
      </w:r>
    </w:p>
    <w:p>
      <w:pPr>
        <w:pStyle w:val="BodyText"/>
      </w:pPr>
      <w:r>
        <w:t xml:space="preserve">Gene ontology enrichment analysis was performed for the results of GWA-portal. xxxx. To deal with statistical non-independence of SNPs, we employed an unbiased GO analysis implemented in the Gowinda program. The cut-off value of minor allele frequency (MAF) was set at 0.025 for the entire SNP set, and SNPs having the top 1% value of -log</w:t>
      </w:r>
      <w:r>
        <w:t xml:space="preserve">10</w:t>
      </w:r>
      <w:r>
        <w:t xml:space="preserve">(</w:t>
      </w:r>
      <m:oMath>
        <m:r>
          <m:t>p</m:t>
        </m:r>
      </m:oMath>
      <w:r>
        <w:t xml:space="preserve">) were tested against the entire set. The latest gene feature format (GFF) and GO slim annotation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downloaded from The Arabidopsis Information Resource (TAIR) (</w:t>
      </w:r>
      <w:hyperlink r:id="rId27">
        <w:r>
          <w:rPr>
            <w:rStyle w:val="Hyperlink"/>
          </w:rPr>
          <w:t xml:space="preserve">https://www.arabidopsis.org/</w:t>
        </w:r>
      </w:hyperlink>
      <w:r>
        <w:t xml:space="preserve">). The Gowinda program was run with the key arguments of –simulations 1000000 –min-significance 1 –gene-definition updownstream1000 –mode gene –min-genes 2.</w:t>
      </w:r>
    </w:p>
    <w:bookmarkEnd w:id="28"/>
    <w:bookmarkEnd w:id="29"/>
    <w:bookmarkStart w:id="33" w:name="X7b8aa24ec221e18917c6e03e910c1c5b2cf9971"/>
    <w:p>
      <w:pPr>
        <w:pStyle w:val="Heading2"/>
      </w:pPr>
      <w:r>
        <w:t xml:space="preserve">Mutant analysis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1" w:name="plants-1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T-DNA insertion lines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obtained from the Nottingham Arabidopsis Stock Centre (NASC) (</w:t>
      </w:r>
      <w:hyperlink r:id="rId30">
        <w:r>
          <w:rPr>
            <w:rStyle w:val="Hyperlink"/>
          </w:rPr>
          <w:t xml:space="preserve">https://arabidopsis.info/</w:t>
        </w:r>
      </w:hyperlink>
      <w:r>
        <w:t xml:space="preserve">).</w:t>
      </w:r>
    </w:p>
    <w:p>
      <w:pPr>
        <w:pStyle w:val="BodyText"/>
      </w:pPr>
      <w:r>
        <w:t xml:space="preserve">Please describe</w:t>
      </w:r>
      <w:r>
        <w:br/>
      </w:r>
      <w:r>
        <w:t xml:space="preserve">- which lines did you order?</w:t>
      </w:r>
      <w:r>
        <w:br/>
      </w:r>
      <w:r>
        <w:t xml:space="preserve">- how did you confirm the knockout mutations?</w:t>
      </w:r>
      <w:r>
        <w:br/>
      </w:r>
      <w:r>
        <w:t xml:space="preserve">- how many times did you backcross?</w:t>
      </w:r>
    </w:p>
    <w:bookmarkEnd w:id="31"/>
    <w:bookmarkStart w:id="32" w:name="bioassay"/>
    <w:p>
      <w:pPr>
        <w:pStyle w:val="Heading3"/>
      </w:pPr>
      <w:r>
        <w:t xml:space="preserve">Bioassay</w:t>
      </w:r>
    </w:p>
    <w:p>
      <w:pPr>
        <w:pStyle w:val="FirstParagraph"/>
      </w:pPr>
      <w:r>
        <w:t xml:space="preserve">Please describe</w:t>
      </w:r>
      <w:r>
        <w:br/>
      </w:r>
      <w:r>
        <w:t xml:space="preserve">- what species of aphids did you use?</w:t>
      </w:r>
      <w:r>
        <w:br/>
      </w:r>
      <w:r>
        <w:t xml:space="preserve">- how did you cultivate plants?</w:t>
      </w:r>
      <w:r>
        <w:br/>
      </w:r>
      <w:r>
        <w:t xml:space="preserve">- how did you construct the experimental arena?</w:t>
      </w:r>
      <w:r>
        <w:br/>
      </w:r>
      <w:r>
        <w:t xml:space="preserve">- how did you record the number of aphids?</w:t>
      </w:r>
    </w:p>
    <w:bookmarkEnd w:id="32"/>
    <w:bookmarkEnd w:id="33"/>
    <w:bookmarkEnd w:id="34"/>
    <w:bookmarkStart w:id="39" w:name="results"/>
    <w:p>
      <w:pPr>
        <w:pStyle w:val="Heading1"/>
      </w:pPr>
      <w:r>
        <w:t xml:space="preserve">Results</w:t>
      </w:r>
    </w:p>
    <w:bookmarkStart w:id="35" w:name="X5239f2db0727c129bcc037390d9d7fa7aea7bba"/>
    <w:p>
      <w:pPr>
        <w:pStyle w:val="Heading2"/>
      </w:pPr>
      <w:r>
        <w:t xml:space="preserve">Field GWAS of the aphid abundance (</w:t>
      </w:r>
      <w:r>
        <w:rPr>
          <w:iCs/>
          <w:i/>
        </w:rPr>
        <w:t xml:space="preserve">Yasu will fill in this section</w:t>
      </w:r>
      <w:r>
        <w:t xml:space="preserve">)</w:t>
      </w:r>
    </w:p>
    <w:p>
      <w:pPr>
        <w:pStyle w:val="FirstParagraph"/>
      </w:pPr>
      <w:r>
        <w:t xml:space="preserve">Bolting: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near to 1.0; log_BbLe_max: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0.7; log_BbLe_sum: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0.71.</w:t>
      </w:r>
    </w:p>
    <w:bookmarkEnd w:id="35"/>
    <w:bookmarkStart w:id="38" w:name="Xe30e8a75d5028525a80bbffb3232d48a5f9cfdf"/>
    <w:p>
      <w:pPr>
        <w:pStyle w:val="Heading2"/>
      </w:pPr>
      <w:r>
        <w:t xml:space="preserve">Mutant analysis in a laboratory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6" w:name="Xcf72299c1ae67b676e172182bac0d5f8f113028"/>
    <w:p>
      <w:pPr>
        <w:pStyle w:val="Heading3"/>
      </w:pPr>
      <w:r>
        <w:t xml:space="preserve">Growth and flowering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</w:t>
      </w:r>
    </w:p>
    <w:bookmarkEnd w:id="36"/>
    <w:bookmarkStart w:id="37" w:name="aphid-attachment-experiments"/>
    <w:p>
      <w:pPr>
        <w:pStyle w:val="Heading3"/>
      </w:pPr>
      <w:r>
        <w:t xml:space="preserve">Aphid attachment experiments</w:t>
      </w:r>
    </w:p>
    <w:bookmarkEnd w:id="37"/>
    <w:bookmarkEnd w:id="38"/>
    <w:bookmarkEnd w:id="39"/>
    <w:bookmarkStart w:id="40" w:name="X4a2df4070d0709f24e3e39d394fa98f7522c687"/>
    <w:p>
      <w:pPr>
        <w:pStyle w:val="Heading1"/>
      </w:pPr>
      <w:r>
        <w:t xml:space="preserve">Discussion (not yet written, combined Results &amp; Discussion possible)</w:t>
      </w:r>
    </w:p>
    <w:p>
      <w:pPr>
        <w:pStyle w:val="FirstParagraph"/>
      </w:pPr>
      <w:r>
        <w:t xml:space="preserve">possible topics</w:t>
      </w:r>
      <w:r>
        <w:br/>
      </w:r>
      <w:r>
        <w:t xml:space="preserve">- ecological discussion on the genetic basis of phenological escape from herbivory</w:t>
      </w:r>
      <w:r>
        <w:br/>
      </w:r>
      <w:r>
        <w:t xml:space="preserve">- side effects of ribosomal genes on plant growth (Takashi &amp; Hiro’s papers)</w:t>
      </w:r>
      <w:r>
        <w:br/>
      </w:r>
      <w:r>
        <w:t xml:space="preserve">- caveats on other candidates near the GWAS peak</w:t>
      </w:r>
      <w:r>
        <w:br/>
      </w:r>
      <w:r>
        <w:t xml:space="preserve">- summary or concluding paragraph</w:t>
      </w:r>
    </w:p>
    <w:bookmarkEnd w:id="40"/>
    <w:bookmarkStart w:id="73" w:name="references"/>
    <w:p>
      <w:pPr>
        <w:pStyle w:val="Heading1"/>
      </w:pPr>
      <w:r>
        <w:t xml:space="preserve">References</w:t>
      </w:r>
    </w:p>
    <w:bookmarkStart w:id="72" w:name="refs"/>
    <w:bookmarkStart w:id="41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41"/>
    <w:bookmarkStart w:id="42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42"/>
    <w:bookmarkStart w:id="43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43"/>
    <w:bookmarkStart w:id="44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44"/>
    <w:bookmarkStart w:id="45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45"/>
    <w:bookmarkStart w:id="46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46"/>
    <w:bookmarkStart w:id="47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47"/>
    <w:bookmarkStart w:id="48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48"/>
    <w:bookmarkStart w:id="49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49"/>
    <w:bookmarkStart w:id="50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50"/>
    <w:bookmarkStart w:id="51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51"/>
    <w:bookmarkStart w:id="52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52"/>
    <w:bookmarkStart w:id="53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53"/>
    <w:bookmarkStart w:id="54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54"/>
    <w:bookmarkStart w:id="55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55"/>
    <w:bookmarkStart w:id="56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56"/>
    <w:bookmarkStart w:id="57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57"/>
    <w:bookmarkStart w:id="58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58"/>
    <w:bookmarkStart w:id="59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59"/>
    <w:bookmarkStart w:id="60" w:name="ref-stockenhuber2021uv"/>
    <w:p>
      <w:pPr>
        <w:pStyle w:val="Bibliography"/>
      </w:pPr>
      <w:r>
        <w:t xml:space="preserve">20. Stockenhuber R, Akiyama R, Tissot N, Yamazaki M, Wyler M, Arongaus AB, Podolec R, Sato Y, Milosavljevic S, Widmer A, et al.:</w:t>
      </w:r>
      <w:r>
        <w:t xml:space="preserve"> </w:t>
      </w:r>
      <w:r>
        <w:rPr>
          <w:bCs/>
          <w:b/>
        </w:rPr>
        <w:t xml:space="preserve">The UV RESISTANCE LOCUS 8-mediated UV-b response is required alongside CRYPTOCHROME1 for plant survival under sunlight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2021.</w:t>
      </w:r>
    </w:p>
    <w:bookmarkEnd w:id="60"/>
    <w:bookmarkStart w:id="61" w:name="ref-thompson1994spatiotemporal"/>
    <w:p>
      <w:pPr>
        <w:pStyle w:val="Bibliography"/>
      </w:pPr>
      <w:r>
        <w:t xml:space="preserve">21. Thompson L:</w:t>
      </w:r>
      <w:r>
        <w:t xml:space="preserve"> </w:t>
      </w:r>
      <w:r>
        <w:rPr>
          <w:bCs/>
          <w:b/>
        </w:rPr>
        <w:t xml:space="preserve">The spatiotemporal effects of nitrogen and litter on the population dynamics of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Ecology</w:t>
      </w:r>
      <w:r>
        <w:t xml:space="preserve"> </w:t>
      </w:r>
      <w:r>
        <w:t xml:space="preserve">1994:63–68.</w:t>
      </w:r>
    </w:p>
    <w:bookmarkEnd w:id="61"/>
    <w:bookmarkStart w:id="62" w:name="ref-taylor2017interacting"/>
    <w:p>
      <w:pPr>
        <w:pStyle w:val="Bibliography"/>
      </w:pPr>
      <w:r>
        <w:t xml:space="preserve">22. Taylor MA, Cooper MD, Sellamuthu R, Braun P, Migneault A, Browning A, Perry E, Schmitt J:</w:t>
      </w:r>
      <w:r>
        <w:t xml:space="preserve"> </w:t>
      </w:r>
      <w:r>
        <w:rPr>
          <w:bCs/>
          <w:b/>
        </w:rPr>
        <w:t xml:space="preserve">Interacting effects of genetic variation for seed dormancy and flowering time on phenology, life history, and fitness of experimental arabidopsis thaliana populations over multiple generations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216</w:t>
      </w:r>
      <w:r>
        <w:t xml:space="preserve">:291–302.</w:t>
      </w:r>
    </w:p>
    <w:bookmarkEnd w:id="62"/>
    <w:bookmarkStart w:id="63" w:name="ref-mosleh2009herbivory"/>
    <w:p>
      <w:pPr>
        <w:pStyle w:val="Bibliography"/>
      </w:pPr>
      <w:r>
        <w:t xml:space="preserve">23.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63"/>
    <w:bookmarkStart w:id="64" w:name="ref-zust2012natural"/>
    <w:p>
      <w:pPr>
        <w:pStyle w:val="Bibliography"/>
      </w:pPr>
      <w:r>
        <w:t xml:space="preserve">24.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64"/>
    <w:bookmarkStart w:id="65" w:name="ref-horton2012genome"/>
    <w:p>
      <w:pPr>
        <w:pStyle w:val="Bibliography"/>
      </w:pPr>
      <w:r>
        <w:t xml:space="preserve">25. Horton MW, Hancock AM, Huang YS, Toomajian C, Atwell S, Auton A, Muliyati NW, Platt A, Sperone FG, Vilhjálmsson BJ, et al.:</w:t>
      </w:r>
      <w:r>
        <w:t xml:space="preserve"> </w:t>
      </w:r>
      <w:r>
        <w:rPr>
          <w:bCs/>
          <w:b/>
        </w:rPr>
        <w:t xml:space="preserve">Genome-wide patterns of genetic variation in worldwide arabidopsis thaliana accessions from the RegMap panel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44</w:t>
      </w:r>
      <w:r>
        <w:t xml:space="preserve">:212–216.</w:t>
      </w:r>
    </w:p>
    <w:bookmarkEnd w:id="65"/>
    <w:bookmarkStart w:id="66" w:name="ref-alonso20161"/>
    <w:p>
      <w:pPr>
        <w:pStyle w:val="Bibliography"/>
      </w:pPr>
      <w:r>
        <w:t xml:space="preserve">26. Alonso-Blanco C, Andrade J, Becker C, Bemm F, Bergelson J, Borgwardt KM, Cao J, Chae E, Dezwaan TM, Ding W, et al.:</w:t>
      </w:r>
      <w:r>
        <w:t xml:space="preserve"> </w:t>
      </w:r>
      <w:r>
        <w:rPr>
          <w:bCs/>
          <w:b/>
        </w:rPr>
        <w:t xml:space="preserve">1,135 genomes reveal the global pattern of polymorphism in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:481–491.</w:t>
      </w:r>
    </w:p>
    <w:bookmarkEnd w:id="66"/>
    <w:bookmarkStart w:id="67" w:name="ref-horton2014genome"/>
    <w:p>
      <w:pPr>
        <w:pStyle w:val="Bibliography"/>
      </w:pPr>
      <w:r>
        <w:t xml:space="preserve">27. Horton MW, Bodenhausen N, Beilsmith K, Meng D, Muegge BD, Subramanian S, Vetter MM, Vilhjálmsson BJ, Nordborg M, Gordon JI, et al.:</w:t>
      </w:r>
      <w:r>
        <w:t xml:space="preserve"> </w:t>
      </w:r>
      <w:r>
        <w:rPr>
          <w:bCs/>
          <w:b/>
        </w:rPr>
        <w:t xml:space="preserve">Genome-wide association study of arabidopsis thaliana leaf microbial community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2014,</w:t>
      </w:r>
      <w:r>
        <w:t xml:space="preserve"> </w:t>
      </w:r>
      <w:r>
        <w:rPr>
          <w:bCs/>
          <w:b/>
        </w:rPr>
        <w:t xml:space="preserve">5</w:t>
      </w:r>
      <w:r>
        <w:t xml:space="preserve">:1–7.</w:t>
      </w:r>
    </w:p>
    <w:bookmarkEnd w:id="67"/>
    <w:bookmarkStart w:id="68" w:name="ref-seren2018gwa"/>
    <w:p>
      <w:pPr>
        <w:pStyle w:val="Bibliography"/>
      </w:pPr>
      <w:r>
        <w:t xml:space="preserve">28. Seren Ü:</w:t>
      </w:r>
      <w:r>
        <w:t xml:space="preserve"> </w:t>
      </w:r>
      <w:r>
        <w:rPr>
          <w:bCs/>
          <w:b/>
        </w:rPr>
        <w:t xml:space="preserve">GWA-portal: Genome-wide association studies made easy</w:t>
      </w:r>
      <w:r>
        <w:t xml:space="preserve">. In</w:t>
      </w:r>
      <w:r>
        <w:t xml:space="preserve"> </w:t>
      </w:r>
      <w:r>
        <w:rPr>
          <w:iCs/>
          <w:i/>
        </w:rPr>
        <w:t xml:space="preserve">Root development</w:t>
      </w:r>
      <w:r>
        <w:t xml:space="preserve">. Springer; 2018:303–319.</w:t>
      </w:r>
    </w:p>
    <w:bookmarkEnd w:id="68"/>
    <w:bookmarkStart w:id="69" w:name="ref-winter2007electronic"/>
    <w:p>
      <w:pPr>
        <w:pStyle w:val="Bibliography"/>
      </w:pPr>
      <w:r>
        <w:t xml:space="preserve">29. Winter D, Vinegar B, Nahal H, Ammar R, Wilson GV, Provart NJ:</w:t>
      </w:r>
      <w:r>
        <w:t xml:space="preserve"> </w:t>
      </w:r>
      <w:r>
        <w:rPr>
          <w:bCs/>
          <w:b/>
        </w:rPr>
        <w:t xml:space="preserve">An</w:t>
      </w:r>
      <w:r>
        <w:rPr>
          <w:bCs/>
          <w:b/>
        </w:rPr>
        <w:t xml:space="preserve"> </w:t>
      </w:r>
      <w:r>
        <w:rPr>
          <w:bCs/>
          <w:b/>
        </w:rPr>
        <w:t xml:space="preserve">“electronic fluorescent pictograph”</w:t>
      </w:r>
      <w:r>
        <w:rPr>
          <w:bCs/>
          <w:b/>
        </w:rPr>
        <w:t xml:space="preserve"> </w:t>
      </w:r>
      <w:r>
        <w:rPr>
          <w:bCs/>
          <w:b/>
        </w:rPr>
        <w:t xml:space="preserve">browser for exploring and analyzing large-scale biological data sets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2007,</w:t>
      </w:r>
      <w:r>
        <w:t xml:space="preserve"> </w:t>
      </w:r>
      <w:r>
        <w:rPr>
          <w:bCs/>
          <w:b/>
        </w:rPr>
        <w:t xml:space="preserve">2</w:t>
      </w:r>
      <w:r>
        <w:t xml:space="preserve">:e718.</w:t>
      </w:r>
    </w:p>
    <w:bookmarkEnd w:id="69"/>
    <w:bookmarkStart w:id="70" w:name="ref-kawakatsu2016epigenomic"/>
    <w:p>
      <w:pPr>
        <w:pStyle w:val="Bibliography"/>
      </w:pPr>
      <w:r>
        <w:t xml:space="preserve">30. Kawakatsu T, Huang SC, Jupe F, Sasaki E, Schmitz RJ, Urich MA, Castanon R, Nery JR, Barragan C, He Y, et al.:</w:t>
      </w:r>
      <w:r>
        <w:t xml:space="preserve"> </w:t>
      </w:r>
      <w:r>
        <w:rPr>
          <w:bCs/>
          <w:b/>
        </w:rPr>
        <w:t xml:space="preserve">Epigenomic diversity in a global collection of arabidopsis thaliana accessions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:492–505.</w:t>
      </w:r>
    </w:p>
    <w:bookmarkEnd w:id="70"/>
    <w:bookmarkStart w:id="71" w:name="ref-obayashi2018atted"/>
    <w:p>
      <w:pPr>
        <w:pStyle w:val="Bibliography"/>
      </w:pPr>
      <w:r>
        <w:t xml:space="preserve">31. Obayashi T, Aoki Y, Tadaka S, Kagaya Y, Kinoshita K:</w:t>
      </w:r>
      <w:r>
        <w:t xml:space="preserve"> </w:t>
      </w:r>
      <w:r>
        <w:rPr>
          <w:bCs/>
          <w:b/>
        </w:rPr>
        <w:t xml:space="preserve">ATTED-II in 2018: A plant coexpression database based on investigation of the statistical property of the mutual rank index</w:t>
      </w:r>
      <w:r>
        <w:t xml:space="preserve">.</w:t>
      </w:r>
      <w:r>
        <w:t xml:space="preserve"> </w:t>
      </w:r>
      <w:r>
        <w:rPr>
          <w:iCs/>
          <w:i/>
        </w:rPr>
        <w:t xml:space="preserve">Plant and Cell Physiology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59</w:t>
      </w:r>
      <w:r>
        <w:t xml:space="preserve">:e3–e3.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2022-03-04T10:08:26Z</dcterms:created>
  <dcterms:modified xsi:type="dcterms:W3CDTF">2022-03-04T10:08:26Z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