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df" ContentType="application/pdf"/>
  <Override PartName="/word/media/rId52.png" ContentType="image/png"/>
  <Override PartName="/word/media/rId43.png" ContentType="image/png"/>
  <Override PartName="/word/media/rId47.pdf" ContentType="application/pdf"/>
  <Override PartName="/word/media/rId5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7c28c19ad7ac91479f496449a3606ae2677825"/>
    <w:p>
      <w:pPr>
        <w:pStyle w:val="Heading1"/>
      </w:pPr>
      <w:r>
        <w:t xml:space="preserve">Genome-wide association study highlights escape from aphids by delayed growth in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abstract"/>
    <w:p>
      <w:pPr>
        <w:pStyle w:val="Heading1"/>
      </w:pPr>
      <w:r>
        <w:t xml:space="preserve">Abstract</w:t>
      </w:r>
    </w:p>
    <w:p>
      <w:pPr>
        <w:pStyle w:val="FirstParagraph"/>
      </w:pPr>
      <w:r>
        <w:t xml:space="preserve">Growing number of ecological studies have shown that plant phenological and architectural traits modulate herbivore colonization to host plants, but their key genes remain largely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a mutant of the putative ribosomal gene (AT3G13882) exhibited far slower growth and later flowering than Col-0 under a long-day condition in a laboratory. Our laboratory experiment further showed that the turnip aphid</w:t>
      </w:r>
      <w:r>
        <w:t xml:space="preserve"> </w:t>
      </w:r>
      <w:r>
        <w:rPr>
          <w:iCs/>
          <w:i/>
        </w:rPr>
        <w:t xml:space="preserve">Lipaphis erysimi</w:t>
      </w:r>
      <w:r>
        <w:t xml:space="preserve"> </w:t>
      </w:r>
      <w:r>
        <w:t xml:space="preserve">failed to colonize on the mutant of AT3G13882 due to its small size. These findings suggest that side effects of growth-related genes may play a more critical role in interspecific interactions under field conditions 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[2,3]</w:t>
      </w:r>
      <w:r>
        <w:t xml:space="preserve">. For example, phenological changes can allow plants to escape from seasonal herbivory</w:t>
      </w:r>
      <w:r>
        <w:t xml:space="preserve"> </w:t>
      </w:r>
      <w:r>
        <w:t xml:space="preserve">[4,5]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only a few key genes have been identified so far</w:t>
      </w:r>
      <w:r>
        <w:t xml:space="preserve"> </w:t>
      </w:r>
      <w:r>
        <w:t xml:space="preserve">[11]</w:t>
      </w:r>
      <w:r>
        <w:t xml:space="preserve">.</w:t>
      </w:r>
    </w:p>
    <w:p>
      <w:pPr>
        <w:pStyle w:val="BodyText"/>
      </w:pPr>
      <w:r>
        <w:t xml:space="preserve">Genome-wide association study (GWAS) is increasingly recognized as a powerful approach to dissect the genetic architecture of ecologically important traits</w:t>
      </w:r>
      <w:r>
        <w:t xml:space="preserve"> </w:t>
      </w:r>
      <w:r>
        <w:t xml:space="preserve">[12,13]</w:t>
      </w:r>
      <w:r>
        <w:t xml:space="preserve"> </w:t>
      </w:r>
      <w:r>
        <w:t xml:space="preserve">and identify novel genes from natural phenotypic variation</w:t>
      </w:r>
      <w:r>
        <w:t xml:space="preserve"> </w:t>
      </w:r>
      <w:r>
        <w:t xml:space="preserve">[14,15]</w:t>
      </w:r>
      <w:r>
        <w:t xml:space="preserve">. However, field studies have suggested that controlled laboratory conditions unlikely reflect outdoor environments where interspecific interactions typically occur</w:t>
      </w:r>
      <w:r>
        <w:t xml:space="preserve"> </w:t>
      </w:r>
      <w:r>
        <w:t xml:space="preserve">[16,17]</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[18–21]</w:t>
      </w:r>
      <w:r>
        <w:t xml:space="preserve">. For</w:t>
      </w:r>
      <w:r>
        <w:t xml:space="preserve"> </w:t>
      </w:r>
      <w:r>
        <w:rPr>
          <w:iCs/>
          <w:i/>
        </w:rPr>
        <w:t xml:space="preserve">in natura</w:t>
      </w:r>
      <w:r>
        <w:t xml:space="preserve"> </w:t>
      </w:r>
      <w:r>
        <w:t xml:space="preserve">understandings of functional genes involved in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[21–23]</w:t>
      </w:r>
      <w:r>
        <w:t xml:space="preserve">. When plants emerge from late spring to early summer, they are threatened by various herbivores, such as aphids and beetles</w:t>
      </w:r>
      <w:r>
        <w:t xml:space="preserve"> </w:t>
      </w:r>
      <w:r>
        <w:t xml:space="preserve">[10,24]</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[25]</w:t>
      </w:r>
      <w:r>
        <w:t xml:space="preserve">. Because aphids often suck phloem saps from flowering stems, we hypothesized that plant life-history traits may play a key role in aphid colonization in the field.</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We observed several known genes involved in delayed growth, in addition to candidate genes with unknown functions, near a peak of GWAS. To further test the candidate genes, we then cultivated and released the turnip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w:t>
      </w:r>
    </w:p>
    <w:bookmarkEnd w:id="22"/>
    <w:bookmarkStart w:id="34" w:name="materials-methods"/>
    <w:p>
      <w:pPr>
        <w:pStyle w:val="Heading1"/>
      </w:pPr>
      <w:r>
        <w:t xml:space="preserve">Materials &amp; Methods</w:t>
      </w:r>
    </w:p>
    <w:bookmarkStart w:id="28" w:name="field-gwas"/>
    <w:p>
      <w:pPr>
        <w:pStyle w:val="Heading2"/>
      </w:pPr>
      <w:r>
        <w:t xml:space="preserve">Field GWAS</w:t>
      </w:r>
    </w:p>
    <w:bookmarkStart w:id="23" w:name="plant-genotypes"/>
    <w:p>
      <w:pPr>
        <w:pStyle w:val="Heading3"/>
      </w:pPr>
      <w:r>
        <w:t xml:space="preserve">Plant genotypes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[26]</w:t>
      </w:r>
      <w:r>
        <w:t xml:space="preserve"> </w:t>
      </w:r>
      <w:r>
        <w:t xml:space="preserve">and 1001 Genomes</w:t>
      </w:r>
      <w:r>
        <w:t xml:space="preserve"> </w:t>
      </w:r>
      <w:r>
        <w:t xml:space="preserve">[27]</w:t>
      </w:r>
      <w:r>
        <w:t xml:space="preserve"> </w:t>
      </w:r>
      <w:r>
        <w:t xml:space="preserve">projects, most of which were overlapped with previous GWAS of biotic interaction</w:t>
      </w:r>
      <w:r>
        <w:t xml:space="preserve"> </w:t>
      </w:r>
      <w:r>
        <w:t xml:space="preserve">[28]</w:t>
      </w:r>
      <w:r>
        <w:t xml:space="preserve">. The accession list and phenotypes are available in Table S1.</w:t>
      </w:r>
    </w:p>
    <w:bookmarkEnd w:id="23"/>
    <w:bookmarkStart w:id="24" w:name="field-experiment"/>
    <w:p>
      <w:pPr>
        <w:pStyle w:val="Heading3"/>
      </w:pPr>
      <w:r>
        <w:t xml:space="preserve">Field experiment</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mixed soils of agricultural composts (Profi Substrat Classic CL ED73, Einheitserde Co.) and perlites with a compost to perlite ratio of 3:1 litter volume. The potted plants were then transferred to the outdoor garden at the University of Zurich-Irchel (Zurich, Switzerland; 47</w:t>
      </w:r>
      <m:oMath>
        <m:sSup>
          <m:e>
            <m:r>
              <m:t>​</m:t>
            </m:r>
          </m:e>
          <m:sup>
            <m:r>
              <m:rPr>
                <m:sty m:val="p"/>
              </m:rPr>
              <m:t>∘</m:t>
            </m:r>
          </m:sup>
        </m:sSup>
      </m:oMath>
      <w:r>
        <w:t xml:space="preserve"> </w:t>
      </w:r>
      <w:r>
        <w:t xml:space="preserve">23’N, 8</w:t>
      </w:r>
      <m:oMath>
        <m:sSup>
          <m:e>
            <m:r>
              <m:t>​</m:t>
            </m:r>
          </m:e>
          <m:sup>
            <m:r>
              <m:rPr>
                <m:sty m:val="p"/>
              </m:rPr>
              <m:t>∘</m:t>
            </m:r>
          </m:sup>
        </m:sSup>
      </m:oMath>
      <w:r>
        <w:t xml:space="preserve"> </w:t>
      </w:r>
      <w:r>
        <w:t xml:space="preserve">33’E).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7"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[29]</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[30]</w:t>
      </w:r>
      <w:r>
        <w:t xml:space="preserve">. The cut-off value of minor allele frequency (MAF) was set at 0.025 for the entire SNP set, leaving 2,500,979 SNPs in total. SNPs having the top 1% value of -log</w:t>
      </w:r>
      <w:r>
        <w:t xml:space="preserve">10</w:t>
      </w:r>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6">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7"/>
    <w:bookmarkEnd w:id="28"/>
    <w:bookmarkStart w:id="33" w:name="mutant-analysis"/>
    <w:p>
      <w:pPr>
        <w:pStyle w:val="Heading2"/>
      </w:pPr>
      <w:r>
        <w:t xml:space="preserve">Mutant analysis</w:t>
      </w:r>
    </w:p>
    <w:bookmarkStart w:id="30" w:name="arabidopsis-thaliana-mutants"/>
    <w:p>
      <w:pPr>
        <w:pStyle w:val="Heading3"/>
      </w:pPr>
      <w:r>
        <w:rPr>
          <w:iCs/>
          <w:i/>
        </w:rPr>
        <w:t xml:space="preserve">Arabidopsis thaliana</w:t>
      </w:r>
      <w:r>
        <w:t xml:space="preserve"> </w:t>
      </w:r>
      <w:r>
        <w:t xml:space="preserve">mutants</w:t>
      </w:r>
    </w:p>
    <w:p>
      <w:pPr>
        <w:pStyle w:val="FirstParagraph"/>
      </w:pPr>
      <w:r>
        <w:t xml:space="preserve">T-DNA sequence-indexed lines of</w:t>
      </w:r>
      <w:r>
        <w:t xml:space="preserve"> </w:t>
      </w:r>
      <w:r>
        <w:rPr>
          <w:iCs/>
          <w:i/>
        </w:rPr>
        <w:t xml:space="preserve">A. thaliana</w:t>
      </w:r>
      <w:r>
        <w:t xml:space="preserve"> </w:t>
      </w:r>
      <w:r>
        <w:t xml:space="preserve">was obtained from the Nottingham Arabidopsis Stock Centre (NASC) (</w:t>
      </w:r>
      <w:hyperlink r:id="rId29">
        <w:r>
          <w:rPr>
            <w:rStyle w:val="Hyperlink"/>
          </w:rPr>
          <w:t xml:space="preserve">https://arabidopsis.info/</w:t>
        </w:r>
      </w:hyperlink>
      <w:r>
        <w:t xml:space="preserve">). In addition to Columbia-0 (Col-0) wild type, we ordered four mutant lines per gene for three candidate genes,</w:t>
      </w:r>
      <w:r>
        <w:t xml:space="preserve"> </w:t>
      </w:r>
      <w:r>
        <w:rPr>
          <w:iCs/>
          <w:i/>
        </w:rPr>
        <w:t xml:space="preserve">MYB26</w:t>
      </w:r>
      <w:r>
        <w:t xml:space="preserve"> </w:t>
      </w:r>
      <w:r>
        <w:t xml:space="preserve">(AT3G13890),</w:t>
      </w:r>
      <w:r>
        <w:t xml:space="preserve"> </w:t>
      </w:r>
      <w:r>
        <w:rPr>
          <w:iCs/>
          <w:i/>
        </w:rPr>
        <w:t xml:space="preserve">EPFL3</w:t>
      </w:r>
      <w:r>
        <w:t xml:space="preserve"> </w:t>
      </w:r>
      <w:r>
        <w:t xml:space="preserve">(AT3G13898), and a putative ribosomal gene (AT3G13882) (Table S2). Following the instruction</w:t>
      </w:r>
      <w:r>
        <w:t xml:space="preserve"> </w:t>
      </w:r>
      <w:r>
        <w:t xml:space="preserve">[31]</w:t>
      </w:r>
      <w:r>
        <w:t xml:space="preserve">, we checked the T-DNA insertion site of the mutant lines by PCR amplification and Sanger sequencing (see Table S2 for primer information). The mutant lines were back-crossed to the Col-0 wild type for three generations. Because some lines failed to germinate or had no mutations on the exon region during the back-crossing and confirmation, we finally obtained one confirmed line for each gene: SALK_112372.30.80.x (NASC Accession ID: N612372) for</w:t>
      </w:r>
      <w:r>
        <w:t xml:space="preserve"> </w:t>
      </w:r>
      <w:r>
        <w:rPr>
          <w:iCs/>
          <w:i/>
        </w:rPr>
        <w:t xml:space="preserve">MYB26</w:t>
      </w:r>
      <w:r>
        <w:t xml:space="preserve">; SAIL_1220b_A10 (N844563) for</w:t>
      </w:r>
      <w:r>
        <w:t xml:space="preserve"> </w:t>
      </w:r>
      <w:r>
        <w:rPr>
          <w:iCs/>
          <w:i/>
        </w:rPr>
        <w:t xml:space="preserve">EPFL3</w:t>
      </w:r>
      <w:r>
        <w:t xml:space="preserve">; and SALK_039481.29.99.f (N670586) for AT3G13882. All the three lines carried the T-DNA insertion on the exon (and a part of intron) region of the target gene.</w:t>
      </w:r>
    </w:p>
    <w:bookmarkEnd w:id="30"/>
    <w:bookmarkStart w:id="31" w:name="laboratory-experiments"/>
    <w:p>
      <w:pPr>
        <w:pStyle w:val="Heading3"/>
      </w:pPr>
      <w:r>
        <w:t xml:space="preserve">Laboratory experiments</w:t>
      </w:r>
    </w:p>
    <w:p>
      <w:pPr>
        <w:pStyle w:val="FirstParagraph"/>
      </w:pPr>
      <w:r>
        <w:t xml:space="preserve">To observe plant growth, we cultivated ten replicates (&lt;- why 7 data points for MYB26 in Fig. 2?) of the three back-crossed mutant lines and the Col-0 wild type under a long-day condition (16h light/8h dark, T). Seeds were sown on a 8 cm</w:t>
      </w:r>
      <m:oMath>
        <m:sSup>
          <m:e>
            <m:r>
              <m:t>​</m:t>
            </m:r>
          </m:e>
          <m:sup>
            <m:r>
              <m:t>3</m:t>
            </m:r>
          </m:sup>
        </m:sSup>
      </m:oMath>
      <w:r>
        <w:t xml:space="preserve"> </w:t>
      </w:r>
      <w:r>
        <w:t xml:space="preserve">pot filled with the agricultural composts (Profi Substrat Classic CL ED73), and stratified at 4</w:t>
      </w:r>
      <w:r>
        <w:t xml:space="preserve"> </w:t>
      </w:r>
      <m:oMath>
        <m:sSup>
          <m:e>
            <m:r>
              <m:t>​</m:t>
            </m:r>
          </m:e>
          <m:sup>
            <m:r>
              <m:rPr>
                <m:sty m:val="p"/>
              </m:rPr>
              <m:t>∘</m:t>
            </m:r>
          </m:sup>
        </m:sSup>
      </m:oMath>
      <w:r>
        <w:t xml:space="preserve">C under a constant dark condition. The stratified seeds were then transferred to the long day condition. Seedlings were grown for 20 days. The rosette diameter (cm) was recorded as an index of plant size before aphids were released as described next. Days to flowering i.e., flowering time was also recorded during the aphid experiment as described next.</w:t>
      </w:r>
    </w:p>
    <w:p>
      <w:pPr>
        <w:pStyle w:val="BodyText"/>
      </w:pPr>
      <w:r>
        <w:t xml:space="preserve">To assess the likelihood of aphid colonization on the mutant plants, we then enclosed the potted plants separately with a mesh net, and released five individuals of the turnip aphid</w:t>
      </w:r>
      <w:r>
        <w:t xml:space="preserve"> </w:t>
      </w:r>
      <w:r>
        <w:rPr>
          <w:iCs/>
          <w:i/>
        </w:rPr>
        <w:t xml:space="preserve">L. erysimi</w:t>
      </w:r>
      <w:r>
        <w:t xml:space="preserve"> </w:t>
      </w:r>
      <w:r>
        <w:t xml:space="preserve">on each plant. The experimental aphids were derived from a source population established by the previous study</w:t>
      </w:r>
      <w:r>
        <w:t xml:space="preserve"> </w:t>
      </w:r>
      <w:r>
        <w:t xml:space="preserve">[11]</w:t>
      </w:r>
      <w:r>
        <w:t xml:space="preserve">. The enclosed plants were incubated under the long-day condition. The number of aphids was counted by eyes 3, 7, 10, and 14 days after the release of aphids.</w:t>
      </w:r>
    </w:p>
    <w:bookmarkEnd w:id="31"/>
    <w:bookmarkStart w:id="32" w:name="data-analysis-1"/>
    <w:p>
      <w:pPr>
        <w:pStyle w:val="Heading3"/>
      </w:pPr>
      <w:r>
        <w:t xml:space="preserve">Data analysis</w:t>
      </w:r>
    </w:p>
    <w:p>
      <w:pPr>
        <w:pStyle w:val="FirstParagraph"/>
      </w:pPr>
      <w:r>
        <w:t xml:space="preserve">We used generalized linear models (GLM) to test phenotypic differences between each mutant and the Col-0 wild type. Multiple comparisons were corrected using the Bonferroni method. The plant size and flowering time were analyzed using GLMs with Gaussian distribution, which were equivalent to standard linear models. The number of aphids i.e., the count response was analyzed using GLMs with Poisson error structure and a log link function. Wald-tests were used to calculate</w:t>
      </w:r>
      <w:r>
        <w:t xml:space="preserve"> </w:t>
      </w:r>
      <m:oMath>
        <m:r>
          <m:t>p</m:t>
        </m:r>
      </m:oMath>
      <w:r>
        <w:t xml:space="preserve">-values from GLMs.</w:t>
      </w:r>
    </w:p>
    <w:bookmarkEnd w:id="32"/>
    <w:bookmarkEnd w:id="33"/>
    <w:bookmarkEnd w:id="34"/>
    <w:bookmarkStart w:id="38" w:name="results-discussion"/>
    <w:p>
      <w:pPr>
        <w:pStyle w:val="Heading1"/>
      </w:pPr>
      <w:r>
        <w:t xml:space="preserve">Results &amp; Discussion</w:t>
      </w:r>
    </w:p>
    <w:bookmarkStart w:id="35" w:name="field-gwas-of-the-aphid-abundance"/>
    <w:p>
      <w:pPr>
        <w:pStyle w:val="Heading2"/>
      </w:pPr>
      <w:r>
        <w:t xml:space="preserve">Field GWAS of the aphid abundance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in an intergenic region.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within a 10-kb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[32]</w:t>
      </w:r>
      <w:r>
        <w:t xml:space="preserve"> </w:t>
      </w:r>
      <w:r>
        <w:t xml:space="preserve">and thereby results in delayed growth</w:t>
      </w:r>
      <w:r>
        <w:t xml:space="preserve"> </w:t>
      </w:r>
      <w:r>
        <w:t xml:space="preserve">[33]</w:t>
      </w:r>
      <w:r>
        <w:t xml:space="preserve">. AT3G13890 locus is known to encode MYB26 transcription factor responsible for the anther dehiscence and male sterility</w:t>
      </w:r>
      <w:r>
        <w:t xml:space="preserve"> </w:t>
      </w:r>
      <w:r>
        <w:t xml:space="preserve">[34]</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[35]</w:t>
      </w:r>
      <w:r>
        <w:t xml:space="preserve">. Known functions of these candidate genes led us to further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-log10(</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p>
      <w:pPr>
        <w:pStyle w:val="BodyText"/>
      </w:pPr>
      <w:r>
        <w:t xml:space="preserve">Our field GWAS detected a significant peak and growth-related genes, such as</w:t>
      </w:r>
      <w:r>
        <w:t xml:space="preserve"> </w:t>
      </w:r>
      <w:r>
        <w:rPr>
          <w:iCs/>
          <w:i/>
        </w:rPr>
        <w:t xml:space="preserve">RHD3</w:t>
      </w:r>
      <w:r>
        <w:t xml:space="preserve">, associated with the aphid abundance. While the most individuals of</w:t>
      </w:r>
      <w:r>
        <w:t xml:space="preserve"> </w:t>
      </w:r>
      <w:r>
        <w:rPr>
          <w:iCs/>
          <w:i/>
        </w:rPr>
        <w:t xml:space="preserve">A. thaliana</w:t>
      </w:r>
      <w:r>
        <w:t xml:space="preserve"> </w:t>
      </w:r>
      <w:r>
        <w:t xml:space="preserve">bloom in spring</w:t>
      </w:r>
      <w:r>
        <w:t xml:space="preserve"> </w:t>
      </w:r>
      <w:r>
        <w:t xml:space="preserve">[22,23]</w:t>
      </w:r>
      <w:r>
        <w:t xml:space="preserve">, some flowering individuals remain until late spring and inhabited by specialist aphids</w:t>
      </w:r>
      <w:r>
        <w:t xml:space="preserve"> </w:t>
      </w:r>
      <w:r>
        <w:t xml:space="preserve">[10]</w:t>
      </w:r>
      <w:r>
        <w:t xml:space="preserve">. Our GWAS population could simulate aphid colonization on the late cohort with various accessions, where plants without inflorescence might escape from aphids. A recent laboratory study has also shown that side effects of a glucosinolate biosynthesis gene</w:t>
      </w:r>
      <w:r>
        <w:t xml:space="preserve"> </w:t>
      </w:r>
      <w:r>
        <w:rPr>
          <w:iCs/>
          <w:i/>
        </w:rPr>
        <w:t xml:space="preserve">AOP2</w:t>
      </w:r>
      <w:r>
        <w:t xml:space="preserve"> </w:t>
      </w:r>
      <w:r>
        <w:t xml:space="preserve">on plant growth alter plant’s capacity to harbor aphids and their predators on</w:t>
      </w:r>
      <w:r>
        <w:t xml:space="preserve"> </w:t>
      </w:r>
      <w:r>
        <w:rPr>
          <w:iCs/>
          <w:i/>
        </w:rPr>
        <w:t xml:space="preserve">A. thaliana</w:t>
      </w:r>
      <w:r>
        <w:t xml:space="preserve"> </w:t>
      </w:r>
      <w:r>
        <w:t xml:space="preserve">[11]</w:t>
      </w:r>
      <w:r>
        <w:t xml:space="preserve">. Although we did not detect</w:t>
      </w:r>
      <w:r>
        <w:t xml:space="preserve"> </w:t>
      </w:r>
      <w:r>
        <w:rPr>
          <w:iCs/>
          <w:i/>
        </w:rPr>
        <w:t xml:space="preserve">AOP2</w:t>
      </w:r>
      <w:r>
        <w:t xml:space="preserve"> </w:t>
      </w:r>
      <w:r>
        <w:t xml:space="preserve">near the GWAS peak, our field study agrees with the notion that genes associated with plant growth can structure populations or communities of associated organisms.</w:t>
      </w:r>
    </w:p>
    <w:bookmarkEnd w:id="35"/>
    <w:bookmarkStart w:id="36" w:name="X686d6b6a0921196a4e6b5e4b8cdd09d19ee7bd9"/>
    <w:p>
      <w:pPr>
        <w:pStyle w:val="Heading2"/>
      </w:pPr>
      <w:r>
        <w:t xml:space="preserve">Mutant growth and aphid colonization in a laboratory</w:t>
      </w:r>
    </w:p>
    <w:p>
      <w:pPr>
        <w:pStyle w:val="FirstParagraph"/>
      </w:pPr>
      <w:r>
        <w:t xml:space="preserve">A putative ribosomal gene (AT3G13882),</w:t>
      </w:r>
      <w:r>
        <w:t xml:space="preserve"> </w:t>
      </w:r>
      <w:r>
        <w:rPr>
          <w:iCs/>
          <w:i/>
        </w:rPr>
        <w:t xml:space="preserve">EPIDERMAL PATTERNING FACTOR LIKE 3</w:t>
      </w:r>
      <w:r>
        <w:t xml:space="preserve"> </w:t>
      </w:r>
      <w:r>
        <w:t xml:space="preserve">(</w:t>
      </w:r>
      <w:r>
        <w:rPr>
          <w:iCs/>
          <w:i/>
        </w:rPr>
        <w:t xml:space="preserve">EPFL3</w:t>
      </w:r>
      <w:r>
        <w:t xml:space="preserve">: AT3G13898), and</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 After 20 days of growth period, the rosette size of the AT3G13882 mutant became 3.29 cm on average, which was significantly smaller than wild type plants having 5.38 cm on average (adjusted</w:t>
      </w:r>
      <w:r>
        <w:t xml:space="preserve"> </w:t>
      </w:r>
      <m:oMath>
        <m:r>
          <m:t>p</m:t>
        </m:r>
        <m:r>
          <m:rPr>
            <m:sty m:val="p"/>
          </m:rPr>
          <m:t>&lt;</m:t>
        </m:r>
        <m:r>
          <m:t>0.001</m:t>
        </m:r>
      </m:oMath>
      <w:r>
        <w:t xml:space="preserve"> </w:t>
      </w:r>
      <w:r>
        <w:t xml:space="preserve">by Gaussian GLMs: Fig</w:t>
      </w:r>
      <w:r>
        <w:t xml:space="preserve"> </w:t>
      </w:r>
      <w:hyperlink w:anchor="fig:mutant">
        <w:r>
          <w:rPr>
            <w:rStyle w:val="Hyperlink"/>
          </w:rPr>
          <w:t xml:space="preserve">2</w:t>
        </w:r>
      </w:hyperlink>
      <w:r>
        <w:t xml:space="preserve">A,B). The other two mutant plants were slightly larger than the wild type (6.29 cm and 6.3 cm for</w:t>
      </w:r>
      <w:r>
        <w:t xml:space="preserve"> </w:t>
      </w:r>
      <w:r>
        <w:rPr>
          <w:iCs/>
          <w:i/>
        </w:rPr>
        <w:t xml:space="preserve">EPFL2</w:t>
      </w:r>
      <w:r>
        <w:t xml:space="preserve"> </w:t>
      </w:r>
      <w:r>
        <w:t xml:space="preserve">and</w:t>
      </w:r>
      <w:r>
        <w:t xml:space="preserve"> </w:t>
      </w:r>
      <w:r>
        <w:rPr>
          <w:iCs/>
          <w:i/>
        </w:rPr>
        <w:t xml:space="preserve">MYB26</w:t>
      </w:r>
      <w:r>
        <w:t xml:space="preserve">, respectively), where the</w:t>
      </w:r>
      <w:r>
        <w:t xml:space="preserve"> </w:t>
      </w:r>
      <w:r>
        <w:rPr>
          <w:iCs/>
          <w:i/>
        </w:rPr>
        <w:t xml:space="preserve">EPFL3</w:t>
      </w:r>
      <w:r>
        <w:t xml:space="preserve"> </w:t>
      </w:r>
      <w:r>
        <w:t xml:space="preserve">mutant had a significantly larger size than the wild type (adjusted</w:t>
      </w:r>
      <w:r>
        <w:t xml:space="preserve"> </w:t>
      </w:r>
      <m:oMath>
        <m:r>
          <m:t>p</m:t>
        </m:r>
        <m:r>
          <m:rPr>
            <m:sty m:val="p"/>
          </m:rPr>
          <m:t>&lt;</m:t>
        </m:r>
        <m:r>
          <m:t>0.01</m:t>
        </m:r>
      </m:oMath>
      <w:r>
        <w:t xml:space="preserve">: Fig</w:t>
      </w:r>
      <w:r>
        <w:t xml:space="preserve"> </w:t>
      </w:r>
      <w:hyperlink w:anchor="fig:mutant">
        <w:r>
          <w:rPr>
            <w:rStyle w:val="Hyperlink"/>
          </w:rPr>
          <w:t xml:space="preserve">2</w:t>
        </w:r>
      </w:hyperlink>
      <w:r>
        <w:t xml:space="preserve">A,B). Consistent with these differences of the initial size, the AT3G13882 mutant took 38.8 days on average until flowering, which was significantly longer than 30.8 days to flowering for the wild type (adjusted</w:t>
      </w:r>
      <w:r>
        <w:t xml:space="preserve"> </w:t>
      </w:r>
      <m:oMath>
        <m:r>
          <m:t>p</m:t>
        </m:r>
        <m:r>
          <m:rPr>
            <m:sty m:val="p"/>
          </m:rPr>
          <m:t>&lt;</m:t>
        </m:r>
        <m:r>
          <m:t>0.001</m:t>
        </m:r>
      </m:oMath>
      <w:r>
        <w:t xml:space="preserve">: Fig</w:t>
      </w:r>
      <w:r>
        <w:t xml:space="preserve"> </w:t>
      </w:r>
      <w:hyperlink w:anchor="fig:mutant">
        <w:r>
          <w:rPr>
            <w:rStyle w:val="Hyperlink"/>
          </w:rPr>
          <w:t xml:space="preserve">2</w:t>
        </w:r>
      </w:hyperlink>
      <w:r>
        <w:t xml:space="preserve">A,C). Corresponded to the larger initial size than the wild type, the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showed earlier flowering than the wild type plants (27.5 days and 23.57 days for</w:t>
      </w:r>
      <w:r>
        <w:t xml:space="preserve"> </w:t>
      </w:r>
      <w:r>
        <w:rPr>
          <w:iCs/>
          <w:i/>
        </w:rPr>
        <w:t xml:space="preserve">EPFL3</w:t>
      </w:r>
      <w:r>
        <w:t xml:space="preserve"> </w:t>
      </w:r>
      <w:r>
        <w:t xml:space="preserve">and</w:t>
      </w:r>
      <w:r>
        <w:t xml:space="preserve"> </w:t>
      </w:r>
      <w:r>
        <w:rPr>
          <w:iCs/>
          <w:i/>
        </w:rPr>
        <w:t xml:space="preserve">MYB26</w:t>
      </w:r>
      <w:r>
        <w:t xml:space="preserve">, respectively: adjusted</w:t>
      </w:r>
      <w:r>
        <w:t xml:space="preserve"> </w:t>
      </w:r>
      <m:oMath>
        <m:r>
          <m:t>p</m:t>
        </m:r>
        <m:r>
          <m:rPr>
            <m:sty m:val="p"/>
          </m:rPr>
          <m:t>&lt;</m:t>
        </m:r>
        <m:r>
          <m:t>0.01</m:t>
        </m:r>
      </m:oMath>
      <w:r>
        <w:t xml:space="preserve">: Fig.</w:t>
      </w:r>
      <w:r>
        <w:t xml:space="preserve"> </w:t>
      </w:r>
      <w:hyperlink w:anchor="fig:mutant">
        <w:r>
          <w:rPr>
            <w:rStyle w:val="Hyperlink"/>
          </w:rPr>
          <w:t xml:space="preserve">2</w:t>
        </w:r>
      </w:hyperlink>
      <w:r>
        <w:t xml:space="preserve">D).</w:t>
      </w:r>
    </w:p>
    <w:p>
      <w:pPr>
        <w:pStyle w:val="BodyText"/>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 One week after the release, aphids more likely failed to colonize on the AT3G13882 mutant than on the wild type (adjusted</w:t>
      </w:r>
      <w:r>
        <w:t xml:space="preserve"> </w:t>
      </w:r>
      <m:oMath>
        <m:r>
          <m:t>p</m:t>
        </m:r>
        <m:r>
          <m:rPr>
            <m:sty m:val="p"/>
          </m:rPr>
          <m:t>&lt;</m:t>
        </m:r>
        <m:r>
          <m:t>0.001</m:t>
        </m:r>
      </m:oMath>
      <w:r>
        <w:t xml:space="preserve"> </w:t>
      </w:r>
      <w:r>
        <w:t xml:space="preserve">by Poisson GLMs), while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hosted similar or larger numbers of aphids comparing to wild type plants (Fig</w:t>
      </w:r>
      <w:r>
        <w:t xml:space="preserve"> </w:t>
      </w:r>
      <w:hyperlink w:anchor="fig:mutant">
        <w:r>
          <w:rPr>
            <w:rStyle w:val="Hyperlink"/>
          </w:rPr>
          <w:t xml:space="preserve">2</w:t>
        </w:r>
      </w:hyperlink>
      <w:r>
        <w:t xml:space="preserve">D). The failure of colony establishments during the former period led to the same patterns until 14 days after the release (Fig</w:t>
      </w:r>
      <w:r>
        <w:t xml:space="preserve"> </w:t>
      </w:r>
      <w:hyperlink w:anchor="fig:aphid_stat">
        <w:r>
          <w:rPr>
            <w:rStyle w:val="Hyperlink"/>
          </w:rPr>
          <w:t xml:space="preserve">S3</w:t>
        </w:r>
      </w:hyperlink>
      <w:r>
        <w:t xml:space="preserve">), though the levels of statistical significance became larger near the end of experiment likely because over-dispersion of the aphid numbers became severe.</w:t>
      </w:r>
    </w:p>
    <w:p>
      <w:pPr>
        <w:pStyle w:val="BodyText"/>
      </w:pPr>
      <w:r>
        <w:t xml:space="preserve">Our laboratory experiment further showed that a mutant of a putative ribosomal gene experienced the severe delay of growth and thereby could escape from aphid colonization. While ribosomal genes were traditionally considered housekeeping genes of the protein synthesis machinery, growing number of studies have shown that mutants of ribosome-related genes exhibit a wide variety of growth and reproductive phenotypes, such as the reduction of leaf cell number</w:t>
      </w:r>
      <w:r>
        <w:t xml:space="preserve"> </w:t>
      </w:r>
      <w:r>
        <w:t xml:space="preserve">[36]</w:t>
      </w:r>
      <w:r>
        <w:t xml:space="preserve">, reduced root length</w:t>
      </w:r>
      <w:r>
        <w:t xml:space="preserve"> </w:t>
      </w:r>
      <w:r>
        <w:t xml:space="preserve">[37]</w:t>
      </w:r>
      <w:r>
        <w:t xml:space="preserve">, the reduction of pollen number</w:t>
      </w:r>
      <w:r>
        <w:t xml:space="preserve"> </w:t>
      </w:r>
      <w:r>
        <w:t xml:space="preserve">[15,38]</w:t>
      </w:r>
      <w:r>
        <w:t xml:space="preserve">. Some of these studies reported a pleiotropy of a ribosomal gene on the plant growth and pollen number</w:t>
      </w:r>
      <w:r>
        <w:t xml:space="preserve"> </w:t>
      </w:r>
      <w:r>
        <w:t xml:space="preserve">[15,38]</w:t>
      </w:r>
      <w:r>
        <w:t xml:space="preserve">, where natural alleles could alleviate pleiotrophic growth defects</w:t>
      </w:r>
      <w:r>
        <w:t xml:space="preserve"> </w:t>
      </w:r>
      <w:r>
        <w:t xml:space="preserve">[15]</w:t>
      </w:r>
      <w:r>
        <w:t xml:space="preserve">. Our findings from AT3G13882 locus adds insights into the growth deterioration due to ribosomal gene mutations, although natural variants responsible for the delayed growth have yet to be identified.</w:t>
      </w:r>
    </w:p>
    <w:p>
      <w:pPr>
        <w:pStyle w:val="BodyText"/>
      </w:pPr>
      <w:r>
        <w:t xml:space="preserve">Other than the putative ribosomal gene, mutants of</w:t>
      </w:r>
      <w:r>
        <w:t xml:space="preserve"> </w:t>
      </w:r>
      <w:r>
        <w:rPr>
          <w:iCs/>
          <w:i/>
        </w:rPr>
        <w:t xml:space="preserve">EPFL3</w:t>
      </w:r>
      <w:r>
        <w:t xml:space="preserve"> </w:t>
      </w:r>
      <w:r>
        <w:t xml:space="preserve">and</w:t>
      </w:r>
      <w:r>
        <w:t xml:space="preserve"> </w:t>
      </w:r>
      <w:r>
        <w:rPr>
          <w:iCs/>
          <w:i/>
        </w:rPr>
        <w:t xml:space="preserve">MYB26</w:t>
      </w:r>
      <w:r>
        <w:t xml:space="preserve"> </w:t>
      </w:r>
      <w:r>
        <w:t xml:space="preserve">exhibited slight phenotypes of early growth and flowering compared to the wild type. EPFL3 is one of EPIDERMAL PATTERNING FACTOR-LIKE (EPFL) family peptides which are known to control stomatal patterning</w:t>
      </w:r>
      <w:r>
        <w:t xml:space="preserve"> </w:t>
      </w:r>
      <w:r>
        <w:t xml:space="preserve">[39]</w:t>
      </w:r>
      <w:r>
        <w:t xml:space="preserve">, leaf morphogenesis</w:t>
      </w:r>
      <w:r>
        <w:t xml:space="preserve"> </w:t>
      </w:r>
      <w:r>
        <w:t xml:space="preserve">[40]</w:t>
      </w:r>
      <w:r>
        <w:t xml:space="preserve">, inflorescence development</w:t>
      </w:r>
      <w:r>
        <w:t xml:space="preserve"> </w:t>
      </w:r>
      <w:r>
        <w:t xml:space="preserve">[41]</w:t>
      </w:r>
      <w:r>
        <w:t xml:space="preserve">, though biological roles of EPFL3 are still unknown.</w:t>
      </w:r>
      <w:r>
        <w:t xml:space="preserve"> </w:t>
      </w:r>
      <w:r>
        <w:rPr>
          <w:iCs/>
          <w:i/>
        </w:rPr>
        <w:t xml:space="preserve">MYB26</w:t>
      </w:r>
      <w:r>
        <w:t xml:space="preserve"> </w:t>
      </w:r>
      <w:r>
        <w:t xml:space="preserve">is more likely to affect flowering than growth (Fig.</w:t>
      </w:r>
      <w:r>
        <w:t xml:space="preserve"> </w:t>
      </w:r>
      <w:hyperlink w:anchor="fig:mutant">
        <w:r>
          <w:rPr>
            <w:rStyle w:val="Hyperlink"/>
          </w:rPr>
          <w:t xml:space="preserve">2</w:t>
        </w:r>
      </w:hyperlink>
      <w:r>
        <w:t xml:space="preserve">B,C), because this gene is known to encode a transcription factor specifically expressed in reproductive organ</w:t>
      </w:r>
      <w:r>
        <w:t xml:space="preserve"> </w:t>
      </w:r>
      <w:r>
        <w:t xml:space="preserve">[34]</w:t>
      </w:r>
      <w:r>
        <w:t xml:space="preserve">. It was thus possible that mutants of these two genes exhibit the altered phenotypes of growth, flowering, and resultant aphid abundance; however, the phenotypes of these two mutants were not so severe as those of the ribosomal gene AT3G13882 (Fig.</w:t>
      </w:r>
      <w:r>
        <w:t xml:space="preserve"> </w:t>
      </w:r>
      <w:hyperlink w:anchor="fig:mutant">
        <w:r>
          <w:rPr>
            <w:rStyle w:val="Hyperlink"/>
          </w:rPr>
          <w:t xml:space="preserve">2</w:t>
        </w:r>
      </w:hyperlink>
      <w:r>
        <w:t xml:space="preserve">D).</w:t>
      </w:r>
    </w:p>
    <w:bookmarkEnd w:id="36"/>
    <w:bookmarkStart w:id="37" w:name="conclusion"/>
    <w:p>
      <w:pPr>
        <w:pStyle w:val="Heading2"/>
      </w:pPr>
      <w:r>
        <w:t xml:space="preserve">Conclusion</w:t>
      </w:r>
    </w:p>
    <w:p>
      <w:pPr>
        <w:pStyle w:val="FirstParagraph"/>
      </w:pPr>
      <w:r>
        <w:t xml:space="preserve">Overall, our field GWAS and laboratory experiment together highlight the genetic architecture underlying the side effects of plant life-history traits on herbivore abundance. While it is widely accepted that plant genetic variation governs herbivore abundance and communities in the field</w:t>
      </w:r>
      <w:r>
        <w:t xml:space="preserve"> </w:t>
      </w:r>
      <w:r>
        <w:t xml:space="preserve">[8–10]</w:t>
      </w:r>
      <w:r>
        <w:t xml:space="preserve">, a keystone gene shaping the ecological communities was not identified until recently</w:t>
      </w:r>
      <w:r>
        <w:t xml:space="preserve"> </w:t>
      </w:r>
      <w:r>
        <w:t xml:space="preserve">[11]</w:t>
      </w:r>
      <w:r>
        <w:t xml:space="preserve">. The joint approach using field GWAS and mutant analyses may broaden the opportunity to investigate the function of keystone genes under field conditions.</w:t>
      </w:r>
    </w:p>
    <w:bookmarkEnd w:id="37"/>
    <w:bookmarkEnd w:id="38"/>
    <w:bookmarkStart w:id="39" w:name="acknowledgements"/>
    <w:p>
      <w:pPr>
        <w:pStyle w:val="Heading1"/>
      </w:pPr>
      <w:r>
        <w:t xml:space="preserve">Acknowledgements</w:t>
      </w:r>
    </w:p>
    <w:p>
      <w:pPr>
        <w:pStyle w:val="FirstParagraph"/>
      </w:pPr>
      <w:r>
        <w:t xml:space="preserve">The authors thank xxxx. This study was supported by the University Research Priority Program</w:t>
      </w:r>
      <w:r>
        <w:t xml:space="preserve"> </w:t>
      </w:r>
      <w:r>
        <w:t xml:space="preserve">“</w:t>
      </w:r>
      <w:r>
        <w:t xml:space="preserve">Global Change and Biodiversity</w:t>
      </w:r>
      <w:r>
        <w:t xml:space="preserve">”</w:t>
      </w:r>
      <w:r>
        <w:t xml:space="preserve"> </w:t>
      </w:r>
      <w:r>
        <w:t xml:space="preserve">of the University of Zurich; Japan Science and Technology Agency (Grant numbers JPMJCR16O3 to KKS and JPMJPR17Q4 to YS); and zzzzzz.</w:t>
      </w:r>
    </w:p>
    <w:bookmarkEnd w:id="39"/>
    <w:bookmarkStart w:id="42" w:name="data-avaiability"/>
    <w:p>
      <w:pPr>
        <w:pStyle w:val="Heading1"/>
      </w:pPr>
      <w:r>
        <w:t xml:space="preserve">Data avaiability</w:t>
      </w:r>
    </w:p>
    <w:p>
      <w:pPr>
        <w:pStyle w:val="FirstParagraph"/>
      </w:pPr>
      <w:r>
        <w:t xml:space="preserve">The data and codes are available at the GitHub repository (</w:t>
      </w:r>
      <w:hyperlink r:id="rId40">
        <w:r>
          <w:rPr>
            <w:rStyle w:val="Hyperlink"/>
          </w:rPr>
          <w:t xml:space="preserve">https://github.com/yassato/AraAphidGWAS</w:t>
        </w:r>
      </w:hyperlink>
      <w:r>
        <w:t xml:space="preserve">). The published version is deposited on Zenodo (</w:t>
      </w:r>
      <w:hyperlink r:id="rId41">
        <w:r>
          <w:rPr>
            <w:rStyle w:val="Hyperlink"/>
          </w:rPr>
          <w:t xml:space="preserve">doi::xxxxxx</w:t>
        </w:r>
      </w:hyperlink>
      <w:r>
        <w:t xml:space="preserve">).</w:t>
      </w:r>
    </w:p>
    <w:bookmarkEnd w:id="42"/>
    <w:bookmarkStart w:id="51" w:name="tables-figures"/>
    <w:p>
      <w:pPr>
        <w:pStyle w:val="Heading1"/>
      </w:pPr>
      <w:r>
        <w:t xml:space="preserve">Tables &amp; Figures</w:t>
      </w:r>
    </w:p>
    <w:p>
      <w:pPr>
        <w:pStyle w:val="CaptionedFigure"/>
      </w:pPr>
      <w:bookmarkStart w:id="46" w:name="fig:ManPlot"/>
      <w:r>
        <w:drawing>
          <wp:inline>
            <wp:extent cx="5334000" cy="3000375"/>
            <wp:effectExtent b="0" l="0" r="0" t="0"/>
            <wp:docPr descr="Figure 1. GWAS of the aphid abundance on 196 A. thaliana accessions grown in the field. Manhattan plot shows the associaiton score of -log10(p) against five choromosomes of A. thaliana at MAF cut-off = 0.025, where a horizontal dashed line indicates the genome-wide Bonferroni threshold at p=0.05. QQ-plot shows relationships between the observed and expected -log10(p) values, where a solid line indicates randomly expected -log10(p) and the shaded area corresponds to its 95% confidence intervals. The upper inset focuses on the top-scroing SNP at Chr3-4579292, and desplays the position of candidate genes (left) or compares phenotype values i.e., log(no. of aphids + 1) between the two SNP alleles (right)." title="" id="44" name="Picture"/>
            <a:graphic>
              <a:graphicData uri="http://schemas.openxmlformats.org/drawingml/2006/picture">
                <pic:pic>
                  <pic:nvPicPr>
                    <pic:cNvPr descr="../figures/database_snapshot/Slide5.png" id="45"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bookmarkEnd w:id="46"/>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-log10(</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relationships between the observed and expected -log10(</w:t>
      </w:r>
      <m:oMath>
        <m:r>
          <m:t>p</m:t>
        </m:r>
      </m:oMath>
      <w:r>
        <w:t xml:space="preserve">) values, where a solid line indicates randomly expected -log10(</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p>
      <w:pPr>
        <w:pStyle w:val="CaptionedFigure"/>
      </w:pPr>
      <w:bookmarkStart w:id="50" w:name="fig:mutant"/>
      <w:r>
        <w:drawing>
          <wp:inline>
            <wp:extent cx="5334000" cy="4000500"/>
            <wp:effectExtent b="0" l="0" r="0" t="0"/>
            <wp:docPr descr="Figure 2. The Col-0 wild type and three mutants of Arabidopsis thaliana (A) showing the phenotypes of initial size (B), flowering time (C), and aphid colonization one week after the release (D) in a laboratory. Asterisks above each mutant indicate adjusted p-values by GLMs in comparison with the wild type, WT; *** p&lt;0.001, ** p&lt;0.01, * p&lt;0.05. Boxes: median with upper and lower quartile; Whiskers: 1.5 \times inter-quartile range." title="" id="48" name="Picture"/>
            <a:graphic>
              <a:graphicData uri="http://schemas.openxmlformats.org/drawingml/2006/picture">
                <pic:pic>
                  <pic:nvPicPr>
                    <pic:cNvPr descr="../figures/mutant.pdf" id="49"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bookmarkEnd w:id="50"/>
    </w:p>
    <w:p>
      <w:pPr>
        <w:pStyle w:val="ImageCaption"/>
      </w:pPr>
      <w:r>
        <w:t xml:space="preserve">Figure 2. The Col-0 wild type and three mutants of</w:t>
      </w:r>
      <w:r>
        <w:t xml:space="preserve"> </w:t>
      </w:r>
      <w:r>
        <w:rPr>
          <w:iCs/>
          <w:i/>
        </w:rPr>
        <w:t xml:space="preserve">Arabidopsis thaliana</w:t>
      </w:r>
      <w:r>
        <w:t xml:space="preserve"> </w:t>
      </w:r>
      <w:r>
        <w:t xml:space="preserve">(A) showing the phenotypes of initial size (B), flowering time (C), and aphid colonization one week after the release (D) in a laboratory. Asterisks above each mutant indicate adjusted</w:t>
      </w:r>
      <w:r>
        <w:t xml:space="preserve"> </w:t>
      </w:r>
      <m:oMath>
        <m:r>
          <m:t>p</m:t>
        </m:r>
      </m:oMath>
      <w:r>
        <w:t xml:space="preserve">-values by GLMs in comparison with the wild type, WT;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bookmarkEnd w:id="51"/>
    <w:bookmarkStart w:id="65" w:name="supplementary-materials"/>
    <w:p>
      <w:pPr>
        <w:pStyle w:val="Heading1"/>
      </w:pPr>
      <w:r>
        <w:t xml:space="preserve">Supplementary Materials</w:t>
      </w:r>
    </w:p>
    <w:p>
      <w:pPr>
        <w:pStyle w:val="CaptionedFigure"/>
      </w:pPr>
      <w:bookmarkStart w:id="55"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red no aphids in the field GWAS." title="" id="53" name="Picture"/>
            <a:graphic>
              <a:graphicData uri="http://schemas.openxmlformats.org/drawingml/2006/picture">
                <pic:pic>
                  <pic:nvPicPr>
                    <pic:cNvPr descr="../figures/database_snapshot/Slide3.png" id="54"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bookmarkEnd w:id="55"/>
    </w:p>
    <w:p>
      <w:pPr>
        <w:pStyle w:val="ImageCaption"/>
      </w:pPr>
      <w:r>
        <w:t xml:space="preserve">Figure S1. A snapshot of the genomic region near Chr3-4579292 in the 1001 Genome Browser (</w:t>
      </w:r>
      <w:hyperlink r:id="rId56">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harbored no aphids in the field GWAS.</w:t>
      </w:r>
    </w:p>
    <w:p>
      <w:pPr>
        <w:pStyle w:val="CaptionedFigure"/>
      </w:pPr>
      <w:bookmarkStart w:id="60" w:name="fig:gomap"/>
      <w:r>
        <w:drawing>
          <wp:inline>
            <wp:extent cx="5334000" cy="2667000"/>
            <wp:effectExtent b="0" l="0" r="0" t="0"/>
            <wp:docPr descr="Figure S2. REVIGO treemap summarizing suggestive GOs detected by the Gowinda program. The panel size corresponds to -log10(p). Colors indicate similar GO families summarized by REVIGO." title="" id="58" name="Picture"/>
            <a:graphic>
              <a:graphicData uri="http://schemas.openxmlformats.org/drawingml/2006/picture">
                <pic:pic>
                  <pic:nvPicPr>
                    <pic:cNvPr descr="../figures/revigo_treemap.pdf"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bookmarkEnd w:id="60"/>
    </w:p>
    <w:p>
      <w:pPr>
        <w:pStyle w:val="ImageCaption"/>
      </w:pPr>
      <w:r>
        <w:t xml:space="preserve">Figure S2. REVIGO treemap summarizing suggestive GOs detected by the Gowinda program. The panel size corresponds to -log10(</w:t>
      </w:r>
      <m:oMath>
        <m:r>
          <m:t>p</m:t>
        </m:r>
      </m:oMath>
      <w:r>
        <w:t xml:space="preserve">). Colors indicate similar GO families summarized by REVIGO.</w:t>
      </w:r>
    </w:p>
    <w:p>
      <w:pPr>
        <w:pStyle w:val="CaptionedFigure"/>
      </w:pPr>
      <w:bookmarkStart w:id="64" w:name="fig:aphid_last"/>
      <w:r>
        <w:drawing>
          <wp:inline>
            <wp:extent cx="5334000" cy="2000250"/>
            <wp:effectExtent b="0" l="0" r="0" t="0"/>
            <wp:docPr descr="Figure S3. The number of aphids during the later period of incubation. Asterisks indicate significant difference between each mutant and the wild type with Poisson GLMs: *** p&lt;0.001, ** p&lt;0.01, * p&lt;0.05. Boxes: median with upper and lower quartile; Whiskers: 1.5 \times inter-quartile range." title="" id="62" name="Picture"/>
            <a:graphic>
              <a:graphicData uri="http://schemas.openxmlformats.org/drawingml/2006/picture">
                <pic:pic>
                  <pic:nvPicPr>
                    <pic:cNvPr descr="../figures/aphid_last.pdf" id="63" name="Picture"/>
                    <pic:cNvPicPr>
                      <a:picLocks noChangeArrowheads="1" noChangeAspect="1"/>
                    </pic:cNvPicPr>
                  </pic:nvPicPr>
                  <pic:blipFill>
                    <a:blip r:embed="rId61"/>
                    <a:stretch>
                      <a:fillRect/>
                    </a:stretch>
                  </pic:blipFill>
                  <pic:spPr bwMode="auto">
                    <a:xfrm>
                      <a:off x="0" y="0"/>
                      <a:ext cx="5334000" cy="2000250"/>
                    </a:xfrm>
                    <a:prstGeom prst="rect">
                      <a:avLst/>
                    </a:prstGeom>
                    <a:noFill/>
                    <a:ln w="9525">
                      <a:noFill/>
                      <a:headEnd/>
                      <a:tailEnd/>
                    </a:ln>
                  </pic:spPr>
                </pic:pic>
              </a:graphicData>
            </a:graphic>
          </wp:inline>
        </w:drawing>
      </w:r>
      <w:bookmarkEnd w:id="64"/>
    </w:p>
    <w:p>
      <w:pPr>
        <w:pStyle w:val="ImageCaption"/>
      </w:pPr>
      <w:r>
        <w:t xml:space="preserve">Figure S3. The number of aphids during the later period of incubation. Asterisks indicate significant difference between each mutant and the wild type with Poisson GLMs: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p>
      <w:pPr>
        <w:pStyle w:val="BodyText"/>
      </w:pPr>
      <w:r>
        <w:t xml:space="preserve">Table S1. List of GWAS accessions and phenotypes.</w:t>
      </w:r>
    </w:p>
    <w:p>
      <w:pPr>
        <w:pStyle w:val="BodyText"/>
      </w:pPr>
      <w:r>
        <w:t xml:space="preserve">Table S2. List of mutant lines and primer information.</w:t>
      </w:r>
    </w:p>
    <w:bookmarkEnd w:id="65"/>
    <w:bookmarkStart w:id="109" w:name="references"/>
    <w:p>
      <w:pPr>
        <w:pStyle w:val="Heading1"/>
      </w:pPr>
      <w:r>
        <w:t xml:space="preserve">References</w:t>
      </w:r>
    </w:p>
    <w:bookmarkStart w:id="108" w:name="refs"/>
    <w:bookmarkStart w:id="66" w:name="ref-schoonhoven2005insect"/>
    <w:p>
      <w:pPr>
        <w:pStyle w:val="Bibliography"/>
      </w:pPr>
      <w:r>
        <w:t xml:space="preserve">1.</w:t>
      </w:r>
      <w:r>
        <w:t xml:space="preserve"> </w:t>
      </w:r>
      <w:r>
        <w:t xml:space="preserve">	</w:t>
      </w:r>
      <w:r>
        <w:t xml:space="preserve">Schoonhoven LM, Van Loon B, Loon JJ van, Dicke M. 2005</w:t>
      </w:r>
      <w:r>
        <w:t xml:space="preserve"> </w:t>
      </w:r>
      <w:r>
        <w:rPr>
          <w:iCs/>
          <w:i/>
        </w:rPr>
        <w:t xml:space="preserve">Insect-plant biology</w:t>
      </w:r>
      <w:r>
        <w:t xml:space="preserve">. Oxford University Press on Demand.</w:t>
      </w:r>
      <w:r>
        <w:t xml:space="preserve"> </w:t>
      </w:r>
    </w:p>
    <w:bookmarkEnd w:id="66"/>
    <w:bookmarkStart w:id="67" w:name="ref-carmona2011plant"/>
    <w:p>
      <w:pPr>
        <w:pStyle w:val="Bibliography"/>
      </w:pPr>
      <w:r>
        <w:t xml:space="preserve">2.</w:t>
      </w:r>
      <w:r>
        <w:t xml:space="preserve"> </w:t>
      </w:r>
      <w:r>
        <w:t xml:space="preserve">	</w:t>
      </w:r>
      <w:r>
        <w:t xml:space="preserve">Carmona D, Lajeunesse MJ, Johnson MT. 2011 Plant traits that predict resistance to herbivores.</w:t>
      </w:r>
      <w:r>
        <w:t xml:space="preserve"> </w:t>
      </w:r>
      <w:r>
        <w:rPr>
          <w:iCs/>
          <w:i/>
        </w:rPr>
        <w:t xml:space="preserve">Functional Ecology</w:t>
      </w:r>
      <w:r>
        <w:t xml:space="preserve"> </w:t>
      </w:r>
      <w:r>
        <w:rPr>
          <w:bCs/>
          <w:b/>
        </w:rPr>
        <w:t xml:space="preserve">25</w:t>
      </w:r>
      <w:r>
        <w:t xml:space="preserve">, 358–367.</w:t>
      </w:r>
    </w:p>
    <w:bookmarkEnd w:id="67"/>
    <w:bookmarkStart w:id="68" w:name="ref-barton2017future"/>
    <w:p>
      <w:pPr>
        <w:pStyle w:val="Bibliography"/>
      </w:pPr>
      <w:r>
        <w:t xml:space="preserve">3.</w:t>
      </w:r>
      <w:r>
        <w:t xml:space="preserve"> </w:t>
      </w:r>
      <w:r>
        <w:t xml:space="preserve">	</w:t>
      </w:r>
      <w:r>
        <w:t xml:space="preserve">Barton KE, Boege K. 2017 Future directions in the ontogeny of plant defence: Understanding the evolutionary causes and consequences.</w:t>
      </w:r>
      <w:r>
        <w:t xml:space="preserve"> </w:t>
      </w:r>
      <w:r>
        <w:rPr>
          <w:iCs/>
          <w:i/>
        </w:rPr>
        <w:t xml:space="preserve">Ecology Letters</w:t>
      </w:r>
      <w:r>
        <w:t xml:space="preserve"> </w:t>
      </w:r>
      <w:r>
        <w:rPr>
          <w:bCs/>
          <w:b/>
        </w:rPr>
        <w:t xml:space="preserve">20</w:t>
      </w:r>
      <w:r>
        <w:t xml:space="preserve">, 403–411.</w:t>
      </w:r>
    </w:p>
    <w:bookmarkEnd w:id="68"/>
    <w:bookmarkStart w:id="69" w:name="ref-kawagoe2010escape"/>
    <w:p>
      <w:pPr>
        <w:pStyle w:val="Bibliography"/>
      </w:pPr>
      <w:r>
        <w:t xml:space="preserve">4.</w:t>
      </w:r>
      <w:r>
        <w:t xml:space="preserve"> </w:t>
      </w:r>
      <w:r>
        <w:t xml:space="preserve">	</w:t>
      </w:r>
      <w:r>
        <w:t xml:space="preserve">Kawagoe T, Kudoh H. 2010 Escape from floral herbivory by early flowering in</w:t>
      </w:r>
      <w:r>
        <w:t xml:space="preserve"> </w:t>
      </w:r>
      <w:r>
        <w:rPr>
          <w:iCs/>
          <w:i/>
        </w:rPr>
        <w:t xml:space="preserve">A</w:t>
      </w:r>
      <w:r>
        <w:rPr>
          <w:iCs/>
          <w:i/>
        </w:rPr>
        <w:t xml:space="preserve">rabidopsis halleri</w:t>
      </w:r>
      <w:r>
        <w:t xml:space="preserve"> </w:t>
      </w:r>
      <w:r>
        <w:t xml:space="preserve">subsp.</w:t>
      </w:r>
      <w:r>
        <w:t xml:space="preserve"> </w:t>
      </w:r>
      <w:r>
        <w:rPr>
          <w:iCs/>
          <w:i/>
        </w:rPr>
        <w:t xml:space="preserve">g</w:t>
      </w:r>
      <w:r>
        <w:rPr>
          <w:iCs/>
          <w:i/>
        </w:rPr>
        <w:t xml:space="preserve">emmifera</w:t>
      </w:r>
      <w:r>
        <w:t xml:space="preserve">.</w:t>
      </w:r>
      <w:r>
        <w:t xml:space="preserve"> </w:t>
      </w:r>
      <w:r>
        <w:rPr>
          <w:iCs/>
          <w:i/>
        </w:rPr>
        <w:t xml:space="preserve">Oecologia</w:t>
      </w:r>
      <w:r>
        <w:t xml:space="preserve"> </w:t>
      </w:r>
      <w:r>
        <w:rPr>
          <w:bCs/>
          <w:b/>
        </w:rPr>
        <w:t xml:space="preserve">164</w:t>
      </w:r>
      <w:r>
        <w:t xml:space="preserve">, 713–720.</w:t>
      </w:r>
    </w:p>
    <w:bookmarkEnd w:id="69"/>
    <w:bookmarkStart w:id="70" w:name="ref-marquis2021escape"/>
    <w:p>
      <w:pPr>
        <w:pStyle w:val="Bibliography"/>
      </w:pPr>
      <w:r>
        <w:t xml:space="preserve">5.</w:t>
      </w:r>
      <w:r>
        <w:t xml:space="preserve"> </w:t>
      </w:r>
      <w:r>
        <w:t xml:space="preserve">	</w:t>
      </w:r>
      <w:r>
        <w:t xml:space="preserve">Marquis RJ, Moura RF. 2021 Escape as a mechanism of plant resistance against herbivores. In</w:t>
      </w:r>
      <w:r>
        <w:t xml:space="preserve"> </w:t>
      </w:r>
      <w:r>
        <w:rPr>
          <w:iCs/>
          <w:i/>
        </w:rPr>
        <w:t xml:space="preserve">Plant-animal interactions</w:t>
      </w:r>
      <w:r>
        <w:t xml:space="preserve">, pp. 39–57. Springer.</w:t>
      </w:r>
      <w:r>
        <w:t xml:space="preserve"> </w:t>
      </w:r>
    </w:p>
    <w:bookmarkEnd w:id="70"/>
    <w:bookmarkStart w:id="72" w:name="ref-feeny1976plant"/>
    <w:p>
      <w:pPr>
        <w:pStyle w:val="Bibliography"/>
      </w:pPr>
      <w:r>
        <w:t xml:space="preserve">6.</w:t>
      </w:r>
      <w:r>
        <w:t xml:space="preserve"> </w:t>
      </w:r>
      <w:r>
        <w:t xml:space="preserve">	</w:t>
      </w:r>
      <w:r>
        <w:t xml:space="preserve">Feeny P. 1976 Plant apparency and chemical defense. In</w:t>
      </w:r>
      <w:r>
        <w:t xml:space="preserve"> </w:t>
      </w:r>
      <w:r>
        <w:rPr>
          <w:iCs/>
          <w:i/>
        </w:rPr>
        <w:t xml:space="preserve">Biochemical interaction between plants and insects</w:t>
      </w:r>
      <w:r>
        <w:t xml:space="preserve"> </w:t>
      </w:r>
      <w:r>
        <w:t xml:space="preserve">(eds JW Wallace, RL Mansell), pp. 1–40. Boston, MA: Springer US. (doi:</w:t>
      </w:r>
      <w:hyperlink r:id="rId71">
        <w:r>
          <w:rPr>
            <w:rStyle w:val="Hyperlink"/>
          </w:rPr>
          <w:t xml:space="preserve">10.1007/978-1-4684-2646-5_1</w:t>
        </w:r>
      </w:hyperlink>
      <w:r>
        <w:t xml:space="preserve">)</w:t>
      </w:r>
    </w:p>
    <w:bookmarkEnd w:id="72"/>
    <w:bookmarkStart w:id="73" w:name="ref-zverev2017ontogenetic"/>
    <w:p>
      <w:pPr>
        <w:pStyle w:val="Bibliography"/>
      </w:pPr>
      <w:r>
        <w:t xml:space="preserve">7.</w:t>
      </w:r>
      <w:r>
        <w:t xml:space="preserve"> </w:t>
      </w:r>
      <w:r>
        <w:t xml:space="preserve">	</w:t>
      </w:r>
      <w:r>
        <w:t xml:space="preserve">Zverev V, Zvereva EL, Kozlov MV. 2017 Ontogenetic changes in insect herbivory in birch (</w:t>
      </w:r>
      <w:r>
        <w:rPr>
          <w:iCs/>
          <w:i/>
        </w:rPr>
        <w:t xml:space="preserve">B</w:t>
      </w:r>
      <w:r>
        <w:rPr>
          <w:iCs/>
          <w:i/>
        </w:rPr>
        <w:t xml:space="preserve">etula pubesecens</w:t>
      </w:r>
      <w:r>
        <w:t xml:space="preserve">): The importance of plant apparency.</w:t>
      </w:r>
      <w:r>
        <w:t xml:space="preserve"> </w:t>
      </w:r>
      <w:r>
        <w:rPr>
          <w:iCs/>
          <w:i/>
        </w:rPr>
        <w:t xml:space="preserve">Functional Ecology</w:t>
      </w:r>
      <w:r>
        <w:t xml:space="preserve"> </w:t>
      </w:r>
      <w:r>
        <w:rPr>
          <w:bCs/>
          <w:b/>
        </w:rPr>
        <w:t xml:space="preserve">31</w:t>
      </w:r>
      <w:r>
        <w:t xml:space="preserve">, 2224–2232.</w:t>
      </w:r>
    </w:p>
    <w:bookmarkEnd w:id="73"/>
    <w:bookmarkStart w:id="74" w:name="ref-johnson2009heritability"/>
    <w:p>
      <w:pPr>
        <w:pStyle w:val="Bibliography"/>
      </w:pPr>
      <w:r>
        <w:t xml:space="preserve">8.</w:t>
      </w:r>
      <w:r>
        <w:t xml:space="preserve"> </w:t>
      </w:r>
      <w:r>
        <w:t xml:space="preserve">	</w:t>
      </w:r>
      <w:r>
        <w:t xml:space="preserve">Johnson MT, Agrawal AA, Maron JL, Salminen J-P. 2009 Heritability, covariation and natural selection on 24 traits of common evening primrose (</w:t>
      </w:r>
      <w:r>
        <w:rPr>
          <w:iCs/>
          <w:i/>
        </w:rPr>
        <w:t xml:space="preserve">O</w:t>
      </w:r>
      <w:r>
        <w:rPr>
          <w:iCs/>
          <w:i/>
        </w:rPr>
        <w:t xml:space="preserve">enothera biennis</w:t>
      </w:r>
      <w:r>
        <w:t xml:space="preserve">) from a field experiment.</w:t>
      </w:r>
      <w:r>
        <w:t xml:space="preserve"> </w:t>
      </w:r>
      <w:r>
        <w:rPr>
          <w:iCs/>
          <w:i/>
        </w:rPr>
        <w:t xml:space="preserve">Journal of Evolutionary Biology</w:t>
      </w:r>
      <w:r>
        <w:t xml:space="preserve"> </w:t>
      </w:r>
      <w:r>
        <w:rPr>
          <w:bCs/>
          <w:b/>
        </w:rPr>
        <w:t xml:space="preserve">22</w:t>
      </w:r>
      <w:r>
        <w:t xml:space="preserve">, 1295–1307.</w:t>
      </w:r>
    </w:p>
    <w:bookmarkEnd w:id="74"/>
    <w:bookmarkStart w:id="75" w:name="ref-barbour2015multiple"/>
    <w:p>
      <w:pPr>
        <w:pStyle w:val="Bibliography"/>
      </w:pPr>
      <w:r>
        <w:t xml:space="preserve">9.</w:t>
      </w:r>
      <w:r>
        <w:t xml:space="preserve"> </w:t>
      </w:r>
      <w:r>
        <w:t xml:space="preserve">	</w:t>
      </w:r>
      <w:r>
        <w:t xml:space="preserve">Barbour MA, Rodriguez-Cabal MA, Wu ET, Julkunen-Tiitto R, Ritland CE, Miscampbell AE, Jules ES, Crutsinger GM. 2015 Multiple plant traits shape the genetic basis of herbivore community assembly.</w:t>
      </w:r>
      <w:r>
        <w:t xml:space="preserve"> </w:t>
      </w:r>
      <w:r>
        <w:rPr>
          <w:iCs/>
          <w:i/>
        </w:rPr>
        <w:t xml:space="preserve">Functional Ecology</w:t>
      </w:r>
      <w:r>
        <w:t xml:space="preserve"> </w:t>
      </w:r>
      <w:r>
        <w:rPr>
          <w:bCs/>
          <w:b/>
        </w:rPr>
        <w:t xml:space="preserve">29</w:t>
      </w:r>
      <w:r>
        <w:t xml:space="preserve">, 995–1006.</w:t>
      </w:r>
    </w:p>
    <w:bookmarkEnd w:id="75"/>
    <w:bookmarkStart w:id="76" w:name="ref-sato2019plant"/>
    <w:p>
      <w:pPr>
        <w:pStyle w:val="Bibliography"/>
      </w:pPr>
      <w:r>
        <w:t xml:space="preserve">10.</w:t>
      </w:r>
      <w:r>
        <w:t xml:space="preserve"> </w:t>
      </w:r>
      <w:r>
        <w:t xml:space="preserve">	</w:t>
      </w:r>
      <w:r>
        <w:t xml:space="preserve">Sato Y, Shimizu-Inatsugi R, Yamazaki M, Shimizu KK, Nagano AJ. 2019 Plant trichomes and a single gene</w:t>
      </w:r>
      <w:r>
        <w:t xml:space="preserve"> </w:t>
      </w:r>
      <w:r>
        <w:rPr>
          <w:iCs/>
          <w:i/>
        </w:rPr>
        <w:t xml:space="preserve">GLABRA1</w:t>
      </w:r>
      <w:r>
        <w:t xml:space="preserve"> </w:t>
      </w:r>
      <w:r>
        <w:t xml:space="preserve">contribute to insect community composition on field-grown</w:t>
      </w:r>
      <w:r>
        <w:t xml:space="preserve"> </w:t>
      </w:r>
      <w:r>
        <w:rPr>
          <w:iCs/>
          <w:i/>
        </w:rPr>
        <w:t xml:space="preserve">A</w:t>
      </w:r>
      <w:r>
        <w:rPr>
          <w:iCs/>
          <w:i/>
        </w:rPr>
        <w:t xml:space="preserve">rabidopsis thaliana</w:t>
      </w:r>
      <w:r>
        <w:t xml:space="preserve">.</w:t>
      </w:r>
      <w:r>
        <w:t xml:space="preserve"> </w:t>
      </w:r>
      <w:r>
        <w:rPr>
          <w:iCs/>
          <w:i/>
        </w:rPr>
        <w:t xml:space="preserve">BMC Plant Biology</w:t>
      </w:r>
      <w:r>
        <w:t xml:space="preserve"> </w:t>
      </w:r>
      <w:r>
        <w:rPr>
          <w:bCs/>
          <w:b/>
        </w:rPr>
        <w:t xml:space="preserve">19</w:t>
      </w:r>
      <w:r>
        <w:t xml:space="preserve">, 1–12.</w:t>
      </w:r>
    </w:p>
    <w:bookmarkEnd w:id="76"/>
    <w:bookmarkStart w:id="77" w:name="ref-barbour2022keystone"/>
    <w:p>
      <w:pPr>
        <w:pStyle w:val="Bibliography"/>
      </w:pPr>
      <w:r>
        <w:t xml:space="preserve">11.</w:t>
      </w:r>
      <w:r>
        <w:t xml:space="preserve"> </w:t>
      </w:r>
      <w:r>
        <w:t xml:space="preserve">	</w:t>
      </w:r>
      <w:r>
        <w:t xml:space="preserve">Barbour MA, Kliebenstein DJ, Bascompte J. 2022 A keystone gene underlies the persistence of an experimental food web.</w:t>
      </w:r>
      <w:r>
        <w:t xml:space="preserve"> </w:t>
      </w:r>
      <w:r>
        <w:rPr>
          <w:iCs/>
          <w:i/>
        </w:rPr>
        <w:t xml:space="preserve">Science</w:t>
      </w:r>
      <w:r>
        <w:t xml:space="preserve"> </w:t>
      </w:r>
      <w:r>
        <w:rPr>
          <w:bCs/>
          <w:b/>
        </w:rPr>
        <w:t xml:space="preserve">376</w:t>
      </w:r>
      <w:r>
        <w:t xml:space="preserve">, 70–73.</w:t>
      </w:r>
    </w:p>
    <w:bookmarkEnd w:id="77"/>
    <w:bookmarkStart w:id="78" w:name="ref-anderson2011ecological"/>
    <w:p>
      <w:pPr>
        <w:pStyle w:val="Bibliography"/>
      </w:pPr>
      <w:r>
        <w:t xml:space="preserve">12.</w:t>
      </w:r>
      <w:r>
        <w:t xml:space="preserve"> </w:t>
      </w:r>
      <w:r>
        <w:t xml:space="preserve">	</w:t>
      </w:r>
      <w:r>
        <w:t xml:space="preserve">Anderson JT, Mitchell-Olds T. 2011 Ecological genetics and genomics of plant defences: Evidence and approaches.</w:t>
      </w:r>
      <w:r>
        <w:t xml:space="preserve"> </w:t>
      </w:r>
      <w:r>
        <w:rPr>
          <w:iCs/>
          <w:i/>
        </w:rPr>
        <w:t xml:space="preserve">Functional Ecology</w:t>
      </w:r>
      <w:r>
        <w:t xml:space="preserve"> </w:t>
      </w:r>
      <w:r>
        <w:rPr>
          <w:bCs/>
          <w:b/>
        </w:rPr>
        <w:t xml:space="preserve">25</w:t>
      </w:r>
      <w:r>
        <w:t xml:space="preserve">, 312–324.</w:t>
      </w:r>
    </w:p>
    <w:bookmarkEnd w:id="78"/>
    <w:bookmarkStart w:id="79" w:name="ref-santure2018wild"/>
    <w:p>
      <w:pPr>
        <w:pStyle w:val="Bibliography"/>
      </w:pPr>
      <w:r>
        <w:t xml:space="preserve">13.</w:t>
      </w:r>
      <w:r>
        <w:t xml:space="preserve"> </w:t>
      </w:r>
      <w:r>
        <w:t xml:space="preserve">	</w:t>
      </w:r>
      <w:r>
        <w:t xml:space="preserve">Santure AW, Garant D. 2018 Wild GWAS—association mapping in natural populations.</w:t>
      </w:r>
      <w:r>
        <w:t xml:space="preserve"> </w:t>
      </w:r>
      <w:r>
        <w:rPr>
          <w:iCs/>
          <w:i/>
        </w:rPr>
        <w:t xml:space="preserve">Molecular Ecology Resources</w:t>
      </w:r>
      <w:r>
        <w:t xml:space="preserve"> </w:t>
      </w:r>
      <w:r>
        <w:rPr>
          <w:bCs/>
          <w:b/>
        </w:rPr>
        <w:t xml:space="preserve">18</w:t>
      </w:r>
      <w:r>
        <w:t xml:space="preserve">, 729–738.</w:t>
      </w:r>
    </w:p>
    <w:bookmarkEnd w:id="79"/>
    <w:bookmarkStart w:id="80" w:name="ref-fujii2019stigmatic"/>
    <w:p>
      <w:pPr>
        <w:pStyle w:val="Bibliography"/>
      </w:pPr>
      <w:r>
        <w:t xml:space="preserve">14.</w:t>
      </w:r>
      <w:r>
        <w:t xml:space="preserve"> </w:t>
      </w:r>
      <w:r>
        <w:t xml:space="preserve">	</w:t>
      </w:r>
      <w:r>
        <w:t xml:space="preserve">Fujii S</w:t>
      </w:r>
      <w:r>
        <w:t xml:space="preserve"> </w:t>
      </w:r>
      <w:r>
        <w:rPr>
          <w:iCs/>
          <w:i/>
        </w:rPr>
        <w:t xml:space="preserve">et al.</w:t>
      </w:r>
      <w:r>
        <w:t xml:space="preserve"> 2019 A stigmatic gene confers interspecies incompatibility in the</w:t>
      </w:r>
      <w:r>
        <w:t xml:space="preserve"> </w:t>
      </w:r>
      <w:r>
        <w:t xml:space="preserve">B</w:t>
      </w:r>
      <w:r>
        <w:t xml:space="preserve">rassicaceae.</w:t>
      </w:r>
      <w:r>
        <w:t xml:space="preserve"> </w:t>
      </w:r>
      <w:r>
        <w:rPr>
          <w:iCs/>
          <w:i/>
        </w:rPr>
        <w:t xml:space="preserve">Nature Plants</w:t>
      </w:r>
      <w:r>
        <w:t xml:space="preserve"> </w:t>
      </w:r>
      <w:r>
        <w:rPr>
          <w:bCs/>
          <w:b/>
        </w:rPr>
        <w:t xml:space="preserve">5</w:t>
      </w:r>
      <w:r>
        <w:t xml:space="preserve">, 731–741.</w:t>
      </w:r>
    </w:p>
    <w:bookmarkEnd w:id="80"/>
    <w:bookmarkStart w:id="81" w:name="ref-tsuchimatsu2020adaptive"/>
    <w:p>
      <w:pPr>
        <w:pStyle w:val="Bibliography"/>
      </w:pPr>
      <w:r>
        <w:t xml:space="preserve">15.</w:t>
      </w:r>
      <w:r>
        <w:t xml:space="preserve"> </w:t>
      </w:r>
      <w:r>
        <w:t xml:space="preserve">	</w:t>
      </w:r>
      <w:r>
        <w:t xml:space="preserve">Tsuchimatsu T</w:t>
      </w:r>
      <w:r>
        <w:t xml:space="preserve"> </w:t>
      </w:r>
      <w:r>
        <w:rPr>
          <w:iCs/>
          <w:i/>
        </w:rPr>
        <w:t xml:space="preserve">et al.</w:t>
      </w:r>
      <w:r>
        <w:t xml:space="preserve"> 2020 Adaptive reduction of male gamete number in the selfing plant</w:t>
      </w:r>
      <w:r>
        <w:t xml:space="preserve"> </w:t>
      </w:r>
      <w:r>
        <w:rPr>
          <w:iCs/>
          <w:i/>
        </w:rPr>
        <w:t xml:space="preserve">A</w:t>
      </w:r>
      <w:r>
        <w:rPr>
          <w:iCs/>
          <w:i/>
        </w:rPr>
        <w:t xml:space="preserve">rabidopsis thaliana</w:t>
      </w:r>
      <w:r>
        <w:t xml:space="preserve">.</w:t>
      </w:r>
      <w:r>
        <w:t xml:space="preserve"> </w:t>
      </w:r>
      <w:r>
        <w:rPr>
          <w:iCs/>
          <w:i/>
        </w:rPr>
        <w:t xml:space="preserve">Nature Communications</w:t>
      </w:r>
      <w:r>
        <w:t xml:space="preserve"> </w:t>
      </w:r>
      <w:r>
        <w:rPr>
          <w:bCs/>
          <w:b/>
        </w:rPr>
        <w:t xml:space="preserve">11</w:t>
      </w:r>
      <w:r>
        <w:t xml:space="preserve">, 1–9.</w:t>
      </w:r>
    </w:p>
    <w:bookmarkEnd w:id="81"/>
    <w:bookmarkStart w:id="82" w:name="ref-honjo2020seasonality"/>
    <w:p>
      <w:pPr>
        <w:pStyle w:val="Bibliography"/>
      </w:pPr>
      <w:r>
        <w:t xml:space="preserve">16.</w:t>
      </w:r>
      <w:r>
        <w:t xml:space="preserve"> </w:t>
      </w:r>
      <w:r>
        <w:t xml:space="preserve">	</w:t>
      </w:r>
      <w:r>
        <w:t xml:space="preserve">Honjo MN, Emura N, Kawagoe T, Sugisaka J, Kamitani M, Nagano AJ, Kudoh H. 2020 Seasonality of interactions between a plant virus and its host during persistent infection in a natural environment.</w:t>
      </w:r>
      <w:r>
        <w:t xml:space="preserve"> </w:t>
      </w:r>
      <w:r>
        <w:rPr>
          <w:iCs/>
          <w:i/>
        </w:rPr>
        <w:t xml:space="preserve">The ISME Journal</w:t>
      </w:r>
      <w:r>
        <w:t xml:space="preserve"> </w:t>
      </w:r>
      <w:r>
        <w:rPr>
          <w:bCs/>
          <w:b/>
        </w:rPr>
        <w:t xml:space="preserve">14</w:t>
      </w:r>
      <w:r>
        <w:t xml:space="preserve">, 506–518.</w:t>
      </w:r>
    </w:p>
    <w:bookmarkEnd w:id="82"/>
    <w:bookmarkStart w:id="83" w:name="ref-sato2019transcriptional"/>
    <w:p>
      <w:pPr>
        <w:pStyle w:val="Bibliography"/>
      </w:pPr>
      <w:r>
        <w:t xml:space="preserve">17.</w:t>
      </w:r>
      <w:r>
        <w:t xml:space="preserve"> </w:t>
      </w:r>
      <w:r>
        <w:t xml:space="preserve">	</w:t>
      </w:r>
      <w:r>
        <w:t xml:space="preserve">Sato Y, Tezuka A, Kashima M, Deguchi A, Shimizu-Inatsugi R, Yamazaki M, Shimizu KK, Nagano AJ. 2019 Transcriptional variation in glucosinolate biosynthetic genes and inducible responses to aphid herbivory on field-grown</w:t>
      </w:r>
      <w:r>
        <w:t xml:space="preserve"> </w:t>
      </w:r>
      <w:r>
        <w:rPr>
          <w:iCs/>
          <w:i/>
        </w:rPr>
        <w:t xml:space="preserve">A</w:t>
      </w:r>
      <w:r>
        <w:rPr>
          <w:iCs/>
          <w:i/>
        </w:rPr>
        <w:t xml:space="preserve">rabidopsis thaliana</w:t>
      </w:r>
      <w:r>
        <w:t xml:space="preserve">.</w:t>
      </w:r>
      <w:r>
        <w:t xml:space="preserve"> </w:t>
      </w:r>
      <w:r>
        <w:rPr>
          <w:iCs/>
          <w:i/>
        </w:rPr>
        <w:t xml:space="preserve">Frontiers in Genetics</w:t>
      </w:r>
      <w:r>
        <w:t xml:space="preserve">, 787.</w:t>
      </w:r>
    </w:p>
    <w:bookmarkEnd w:id="83"/>
    <w:bookmarkStart w:id="84" w:name="ref-shimizu2011plant"/>
    <w:p>
      <w:pPr>
        <w:pStyle w:val="Bibliography"/>
      </w:pPr>
      <w:r>
        <w:t xml:space="preserve">18.</w:t>
      </w:r>
      <w:r>
        <w:t xml:space="preserve"> </w:t>
      </w:r>
      <w:r>
        <w:t xml:space="preserve">	</w:t>
      </w:r>
      <w:r>
        <w:t xml:space="preserve">Shimizu KK, Kudoh H, Kobayashi MJ. 2011 Plant sexual reproduction during climate change: Gene function</w:t>
      </w:r>
      <w:r>
        <w:t xml:space="preserve"> </w:t>
      </w:r>
      <w:r>
        <w:rPr>
          <w:iCs/>
          <w:i/>
        </w:rPr>
        <w:t xml:space="preserve">in natura</w:t>
      </w:r>
      <w:r>
        <w:t xml:space="preserve"> </w:t>
      </w:r>
      <w:r>
        <w:t xml:space="preserve">studied by ecological and evolutionary systems biology.</w:t>
      </w:r>
      <w:r>
        <w:t xml:space="preserve"> </w:t>
      </w:r>
      <w:r>
        <w:rPr>
          <w:iCs/>
          <w:i/>
        </w:rPr>
        <w:t xml:space="preserve">Annals of Botany</w:t>
      </w:r>
      <w:r>
        <w:t xml:space="preserve"> </w:t>
      </w:r>
      <w:r>
        <w:rPr>
          <w:bCs/>
          <w:b/>
        </w:rPr>
        <w:t xml:space="preserve">108</w:t>
      </w:r>
      <w:r>
        <w:t xml:space="preserve">, 777–787.</w:t>
      </w:r>
    </w:p>
    <w:bookmarkEnd w:id="84"/>
    <w:bookmarkStart w:id="85" w:name="ref-kudoh2016molecular"/>
    <w:p>
      <w:pPr>
        <w:pStyle w:val="Bibliography"/>
      </w:pPr>
      <w:r>
        <w:t xml:space="preserve">19.</w:t>
      </w:r>
      <w:r>
        <w:t xml:space="preserve"> </w:t>
      </w:r>
      <w:r>
        <w:t xml:space="preserve">	</w:t>
      </w:r>
      <w:r>
        <w:t xml:space="preserve">Kudoh H. 2016 Molecular phenology in plants: In natura systems biology for the comprehensive understanding of seasonal responses under natural environments.</w:t>
      </w:r>
      <w:r>
        <w:t xml:space="preserve"> </w:t>
      </w:r>
      <w:r>
        <w:rPr>
          <w:iCs/>
          <w:i/>
        </w:rPr>
        <w:t xml:space="preserve">New Phytologist</w:t>
      </w:r>
      <w:r>
        <w:t xml:space="preserve"> </w:t>
      </w:r>
      <w:r>
        <w:rPr>
          <w:bCs/>
          <w:b/>
        </w:rPr>
        <w:t xml:space="preserve">210</w:t>
      </w:r>
      <w:r>
        <w:t xml:space="preserve">, 399–412.</w:t>
      </w:r>
    </w:p>
    <w:bookmarkEnd w:id="85"/>
    <w:bookmarkStart w:id="86" w:name="ref-yamasaki2017genomics"/>
    <w:p>
      <w:pPr>
        <w:pStyle w:val="Bibliography"/>
      </w:pPr>
      <w:r>
        <w:t xml:space="preserve">20.</w:t>
      </w:r>
      <w:r>
        <w:t xml:space="preserve"> </w:t>
      </w:r>
      <w:r>
        <w:t xml:space="preserve">	</w:t>
      </w:r>
      <w:r>
        <w:t xml:space="preserve">Yamasaki E</w:t>
      </w:r>
      <w:r>
        <w:t xml:space="preserve"> </w:t>
      </w:r>
      <w:r>
        <w:rPr>
          <w:iCs/>
          <w:i/>
        </w:rPr>
        <w:t xml:space="preserve">et al.</w:t>
      </w:r>
      <w:r>
        <w:t xml:space="preserve"> 2017 Genomics meets remote sensing in global change studies: Monitoring and predicting phenology, evolution and biodiversity.</w:t>
      </w:r>
      <w:r>
        <w:t xml:space="preserve"> </w:t>
      </w:r>
      <w:r>
        <w:rPr>
          <w:iCs/>
          <w:i/>
        </w:rPr>
        <w:t xml:space="preserve">Current Opinion in Environmental Sustainability</w:t>
      </w:r>
      <w:r>
        <w:t xml:space="preserve"> </w:t>
      </w:r>
      <w:r>
        <w:rPr>
          <w:bCs/>
          <w:b/>
        </w:rPr>
        <w:t xml:space="preserve">29</w:t>
      </w:r>
      <w:r>
        <w:t xml:space="preserve">, 177–186.</w:t>
      </w:r>
    </w:p>
    <w:bookmarkEnd w:id="86"/>
    <w:bookmarkStart w:id="87" w:name="ref-stockenhuber2021uv"/>
    <w:p>
      <w:pPr>
        <w:pStyle w:val="Bibliography"/>
      </w:pPr>
      <w:r>
        <w:t xml:space="preserve">21.</w:t>
      </w:r>
      <w:r>
        <w:t xml:space="preserve"> </w:t>
      </w:r>
      <w:r>
        <w:t xml:space="preserve">	</w:t>
      </w:r>
      <w:r>
        <w:t xml:space="preserve">Stockenhuber R</w:t>
      </w:r>
      <w:r>
        <w:t xml:space="preserve"> </w:t>
      </w:r>
      <w:r>
        <w:rPr>
          <w:iCs/>
          <w:i/>
        </w:rPr>
        <w:t xml:space="preserve">et al.</w:t>
      </w:r>
      <w:r>
        <w:t xml:space="preserve"> 2021 The</w:t>
      </w:r>
      <w:r>
        <w:t xml:space="preserve"> </w:t>
      </w:r>
      <w:r>
        <w:rPr>
          <w:iCs/>
          <w:i/>
        </w:rPr>
        <w:t xml:space="preserve">UV RESISTANCE LOCUS 8</w:t>
      </w:r>
      <w:r>
        <w:t xml:space="preserve">-mediated UV-b response is required alongside</w:t>
      </w:r>
      <w:r>
        <w:t xml:space="preserve"> </w:t>
      </w:r>
      <w:r>
        <w:rPr>
          <w:iCs/>
          <w:i/>
        </w:rPr>
        <w:t xml:space="preserve">CRYPTOCHROME1</w:t>
      </w:r>
      <w:r>
        <w:t xml:space="preserve"> </w:t>
      </w:r>
      <w:r>
        <w:t xml:space="preserve">for plant survival under sunlight in the field.</w:t>
      </w:r>
      <w:r>
        <w:t xml:space="preserve"> </w:t>
      </w:r>
      <w:r>
        <w:rPr>
          <w:iCs/>
          <w:i/>
        </w:rPr>
        <w:t xml:space="preserve">bioRxiv</w:t>
      </w:r>
      <w:r>
        <w:t xml:space="preserve"> </w:t>
      </w:r>
    </w:p>
    <w:bookmarkEnd w:id="87"/>
    <w:bookmarkStart w:id="88" w:name="ref-thompson1994spatiotemporal"/>
    <w:p>
      <w:pPr>
        <w:pStyle w:val="Bibliography"/>
      </w:pPr>
      <w:r>
        <w:t xml:space="preserve">22.</w:t>
      </w:r>
      <w:r>
        <w:t xml:space="preserve"> </w:t>
      </w:r>
      <w:r>
        <w:t xml:space="preserve">	</w:t>
      </w:r>
      <w:r>
        <w:t xml:space="preserve">Thompson L. 1994 The spatiotemporal effects of nitrogen and litter on the population dynamics of</w:t>
      </w:r>
      <w:r>
        <w:t xml:space="preserve"> </w:t>
      </w:r>
      <w:r>
        <w:rPr>
          <w:iCs/>
          <w:i/>
        </w:rPr>
        <w:t xml:space="preserve">A</w:t>
      </w:r>
      <w:r>
        <w:rPr>
          <w:iCs/>
          <w:i/>
        </w:rPr>
        <w:t xml:space="preserve">rabidopsis thaliana</w:t>
      </w:r>
      <w:r>
        <w:t xml:space="preserve">.</w:t>
      </w:r>
      <w:r>
        <w:t xml:space="preserve"> </w:t>
      </w:r>
      <w:r>
        <w:rPr>
          <w:iCs/>
          <w:i/>
        </w:rPr>
        <w:t xml:space="preserve">Journal of Ecology</w:t>
      </w:r>
      <w:r>
        <w:t xml:space="preserve">, 63–68.</w:t>
      </w:r>
    </w:p>
    <w:bookmarkEnd w:id="88"/>
    <w:bookmarkStart w:id="89" w:name="ref-taylor2017interacting"/>
    <w:p>
      <w:pPr>
        <w:pStyle w:val="Bibliography"/>
      </w:pPr>
      <w:r>
        <w:t xml:space="preserve">23.</w:t>
      </w:r>
      <w:r>
        <w:t xml:space="preserve"> </w:t>
      </w:r>
      <w:r>
        <w:t xml:space="preserve">	</w:t>
      </w:r>
      <w:r>
        <w:t xml:space="preserve">Taylor MA, Cooper MD, Sellamuthu R, Braun P, Migneault A, Browning A, Perry E, Schmitt J. 2017 Interacting effects of genetic variation for seed dormancy and flowering time on phenology, life history, and fitness of experimental</w:t>
      </w:r>
      <w:r>
        <w:t xml:space="preserve"> </w:t>
      </w:r>
      <w:r>
        <w:rPr>
          <w:iCs/>
          <w:i/>
        </w:rPr>
        <w:t xml:space="preserve">A</w:t>
      </w:r>
      <w:r>
        <w:rPr>
          <w:iCs/>
          <w:i/>
        </w:rPr>
        <w:t xml:space="preserve">rabidopsis thaliana</w:t>
      </w:r>
      <w:r>
        <w:t xml:space="preserve"> </w:t>
      </w:r>
      <w:r>
        <w:t xml:space="preserve">populations over multiple generations in the field.</w:t>
      </w:r>
      <w:r>
        <w:t xml:space="preserve"> </w:t>
      </w:r>
      <w:r>
        <w:rPr>
          <w:iCs/>
          <w:i/>
        </w:rPr>
        <w:t xml:space="preserve">New Phytologist</w:t>
      </w:r>
      <w:r>
        <w:t xml:space="preserve"> </w:t>
      </w:r>
      <w:r>
        <w:rPr>
          <w:bCs/>
          <w:b/>
        </w:rPr>
        <w:t xml:space="preserve">216</w:t>
      </w:r>
      <w:r>
        <w:t xml:space="preserve">, 291–302.</w:t>
      </w:r>
    </w:p>
    <w:bookmarkEnd w:id="89"/>
    <w:bookmarkStart w:id="90" w:name="ref-mosleh2009herbivory"/>
    <w:p>
      <w:pPr>
        <w:pStyle w:val="Bibliography"/>
      </w:pPr>
      <w:r>
        <w:t xml:space="preserve">24.</w:t>
      </w:r>
      <w:r>
        <w:t xml:space="preserve"> </w:t>
      </w:r>
      <w:r>
        <w:t xml:space="preserve">	</w:t>
      </w:r>
      <w:r>
        <w:t xml:space="preserve">Mosleh Arany A, Jong TJ de, Meijden E van der. 2009 Herbivory and local genetic differentiation in natural populations of</w:t>
      </w:r>
      <w:r>
        <w:t xml:space="preserve"> </w:t>
      </w:r>
      <w:r>
        <w:rPr>
          <w:iCs/>
          <w:i/>
        </w:rPr>
        <w:t xml:space="preserve">A</w:t>
      </w:r>
      <w:r>
        <w:rPr>
          <w:iCs/>
          <w:i/>
        </w:rPr>
        <w:t xml:space="preserve">rabidopsis thaliana</w:t>
      </w:r>
      <w:r>
        <w:t xml:space="preserve"> </w:t>
      </w:r>
      <w:r>
        <w:t xml:space="preserve">(</w:t>
      </w:r>
      <w:r>
        <w:t xml:space="preserve">B</w:t>
      </w:r>
      <w:r>
        <w:t xml:space="preserve">rassicaceae).</w:t>
      </w:r>
      <w:r>
        <w:t xml:space="preserve"> </w:t>
      </w:r>
      <w:r>
        <w:rPr>
          <w:iCs/>
          <w:i/>
        </w:rPr>
        <w:t xml:space="preserve">Plant Ecology</w:t>
      </w:r>
      <w:r>
        <w:t xml:space="preserve"> </w:t>
      </w:r>
      <w:r>
        <w:rPr>
          <w:bCs/>
          <w:b/>
        </w:rPr>
        <w:t xml:space="preserve">201</w:t>
      </w:r>
      <w:r>
        <w:t xml:space="preserve">, 651–659.</w:t>
      </w:r>
    </w:p>
    <w:bookmarkEnd w:id="90"/>
    <w:bookmarkStart w:id="91" w:name="ref-zust2012natural"/>
    <w:p>
      <w:pPr>
        <w:pStyle w:val="Bibliography"/>
      </w:pPr>
      <w:r>
        <w:t xml:space="preserve">25.</w:t>
      </w:r>
      <w:r>
        <w:t xml:space="preserve"> </w:t>
      </w:r>
      <w:r>
        <w:t xml:space="preserve">	</w:t>
      </w:r>
      <w:r>
        <w:t xml:space="preserve">Züst T, Heichinger C, Grossniklaus U, Harrington R, Kliebenstein DJ, Turnbull LA. 2012 Natural enemies drive geographic variation in plant defenses.</w:t>
      </w:r>
      <w:r>
        <w:t xml:space="preserve"> </w:t>
      </w:r>
      <w:r>
        <w:rPr>
          <w:iCs/>
          <w:i/>
        </w:rPr>
        <w:t xml:space="preserve">Science</w:t>
      </w:r>
      <w:r>
        <w:t xml:space="preserve"> </w:t>
      </w:r>
      <w:r>
        <w:rPr>
          <w:bCs/>
          <w:b/>
        </w:rPr>
        <w:t xml:space="preserve">338</w:t>
      </w:r>
      <w:r>
        <w:t xml:space="preserve">, 116–119.</w:t>
      </w:r>
    </w:p>
    <w:bookmarkEnd w:id="91"/>
    <w:bookmarkStart w:id="92" w:name="ref-horton2012genome"/>
    <w:p>
      <w:pPr>
        <w:pStyle w:val="Bibliography"/>
      </w:pPr>
      <w:r>
        <w:t xml:space="preserve">26.</w:t>
      </w:r>
      <w:r>
        <w:t xml:space="preserve"> </w:t>
      </w:r>
      <w:r>
        <w:t xml:space="preserve">	</w:t>
      </w:r>
      <w:r>
        <w:t xml:space="preserve">Horton MW</w:t>
      </w:r>
      <w:r>
        <w:t xml:space="preserve"> </w:t>
      </w:r>
      <w:r>
        <w:rPr>
          <w:iCs/>
          <w:i/>
        </w:rPr>
        <w:t xml:space="preserve">et al.</w:t>
      </w:r>
      <w:r>
        <w:t xml:space="preserve"> 2012 Genome-wide patterns of genetic variation in worldwide</w:t>
      </w:r>
      <w:r>
        <w:t xml:space="preserve"> </w:t>
      </w:r>
      <w:r>
        <w:rPr>
          <w:iCs/>
          <w:i/>
        </w:rPr>
        <w:t xml:space="preserve">A</w:t>
      </w:r>
      <w:r>
        <w:rPr>
          <w:iCs/>
          <w:i/>
        </w:rPr>
        <w:t xml:space="preserve">rabidopsis thaliana</w:t>
      </w:r>
      <w:r>
        <w:t xml:space="preserve"> </w:t>
      </w:r>
      <w:r>
        <w:t xml:space="preserve">accessions from the RegMap panel.</w:t>
      </w:r>
      <w:r>
        <w:t xml:space="preserve"> </w:t>
      </w:r>
      <w:r>
        <w:rPr>
          <w:iCs/>
          <w:i/>
        </w:rPr>
        <w:t xml:space="preserve">Nature Genetics</w:t>
      </w:r>
      <w:r>
        <w:t xml:space="preserve"> </w:t>
      </w:r>
      <w:r>
        <w:rPr>
          <w:bCs/>
          <w:b/>
        </w:rPr>
        <w:t xml:space="preserve">44</w:t>
      </w:r>
      <w:r>
        <w:t xml:space="preserve">, 212–216.</w:t>
      </w:r>
    </w:p>
    <w:bookmarkEnd w:id="92"/>
    <w:bookmarkStart w:id="93" w:name="ref-alonso20161"/>
    <w:p>
      <w:pPr>
        <w:pStyle w:val="Bibliography"/>
      </w:pPr>
      <w:r>
        <w:t xml:space="preserve">27.</w:t>
      </w:r>
      <w:r>
        <w:t xml:space="preserve"> </w:t>
      </w:r>
      <w:r>
        <w:t xml:space="preserve">	</w:t>
      </w:r>
      <w:r>
        <w:t xml:space="preserve">Alonso-Blanco C</w:t>
      </w:r>
      <w:r>
        <w:t xml:space="preserve"> </w:t>
      </w:r>
      <w:r>
        <w:rPr>
          <w:iCs/>
          <w:i/>
        </w:rPr>
        <w:t xml:space="preserve">et al.</w:t>
      </w:r>
      <w:r>
        <w:t xml:space="preserve"> 2016 1,135 genomes reveal the global pattern of polymorphism in</w:t>
      </w:r>
      <w:r>
        <w:t xml:space="preserve"> </w:t>
      </w:r>
      <w:r>
        <w:rPr>
          <w:iCs/>
          <w:i/>
        </w:rPr>
        <w:t xml:space="preserve">A</w:t>
      </w:r>
      <w:r>
        <w:rPr>
          <w:iCs/>
          <w:i/>
        </w:rPr>
        <w:t xml:space="preserve">rabidopsis thaliana</w:t>
      </w:r>
      <w:r>
        <w:t xml:space="preserve">.</w:t>
      </w:r>
      <w:r>
        <w:t xml:space="preserve"> </w:t>
      </w:r>
      <w:r>
        <w:rPr>
          <w:iCs/>
          <w:i/>
        </w:rPr>
        <w:t xml:space="preserve">Cell</w:t>
      </w:r>
      <w:r>
        <w:t xml:space="preserve"> </w:t>
      </w:r>
      <w:r>
        <w:rPr>
          <w:bCs/>
          <w:b/>
        </w:rPr>
        <w:t xml:space="preserve">166</w:t>
      </w:r>
      <w:r>
        <w:t xml:space="preserve">, 481–491.</w:t>
      </w:r>
    </w:p>
    <w:bookmarkEnd w:id="93"/>
    <w:bookmarkStart w:id="94" w:name="ref-horton2014genome"/>
    <w:p>
      <w:pPr>
        <w:pStyle w:val="Bibliography"/>
      </w:pPr>
      <w:r>
        <w:t xml:space="preserve">28.</w:t>
      </w:r>
      <w:r>
        <w:t xml:space="preserve"> </w:t>
      </w:r>
      <w:r>
        <w:t xml:space="preserve">	</w:t>
      </w:r>
      <w:r>
        <w:t xml:space="preserve">Horton MW</w:t>
      </w:r>
      <w:r>
        <w:t xml:space="preserve"> </w:t>
      </w:r>
      <w:r>
        <w:rPr>
          <w:iCs/>
          <w:i/>
        </w:rPr>
        <w:t xml:space="preserve">et al.</w:t>
      </w:r>
      <w:r>
        <w:t xml:space="preserve"> 2014 Genome-wide association study of</w:t>
      </w:r>
      <w:r>
        <w:t xml:space="preserve"> </w:t>
      </w:r>
      <w:r>
        <w:rPr>
          <w:iCs/>
          <w:i/>
        </w:rPr>
        <w:t xml:space="preserve">A</w:t>
      </w:r>
      <w:r>
        <w:rPr>
          <w:iCs/>
          <w:i/>
        </w:rPr>
        <w:t xml:space="preserve">rabidopsis thaliana</w:t>
      </w:r>
      <w:r>
        <w:t xml:space="preserve"> </w:t>
      </w:r>
      <w:r>
        <w:t xml:space="preserve">leaf microbial community.</w:t>
      </w:r>
      <w:r>
        <w:t xml:space="preserve"> </w:t>
      </w:r>
      <w:r>
        <w:rPr>
          <w:iCs/>
          <w:i/>
        </w:rPr>
        <w:t xml:space="preserve">Nature Communications</w:t>
      </w:r>
      <w:r>
        <w:t xml:space="preserve"> </w:t>
      </w:r>
      <w:r>
        <w:rPr>
          <w:bCs/>
          <w:b/>
        </w:rPr>
        <w:t xml:space="preserve">5</w:t>
      </w:r>
      <w:r>
        <w:t xml:space="preserve">, 1–7.</w:t>
      </w:r>
    </w:p>
    <w:bookmarkEnd w:id="94"/>
    <w:bookmarkStart w:id="95" w:name="ref-seren2018gwa"/>
    <w:p>
      <w:pPr>
        <w:pStyle w:val="Bibliography"/>
      </w:pPr>
      <w:r>
        <w:t xml:space="preserve">29.</w:t>
      </w:r>
      <w:r>
        <w:t xml:space="preserve"> </w:t>
      </w:r>
      <w:r>
        <w:t xml:space="preserve">	</w:t>
      </w:r>
      <w:r>
        <w:t xml:space="preserve">Seren Ü. 2018 GWA-portal: Genome-wide association studies made easy. In</w:t>
      </w:r>
      <w:r>
        <w:t xml:space="preserve"> </w:t>
      </w:r>
      <w:r>
        <w:rPr>
          <w:iCs/>
          <w:i/>
        </w:rPr>
        <w:t xml:space="preserve">Root development</w:t>
      </w:r>
      <w:r>
        <w:t xml:space="preserve">, pp. 303–319. Springer.</w:t>
      </w:r>
      <w:r>
        <w:t xml:space="preserve"> </w:t>
      </w:r>
    </w:p>
    <w:bookmarkEnd w:id="95"/>
    <w:bookmarkStart w:id="96" w:name="ref-kofler2012gowinda"/>
    <w:p>
      <w:pPr>
        <w:pStyle w:val="Bibliography"/>
      </w:pPr>
      <w:r>
        <w:t xml:space="preserve">30.</w:t>
      </w:r>
      <w:r>
        <w:t xml:space="preserve"> </w:t>
      </w:r>
      <w:r>
        <w:t xml:space="preserve">	</w:t>
      </w:r>
      <w:r>
        <w:t xml:space="preserve">Kofler R, Schlötterer C. 2012 Gowinda: Unbiased analysis of gene set enrichment for genome-wide association studies.</w:t>
      </w:r>
      <w:r>
        <w:t xml:space="preserve"> </w:t>
      </w:r>
      <w:r>
        <w:rPr>
          <w:iCs/>
          <w:i/>
        </w:rPr>
        <w:t xml:space="preserve">Bioinformatics</w:t>
      </w:r>
      <w:r>
        <w:t xml:space="preserve"> </w:t>
      </w:r>
      <w:r>
        <w:rPr>
          <w:bCs/>
          <w:b/>
        </w:rPr>
        <w:t xml:space="preserve">28</w:t>
      </w:r>
      <w:r>
        <w:t xml:space="preserve">, 2084–2085.</w:t>
      </w:r>
    </w:p>
    <w:bookmarkEnd w:id="96"/>
    <w:bookmarkStart w:id="97" w:name="ref-o2015user"/>
    <w:p>
      <w:pPr>
        <w:pStyle w:val="Bibliography"/>
      </w:pPr>
      <w:r>
        <w:t xml:space="preserve">31.</w:t>
      </w:r>
      <w:r>
        <w:t xml:space="preserve"> </w:t>
      </w:r>
      <w:r>
        <w:t xml:space="preserve">	</w:t>
      </w:r>
      <w:r>
        <w:t xml:space="preserve">O’Malley RC, Barragan CC, Ecker JR. 2015 A user’s guide to the arabidopsis t-DNA insertion mutant collections. In</w:t>
      </w:r>
      <w:r>
        <w:t xml:space="preserve"> </w:t>
      </w:r>
      <w:r>
        <w:rPr>
          <w:iCs/>
          <w:i/>
        </w:rPr>
        <w:t xml:space="preserve">Plant functional genomics</w:t>
      </w:r>
      <w:r>
        <w:t xml:space="preserve">, pp. 323–342. Springer.</w:t>
      </w:r>
      <w:r>
        <w:t xml:space="preserve"> </w:t>
      </w:r>
    </w:p>
    <w:bookmarkEnd w:id="97"/>
    <w:bookmarkStart w:id="98" w:name="ref-schiefelbein1990genetic"/>
    <w:p>
      <w:pPr>
        <w:pStyle w:val="Bibliography"/>
      </w:pPr>
      <w:r>
        <w:t xml:space="preserve">32.</w:t>
      </w:r>
      <w:r>
        <w:t xml:space="preserve"> </w:t>
      </w:r>
      <w:r>
        <w:t xml:space="preserve">	</w:t>
      </w:r>
      <w:r>
        <w:t xml:space="preserve">Schiefelbein JW, Somerville C. 1990 Genetic control of root hair development in</w:t>
      </w:r>
      <w:r>
        <w:t xml:space="preserve"> </w:t>
      </w:r>
      <w:r>
        <w:rPr>
          <w:iCs/>
          <w:i/>
        </w:rPr>
        <w:t xml:space="preserve">A</w:t>
      </w:r>
      <w:r>
        <w:rPr>
          <w:iCs/>
          <w:i/>
        </w:rPr>
        <w:t xml:space="preserve">rabidopsis thaliana</w:t>
      </w:r>
      <w:r>
        <w:t xml:space="preserve">.</w:t>
      </w:r>
      <w:r>
        <w:t xml:space="preserve"> </w:t>
      </w:r>
      <w:r>
        <w:rPr>
          <w:iCs/>
          <w:i/>
        </w:rPr>
        <w:t xml:space="preserve">The Plant Cell</w:t>
      </w:r>
      <w:r>
        <w:t xml:space="preserve"> </w:t>
      </w:r>
      <w:r>
        <w:rPr>
          <w:bCs/>
          <w:b/>
        </w:rPr>
        <w:t xml:space="preserve">2</w:t>
      </w:r>
      <w:r>
        <w:t xml:space="preserve">, 235–243.</w:t>
      </w:r>
    </w:p>
    <w:bookmarkEnd w:id="98"/>
    <w:bookmarkStart w:id="99" w:name="ref-zhang2013root"/>
    <w:p>
      <w:pPr>
        <w:pStyle w:val="Bibliography"/>
      </w:pPr>
      <w:r>
        <w:t xml:space="preserve">33.</w:t>
      </w:r>
      <w:r>
        <w:t xml:space="preserve"> </w:t>
      </w:r>
      <w:r>
        <w:t xml:space="preserve">	</w:t>
      </w:r>
      <w:r>
        <w:t xml:space="preserve">Zhang M, Wu F, Shi J, Zhu Y, Zhu Z, Gong Q, Hu J. 2013</w:t>
      </w:r>
      <w:r>
        <w:t xml:space="preserve"> </w:t>
      </w:r>
      <w:r>
        <w:rPr>
          <w:iCs/>
          <w:i/>
        </w:rPr>
        <w:t xml:space="preserve">ROOT HAIR DEFECTIVE3</w:t>
      </w:r>
      <w:r>
        <w:t xml:space="preserve"> </w:t>
      </w:r>
      <w:r>
        <w:t xml:space="preserve">family of dynamin-like GTPases mediates homotypic endoplasmic reticulum fusion and is essential for</w:t>
      </w:r>
      <w:r>
        <w:t xml:space="preserve"> </w:t>
      </w:r>
      <w:r>
        <w:rPr>
          <w:iCs/>
          <w:i/>
        </w:rPr>
        <w:t xml:space="preserve">A</w:t>
      </w:r>
      <w:r>
        <w:rPr>
          <w:iCs/>
          <w:i/>
        </w:rPr>
        <w:t xml:space="preserve">rabidopsis</w:t>
      </w:r>
      <w:r>
        <w:t xml:space="preserve"> </w:t>
      </w:r>
      <w:r>
        <w:t xml:space="preserve">development.</w:t>
      </w:r>
      <w:r>
        <w:t xml:space="preserve"> </w:t>
      </w:r>
      <w:r>
        <w:rPr>
          <w:iCs/>
          <w:i/>
        </w:rPr>
        <w:t xml:space="preserve">Plant Physiology</w:t>
      </w:r>
      <w:r>
        <w:t xml:space="preserve"> </w:t>
      </w:r>
      <w:r>
        <w:rPr>
          <w:bCs/>
          <w:b/>
        </w:rPr>
        <w:t xml:space="preserve">163</w:t>
      </w:r>
      <w:r>
        <w:t xml:space="preserve">, 713–720.</w:t>
      </w:r>
    </w:p>
    <w:bookmarkEnd w:id="99"/>
    <w:bookmarkStart w:id="100" w:name="ref-mitsuda2006efficient"/>
    <w:p>
      <w:pPr>
        <w:pStyle w:val="Bibliography"/>
      </w:pPr>
      <w:r>
        <w:t xml:space="preserve">34.</w:t>
      </w:r>
      <w:r>
        <w:t xml:space="preserve"> </w:t>
      </w:r>
      <w:r>
        <w:t xml:space="preserve">	</w:t>
      </w:r>
      <w:r>
        <w:t xml:space="preserve">Mitsuda N, Hiratsu K, Todaka D, Nakashima K, Yamaguchi-Shinozaki K, Ohme-Takagi M. 2006 Efficient production of male and female sterile plants by expression of a chimeric repressor in</w:t>
      </w:r>
      <w:r>
        <w:t xml:space="preserve"> </w:t>
      </w:r>
      <w:r>
        <w:rPr>
          <w:iCs/>
          <w:i/>
        </w:rPr>
        <w:t xml:space="preserve">A</w:t>
      </w:r>
      <w:r>
        <w:rPr>
          <w:iCs/>
          <w:i/>
        </w:rPr>
        <w:t xml:space="preserve">rabidopsis</w:t>
      </w:r>
      <w:r>
        <w:t xml:space="preserve"> </w:t>
      </w:r>
      <w:r>
        <w:t xml:space="preserve">and rice.</w:t>
      </w:r>
      <w:r>
        <w:t xml:space="preserve"> </w:t>
      </w:r>
      <w:r>
        <w:rPr>
          <w:iCs/>
          <w:i/>
        </w:rPr>
        <w:t xml:space="preserve">Plant Biotechnology Journal</w:t>
      </w:r>
      <w:r>
        <w:t xml:space="preserve"> </w:t>
      </w:r>
      <w:r>
        <w:rPr>
          <w:bCs/>
          <w:b/>
        </w:rPr>
        <w:t xml:space="preserve">4</w:t>
      </w:r>
      <w:r>
        <w:t xml:space="preserve">, 325–332.</w:t>
      </w:r>
    </w:p>
    <w:bookmarkEnd w:id="100"/>
    <w:bookmarkStart w:id="101" w:name="ref-chateigner2013domainsz"/>
    <w:p>
      <w:pPr>
        <w:pStyle w:val="Bibliography"/>
      </w:pPr>
      <w:r>
        <w:t xml:space="preserve">35.</w:t>
      </w:r>
      <w:r>
        <w:t xml:space="preserve"> </w:t>
      </w:r>
      <w:r>
        <w:t xml:space="preserve">	</w:t>
      </w:r>
      <w:r>
        <w:t xml:space="preserve">Chateigner-Boutin A-L, Colas des Francs-Small C, Fujii S, Okuda K, Tanz SK, Small I. 2013 The e domains of pentatricopeptide repeat proteins from different organelles are not functionally equivalent for RNA editing.</w:t>
      </w:r>
      <w:r>
        <w:t xml:space="preserve"> </w:t>
      </w:r>
      <w:r>
        <w:rPr>
          <w:iCs/>
          <w:i/>
        </w:rPr>
        <w:t xml:space="preserve">The Plant Journal</w:t>
      </w:r>
      <w:r>
        <w:t xml:space="preserve"> </w:t>
      </w:r>
      <w:r>
        <w:rPr>
          <w:bCs/>
          <w:b/>
        </w:rPr>
        <w:t xml:space="preserve">74</w:t>
      </w:r>
      <w:r>
        <w:t xml:space="preserve">, 935–945.</w:t>
      </w:r>
    </w:p>
    <w:bookmarkEnd w:id="101"/>
    <w:bookmarkStart w:id="102" w:name="ref-fujikura2009coordination"/>
    <w:p>
      <w:pPr>
        <w:pStyle w:val="Bibliography"/>
      </w:pPr>
      <w:r>
        <w:t xml:space="preserve">36.</w:t>
      </w:r>
      <w:r>
        <w:t xml:space="preserve"> </w:t>
      </w:r>
      <w:r>
        <w:t xml:space="preserve">	</w:t>
      </w:r>
      <w:r>
        <w:t xml:space="preserve">Fujikura U, Horiguchi G, Ponce MR, Micol JL, Tsukaya H. 2009 Coordination of cell proliferation and cell expansion mediated by ribosome-related processes in the leaves of arabidopsis thaliana.</w:t>
      </w:r>
      <w:r>
        <w:t xml:space="preserve"> </w:t>
      </w:r>
      <w:r>
        <w:rPr>
          <w:iCs/>
          <w:i/>
        </w:rPr>
        <w:t xml:space="preserve">The Plant Journal</w:t>
      </w:r>
      <w:r>
        <w:t xml:space="preserve"> </w:t>
      </w:r>
      <w:r>
        <w:rPr>
          <w:bCs/>
          <w:b/>
        </w:rPr>
        <w:t xml:space="preserve">59</w:t>
      </w:r>
      <w:r>
        <w:t xml:space="preserve">, 499–508.</w:t>
      </w:r>
    </w:p>
    <w:bookmarkEnd w:id="102"/>
    <w:bookmarkStart w:id="103" w:name="ref-creff2010two"/>
    <w:p>
      <w:pPr>
        <w:pStyle w:val="Bibliography"/>
      </w:pPr>
      <w:r>
        <w:t xml:space="preserve">37.</w:t>
      </w:r>
      <w:r>
        <w:t xml:space="preserve"> </w:t>
      </w:r>
      <w:r>
        <w:t xml:space="preserve">	</w:t>
      </w:r>
      <w:r>
        <w:t xml:space="preserve">Creff A, Sormani R, Desnos T. 2010 The two arabidopsis RPS6 genes, encoding for cytoplasmic ribosomal proteins S6, are functionally equivalent.</w:t>
      </w:r>
      <w:r>
        <w:t xml:space="preserve"> </w:t>
      </w:r>
      <w:r>
        <w:rPr>
          <w:iCs/>
          <w:i/>
        </w:rPr>
        <w:t xml:space="preserve">Plant molecular biology</w:t>
      </w:r>
      <w:r>
        <w:t xml:space="preserve"> </w:t>
      </w:r>
      <w:r>
        <w:rPr>
          <w:bCs/>
          <w:b/>
        </w:rPr>
        <w:t xml:space="preserve">73</w:t>
      </w:r>
      <w:r>
        <w:t xml:space="preserve">, 533–546.</w:t>
      </w:r>
    </w:p>
    <w:bookmarkEnd w:id="103"/>
    <w:bookmarkStart w:id="104" w:name="ref-kakui2022pollen"/>
    <w:p>
      <w:pPr>
        <w:pStyle w:val="Bibliography"/>
      </w:pPr>
      <w:r>
        <w:t xml:space="preserve">38.</w:t>
      </w:r>
      <w:r>
        <w:t xml:space="preserve"> </w:t>
      </w:r>
      <w:r>
        <w:t xml:space="preserve">	</w:t>
      </w:r>
      <w:r>
        <w:t xml:space="preserve">Kakui H, Tsuchimatsu T, Yamazaki M, Hatakeyama M, Shimizu KK. 2022 Pollen number and ribosome gene expression altered in a genome-editing mutant of REDUCED POLLEN NUMBER1 gene.</w:t>
      </w:r>
      <w:r>
        <w:t xml:space="preserve"> </w:t>
      </w:r>
      <w:r>
        <w:rPr>
          <w:iCs/>
          <w:i/>
        </w:rPr>
        <w:t xml:space="preserve">Frontiers in Plant Science</w:t>
      </w:r>
      <w:r>
        <w:t xml:space="preserve">, 3159.</w:t>
      </w:r>
    </w:p>
    <w:bookmarkEnd w:id="104"/>
    <w:bookmarkStart w:id="105" w:name="ref-hunt2010signalling"/>
    <w:p>
      <w:pPr>
        <w:pStyle w:val="Bibliography"/>
      </w:pPr>
      <w:r>
        <w:t xml:space="preserve">39.</w:t>
      </w:r>
      <w:r>
        <w:t xml:space="preserve"> </w:t>
      </w:r>
      <w:r>
        <w:t xml:space="preserve">	</w:t>
      </w:r>
      <w:r>
        <w:t xml:space="preserve">Hunt L, Bailey KJ, Gray JE. 2010 The signalling peptide EPFL9 is a positive regulator of stomatal development.</w:t>
      </w:r>
      <w:r>
        <w:t xml:space="preserve"> </w:t>
      </w:r>
      <w:r>
        <w:rPr>
          <w:iCs/>
          <w:i/>
        </w:rPr>
        <w:t xml:space="preserve">New Phytologist</w:t>
      </w:r>
      <w:r>
        <w:t xml:space="preserve">, 609–614.</w:t>
      </w:r>
    </w:p>
    <w:bookmarkEnd w:id="105"/>
    <w:bookmarkStart w:id="106" w:name="ref-tameshige2016secreted"/>
    <w:p>
      <w:pPr>
        <w:pStyle w:val="Bibliography"/>
      </w:pPr>
      <w:r>
        <w:t xml:space="preserve">40.</w:t>
      </w:r>
      <w:r>
        <w:t xml:space="preserve"> </w:t>
      </w:r>
      <w:r>
        <w:t xml:space="preserve">	</w:t>
      </w:r>
      <w:r>
        <w:t xml:space="preserve">Tameshige T, Okamoto S, Lee JS, Aida M, Tasaka M, Torii KU, Uchida N. 2016 A secreted peptide and its receptors shape the auxin response pattern and leaf margin morphogenesis.</w:t>
      </w:r>
      <w:r>
        <w:t xml:space="preserve"> </w:t>
      </w:r>
      <w:r>
        <w:rPr>
          <w:iCs/>
          <w:i/>
        </w:rPr>
        <w:t xml:space="preserve">Current Biology</w:t>
      </w:r>
      <w:r>
        <w:t xml:space="preserve"> </w:t>
      </w:r>
      <w:r>
        <w:rPr>
          <w:bCs/>
          <w:b/>
        </w:rPr>
        <w:t xml:space="preserve">26</w:t>
      </w:r>
      <w:r>
        <w:t xml:space="preserve">, 2478–2485.</w:t>
      </w:r>
    </w:p>
    <w:bookmarkEnd w:id="106"/>
    <w:bookmarkStart w:id="107" w:name="ref-abrash2011generation"/>
    <w:p>
      <w:pPr>
        <w:pStyle w:val="Bibliography"/>
      </w:pPr>
      <w:r>
        <w:t xml:space="preserve">41.</w:t>
      </w:r>
      <w:r>
        <w:t xml:space="preserve"> </w:t>
      </w:r>
      <w:r>
        <w:t xml:space="preserve">	</w:t>
      </w:r>
      <w:r>
        <w:t xml:space="preserve">Abrash EB, Davies KA, Bergmann DC. 2011 Generation of signaling specificity in arabidopsis by spatially restricted buffering of ligand–receptor interactions.</w:t>
      </w:r>
      <w:r>
        <w:t xml:space="preserve"> </w:t>
      </w:r>
      <w:r>
        <w:rPr>
          <w:iCs/>
          <w:i/>
        </w:rPr>
        <w:t xml:space="preserve">The Plant Cell</w:t>
      </w:r>
      <w:r>
        <w:t xml:space="preserve"> </w:t>
      </w:r>
      <w:r>
        <w:rPr>
          <w:bCs/>
          <w:b/>
        </w:rPr>
        <w:t xml:space="preserve">23</w:t>
      </w:r>
      <w:r>
        <w:t xml:space="preserve">, 2864–2879.</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df"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7" Target="media/rId47.pdf" /><Relationship Type="http://schemas.openxmlformats.org/officeDocument/2006/relationships/image" Id="rId57" Target="media/rId57.pdf" /><Relationship Type="http://schemas.openxmlformats.org/officeDocument/2006/relationships/hyperlink" Id="rId41" Target="doi::xxxxxx" TargetMode="External" /><Relationship Type="http://schemas.openxmlformats.org/officeDocument/2006/relationships/hyperlink" Id="rId56" Target="http://signal.salk.edu/atg1001/3.0/gebrowser.php" TargetMode="External" /><Relationship Type="http://schemas.openxmlformats.org/officeDocument/2006/relationships/hyperlink" Id="rId29" Target="https://arabidopsis.info/" TargetMode="External" /><Relationship Type="http://schemas.openxmlformats.org/officeDocument/2006/relationships/hyperlink" Id="rId71" Target="https://doi.org/10.1007/978-1-4684-2646-5_1" TargetMode="External" /><Relationship Type="http://schemas.openxmlformats.org/officeDocument/2006/relationships/hyperlink" Id="rId40" Target="https://github.com/yassato/AraAphidGWAS" TargetMode="External" /><Relationship Type="http://schemas.openxmlformats.org/officeDocument/2006/relationships/hyperlink" Id="rId25" Target="https://gwas.gmi.oeaw.ac.at" TargetMode="External" /><Relationship Type="http://schemas.openxmlformats.org/officeDocument/2006/relationships/hyperlink" Id="rId26"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41" Target="doi::xxxxxx" TargetMode="External" /><Relationship Type="http://schemas.openxmlformats.org/officeDocument/2006/relationships/hyperlink" Id="rId56" Target="http://signal.salk.edu/atg1001/3.0/gebrowser.php" TargetMode="External" /><Relationship Type="http://schemas.openxmlformats.org/officeDocument/2006/relationships/hyperlink" Id="rId29" Target="https://arabidopsis.info/" TargetMode="External" /><Relationship Type="http://schemas.openxmlformats.org/officeDocument/2006/relationships/hyperlink" Id="rId71" Target="https://doi.org/10.1007/978-1-4684-2646-5_1" TargetMode="External" /><Relationship Type="http://schemas.openxmlformats.org/officeDocument/2006/relationships/hyperlink" Id="rId40" Target="https://github.com/yassato/AraAphidGWAS" TargetMode="External" /><Relationship Type="http://schemas.openxmlformats.org/officeDocument/2006/relationships/hyperlink" Id="rId25" Target="https://gwas.gmi.oeaw.ac.at" TargetMode="External" /><Relationship Type="http://schemas.openxmlformats.org/officeDocument/2006/relationships/hyperlink" Id="rId26"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2022-04-21T13:26:30Z</dcterms:created>
  <dcterms:modified xsi:type="dcterms:W3CDTF">2022-04-21T13:26:30Z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proceedings-of-the-royal-society-b.csl</vt:lpwstr>
  </property>
  <property fmtid="{D5CDD505-2E9C-101B-9397-08002B2CF9AE}" pid="4" name="output">
    <vt:lpwstr/>
  </property>
</Properties>
</file>