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Size-dependent</w:t>
      </w:r>
      <w:r>
        <w:t xml:space="preserve"> </w:t>
      </w:r>
      <w:r>
        <w:t xml:space="preserve">reproduction</w:t>
      </w:r>
      <w:r>
        <w:t xml:space="preserve"> </w:t>
      </w:r>
      <w:r>
        <w:t xml:space="preserve">in</w:t>
      </w:r>
      <w:r>
        <w:t xml:space="preserve"> </w:t>
      </w:r>
      <w:r>
        <w:t xml:space="preserve">the</w:t>
      </w:r>
      <w:r>
        <w:t xml:space="preserve"> </w:t>
      </w:r>
      <w:r>
        <w:t xml:space="preserve">virtual</w:t>
      </w:r>
      <w:r>
        <w:t xml:space="preserve"> </w:t>
      </w:r>
      <w:r>
        <w:t xml:space="preserve">plant</w:t>
      </w:r>
      <w:r>
        <w:t xml:space="preserve"> </w:t>
      </w:r>
      <w:r>
        <w:rPr>
          <w:iCs/>
          <w:i/>
        </w:rPr>
        <w:t xml:space="preserve">Brassica</w:t>
      </w:r>
      <w:r>
        <w:rPr>
          <w:iCs/>
          <w:i/>
        </w:rPr>
        <w:t xml:space="preserve"> </w:t>
      </w:r>
      <w:r>
        <w:rPr>
          <w:iCs/>
          <w:i/>
        </w:rPr>
        <w:t xml:space="preserve">satoi</w:t>
      </w:r>
    </w:p>
    <w:p>
      <w:pPr>
        <w:pStyle w:val="FirstParagraph"/>
      </w:pPr>
      <w:r>
        <w:rPr>
          <w:bCs/>
          <w:b/>
        </w:rPr>
        <w:t xml:space="preserve">Yasuhiro Sato</w:t>
      </w:r>
      <w:r>
        <w:rPr>
          <w:vertAlign w:val="superscript"/>
        </w:rPr>
        <w:t xml:space="preserve">1</w:t>
      </w:r>
      <w:r>
        <w:br/>
      </w:r>
      <w:r>
        <w:rPr>
          <w:vertAlign w:val="superscript"/>
        </w:rPr>
        <w:t xml:space="preserve">1</w:t>
      </w:r>
      <w:r>
        <w:t xml:space="preserve"> </w:t>
      </w:r>
      <w:commentRangeStart w:id="0"/>
      <w:r>
        <w:t xml:space="preserve">IEU</w:t>
      </w:r>
      <w:commentRangeEnd w:id="0"/>
      <w:r>
        <w:rPr>
          <w:rStyle w:val="CommentReference"/>
        </w:rPr>
        <w:commentReference w:id="0"/>
      </w:r>
      <w:r>
        <w:t xml:space="preserve">, University of Zurich</w:t>
      </w:r>
    </w:p>
    <w:bookmarkStart w:id="20" w:name="introduction-section"/>
    <w:p>
      <w:pPr>
        <w:pStyle w:val="Heading1"/>
      </w:pPr>
      <w:r>
        <w:t xml:space="preserve">Introduction (section)</w:t>
      </w:r>
    </w:p>
    <w:p>
      <w:pPr>
        <w:pStyle w:val="FirstParagraph"/>
      </w:pPr>
      <w:ins w:id="1" w:author="YS" w:date="8-June-2022">
        <w:r>
          <w:t xml:space="preserve">Plants</w:t>
        </w:r>
      </w:ins>
      <w:del w:id="1" w:author="YS" w:date="8-June-2022">
        <w:r>
          <w:delText xml:space="preserve">Animals</w:delText>
        </w:r>
      </w:del>
      <w:r>
        <w:t xml:space="preserve"> </w:t>
      </w:r>
      <w:r>
        <w:t xml:space="preserve">are immobile and cannot actively select their habitat. The timing of reproduction is thus critical for plants to maximize their fitness in nature. Ecological studies showed that the timing of reproduction depended on the size of individual plants</w:t>
      </w:r>
      <w:r>
        <w:t xml:space="preserve"> </w:t>
      </w:r>
      <w:r>
        <w:t xml:space="preserve">(Bonser and Aarssen 2009)</w:t>
      </w:r>
      <w:r>
        <w:t xml:space="preserve">. Such size-dependent reproduction has been frequently reported for perennial plants</w:t>
      </w:r>
      <w:r>
        <w:t xml:space="preserve"> </w:t>
      </w:r>
      <w:r>
        <w:t xml:space="preserve">(Kachi and Hirose 1985; Wesselingh</w:t>
      </w:r>
      <w:r>
        <w:t xml:space="preserve"> </w:t>
      </w:r>
      <w:r>
        <w:rPr>
          <w:iCs/>
          <w:i/>
        </w:rPr>
        <w:t xml:space="preserve">et al.</w:t>
      </w:r>
      <w:r>
        <w:t xml:space="preserve"> </w:t>
      </w:r>
      <w:r>
        <w:t xml:space="preserve">1997; Jacquemyn</w:t>
      </w:r>
      <w:r>
        <w:t xml:space="preserve"> </w:t>
      </w:r>
      <w:r>
        <w:rPr>
          <w:iCs/>
          <w:i/>
        </w:rPr>
        <w:t xml:space="preserve">et al.</w:t>
      </w:r>
      <w:r>
        <w:t xml:space="preserve"> </w:t>
      </w:r>
      <w:r>
        <w:t xml:space="preserve">2010)</w:t>
      </w:r>
      <w:r>
        <w:t xml:space="preserve">. For example,</w:t>
      </w:r>
      <w:r>
        <w:t xml:space="preserve"> </w:t>
      </w:r>
      <w:r>
        <w:t xml:space="preserve">Kachi and Hirose (1985)</w:t>
      </w:r>
      <w:r>
        <w:t xml:space="preserve"> </w:t>
      </w:r>
      <w:r>
        <w:t xml:space="preserve">revealed that…</w:t>
      </w:r>
    </w:p>
    <w:p>
      <w:pPr>
        <w:pStyle w:val="BodyText"/>
      </w:pPr>
      <w:r>
        <w:rPr>
          <w:iCs/>
          <w:i/>
        </w:rPr>
        <w:t xml:space="preserve">Brassica satoi</w:t>
      </w:r>
      <w:r>
        <w:t xml:space="preserve"> </w:t>
      </w:r>
      <w:r>
        <w:t xml:space="preserve">is a virtual plant species created for manuscript writing demonstration in a markdown. The height of this species followed a normal distribution with the mean of 100 and standard deviation of 20. The number of seeds is known to follow Poisson distribution in unknown relation to the height. To explore size-dependent reproduction in</w:t>
      </w:r>
      <w:r>
        <w:t xml:space="preserve"> </w:t>
      </w:r>
      <w:r>
        <w:rPr>
          <w:iCs/>
          <w:i/>
        </w:rPr>
        <w:t xml:space="preserve">B. satoi</w:t>
      </w:r>
      <w:r>
        <w:t xml:space="preserve">, here we analyzed the example dataset.</w:t>
      </w:r>
    </w:p>
    <w:bookmarkEnd w:id="20"/>
    <w:bookmarkStart w:id="26" w:name="materials-and-methods"/>
    <w:p>
      <w:pPr>
        <w:pStyle w:val="Heading1"/>
      </w:pPr>
      <w:r>
        <w:t xml:space="preserve">Materials and Methods</w:t>
      </w:r>
    </w:p>
    <w:bookmarkStart w:id="21" w:name="study-site-subsection"/>
    <w:p>
      <w:pPr>
        <w:pStyle w:val="Heading2"/>
      </w:pPr>
      <w:r>
        <w:t xml:space="preserve">Study site (subsection)</w:t>
      </w:r>
    </w:p>
    <w:p>
      <w:pPr>
        <w:pStyle w:val="FirstParagraph"/>
      </w:pPr>
      <w:r>
        <w:t xml:space="preserve">Our field survey was conducted in the Irchel-Campus of the University of Zurich….</w:t>
      </w:r>
    </w:p>
    <w:bookmarkEnd w:id="21"/>
    <w:bookmarkStart w:id="22" w:name="field-survey"/>
    <w:p>
      <w:pPr>
        <w:pStyle w:val="Heading2"/>
      </w:pPr>
      <w:r>
        <w:t xml:space="preserve">Field survey</w:t>
      </w:r>
    </w:p>
    <w:p>
      <w:pPr>
        <w:pStyle w:val="FirstParagraph"/>
      </w:pPr>
      <w:r>
        <w:t xml:space="preserve">We marked 100 individuals of</w:t>
      </w:r>
      <w:r>
        <w:t xml:space="preserve"> </w:t>
      </w:r>
      <w:r>
        <w:rPr>
          <w:iCs/>
          <w:i/>
        </w:rPr>
        <w:t xml:space="preserve">B. satoi</w:t>
      </w:r>
      <w:r>
        <w:t xml:space="preserve"> </w:t>
      </w:r>
      <w:r>
        <w:t xml:space="preserve">and recorded their height on 1 May 2022. All the plants were harvested on 30 June, and dried overnight…</w:t>
      </w:r>
    </w:p>
    <w:bookmarkEnd w:id="22"/>
    <w:bookmarkStart w:id="25" w:name="data-analysis"/>
    <w:p>
      <w:pPr>
        <w:pStyle w:val="Heading2"/>
      </w:pPr>
      <w:r>
        <w:t xml:space="preserve">Data analysis</w:t>
      </w:r>
    </w:p>
    <w:bookmarkStart w:id="23" w:name="statistical-tests-subsubsection"/>
    <w:p>
      <w:pPr>
        <w:pStyle w:val="Heading3"/>
      </w:pPr>
      <w:r>
        <w:t xml:space="preserve">Statistical tests (subsubsection)</w:t>
      </w:r>
    </w:p>
    <w:p>
      <w:pPr>
        <w:pStyle w:val="FirstParagraph"/>
      </w:pPr>
      <w:r>
        <w:t xml:space="preserve">We used standard linear models or generalized linear model (GLM) to analyze relationship between the plant height and …</w:t>
      </w:r>
    </w:p>
    <w:bookmarkEnd w:id="23"/>
    <w:bookmarkStart w:id="24" w:name="figure-presentation-subsubsection"/>
    <w:p>
      <w:pPr>
        <w:pStyle w:val="Heading3"/>
      </w:pPr>
      <w:r>
        <w:t xml:space="preserve">Figure presentation (subsubsection)</w:t>
      </w:r>
    </w:p>
    <w:p>
      <w:pPr>
        <w:pStyle w:val="FirstParagraph"/>
      </w:pPr>
      <w:r>
        <w:t xml:space="preserve">We added trend lines to the bi-plots following the linear regression model:</w:t>
      </w:r>
    </w:p>
    <w:p>
      <w:pPr>
        <w:pStyle w:val="BodyText"/>
      </w:pPr>
      <m:oMathPara>
        <m:oMathParaPr>
          <m:jc m:val="center"/>
        </m:oMathParaPr>
        <m:oMath>
          <m:r>
            <m:t>y</m:t>
          </m:r>
          <m:r>
            <m:rPr>
              <m:sty m:val="p"/>
            </m:rPr>
            <m:t>=</m:t>
          </m:r>
          <m:r>
            <m:t>a</m:t>
          </m:r>
          <m:r>
            <m:rPr>
              <m:sty m:val="p"/>
            </m:rPr>
            <m:t>+</m:t>
          </m:r>
          <m:r>
            <m:t>b</m:t>
          </m:r>
          <m:r>
            <m:t>x</m:t>
          </m:r>
        </m:oMath>
      </m:oMathPara>
    </w:p>
    <w:p>
      <w:pPr>
        <w:pStyle w:val="FirstParagraph"/>
      </w:pPr>
      <w:r>
        <w:t xml:space="preserve">, where</w:t>
      </w:r>
      <w:r>
        <w:t xml:space="preserve"> </w:t>
      </w:r>
      <m:oMath>
        <m:r>
          <m:t>y</m:t>
        </m:r>
      </m:oMath>
      <w:r>
        <w:t xml:space="preserve"> </w:t>
      </w:r>
      <w:r>
        <w:t xml:space="preserve">is the response variable;</w:t>
      </w:r>
      <w:r>
        <w:t xml:space="preserve"> </w:t>
      </w:r>
      <m:oMath>
        <m:r>
          <m:t>x</m:t>
        </m:r>
      </m:oMath>
      <w:r>
        <w:t xml:space="preserve"> </w:t>
      </w:r>
      <w:r>
        <w:t xml:space="preserve">is the explanatory variable;</w:t>
      </w:r>
      <w:r>
        <w:t xml:space="preserve"> </w:t>
      </w:r>
      <m:oMath>
        <m:r>
          <m:t>a</m:t>
        </m:r>
      </m:oMath>
      <w:r>
        <w:t xml:space="preserve"> </w:t>
      </w:r>
      <w:r>
        <w:t xml:space="preserve">indicates the intercept;</w:t>
      </w:r>
      <w:r>
        <w:t xml:space="preserve"> </w:t>
      </w:r>
      <m:oMath>
        <m:r>
          <m:t>b</m:t>
        </m:r>
      </m:oMath>
      <w:r>
        <w:t xml:space="preserve"> </w:t>
      </w:r>
      <w:r>
        <w:t xml:space="preserve">represents the regression slope. Because a log link function was used in the Poisson GLM, a regression curve was given by</w:t>
      </w:r>
      <w:r>
        <w:t xml:space="preserve"> </w:t>
      </w:r>
      <m:oMath>
        <m:r>
          <m:t>y</m:t>
        </m:r>
        <m:r>
          <m:rPr>
            <m:sty m:val="p"/>
          </m:rPr>
          <m:t>=</m:t>
        </m:r>
        <m:sSup>
          <m:e>
            <m:r>
              <m:t>e</m:t>
            </m:r>
          </m:e>
          <m:sup>
            <m:d>
              <m:dPr>
                <m:begChr m:val="("/>
                <m:endChr m:val=")"/>
                <m:sepChr m:val=""/>
                <m:grow/>
              </m:dPr>
              <m:e>
                <m:r>
                  <m:t>a</m:t>
                </m:r>
                <m:r>
                  <m:rPr>
                    <m:sty m:val="p"/>
                  </m:rPr>
                  <m:t>+</m:t>
                </m:r>
                <m:r>
                  <m:t>b</m:t>
                </m:r>
                <m:r>
                  <m:t>x</m:t>
                </m:r>
              </m:e>
            </m:d>
          </m:sup>
        </m:sSup>
      </m:oMath>
      <w:r>
        <w:t xml:space="preserve"> </w:t>
      </w:r>
      <w:r>
        <w:t xml:space="preserve">for the number of seeds.</w:t>
      </w:r>
    </w:p>
    <w:bookmarkEnd w:id="24"/>
    <w:bookmarkEnd w:id="25"/>
    <w:bookmarkEnd w:id="26"/>
    <w:bookmarkStart w:id="31" w:name="results"/>
    <w:p>
      <w:pPr>
        <w:pStyle w:val="Heading1"/>
      </w:pPr>
      <w:r>
        <w:t xml:space="preserve">Results</w:t>
      </w:r>
    </w:p>
    <w:p>
      <w:pPr>
        <w:pStyle w:val="FirstParagraph"/>
      </w:pPr>
      <w:r>
        <w:t xml:space="preserve">The dry weight and the number of seeds both showed positive relationships with the plant height (</w:t>
      </w:r>
      <m:oMath>
        <m:r>
          <m:t>p</m:t>
        </m:r>
        <m:r>
          <m:rPr>
            <m:sty m:val="p"/>
          </m:rPr>
          <m:t>&lt;</m:t>
        </m:r>
        <m:r>
          <m:t>0.05</m:t>
        </m:r>
      </m:oMath>
      <w:r>
        <w:t xml:space="preserve">: Fig.</w:t>
      </w:r>
      <w:r>
        <w:t xml:space="preserve"> </w:t>
      </w:r>
      <w:hyperlink w:anchor="fig:biplot">
        <w:r>
          <w:rPr>
            <w:rStyle w:val="Hyperlink"/>
          </w:rPr>
          <w:t xml:space="preserve">1</w:t>
        </w:r>
      </w:hyperlink>
      <w:r>
        <w:t xml:space="preserve">).</w:t>
      </w:r>
    </w:p>
    <w:p>
      <w:pPr>
        <w:pStyle w:val="CaptionedFigure"/>
      </w:pPr>
      <w:bookmarkStart w:id="30" w:name="fig:biplot"/>
      <w:r>
        <w:drawing>
          <wp:inline>
            <wp:extent cx="5334000" cy="2667000"/>
            <wp:effectExtent b="0" l="0" r="0" t="0"/>
            <wp:docPr descr="Figure 1. Dependency of the dry weight (right) or the number of seeds (right) on the plant height" title="" id="28" name="Picture"/>
            <a:graphic>
              <a:graphicData uri="http://schemas.openxmlformats.org/drawingml/2006/picture">
                <pic:pic>
                  <pic:nvPicPr>
                    <pic:cNvPr descr="./figure/plant_data_analysis.pdf"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bookmarkEnd w:id="30"/>
    </w:p>
    <w:p>
      <w:pPr>
        <w:pStyle w:val="ImageCaption"/>
      </w:pPr>
      <w:r>
        <w:t xml:space="preserve">Figure 1. Dependency of the dry weight (right) or the number of seeds (right) on the plant height</w:t>
      </w:r>
    </w:p>
    <w:bookmarkEnd w:id="31"/>
    <w:bookmarkStart w:id="33" w:name="discussion"/>
    <w:p>
      <w:pPr>
        <w:pStyle w:val="Heading1"/>
      </w:pPr>
      <w:r>
        <w:t xml:space="preserve">Discussion</w:t>
      </w:r>
    </w:p>
    <w:p>
      <w:pPr>
        <w:pStyle w:val="FirstParagraph"/>
      </w:pPr>
      <w:r>
        <w:t xml:space="preserve">This study dealt with virtual data and thereby provided no biological significance. Citation Style Language (.csl) is usually available at journal’s page or other repository (</w:t>
      </w:r>
      <w:hyperlink r:id="rId32">
        <w:r>
          <w:rPr>
            <w:rStyle w:val="Hyperlink"/>
          </w:rPr>
          <w:t xml:space="preserve">https://github.com/citation-style-language/styles</w:t>
        </w:r>
      </w:hyperlink>
      <w:r>
        <w:t xml:space="preserve">). If you need a more complex format, HTML or even LaTeX may be required. Try to minimize manual handling until you give up, and export to .docx lastly.</w:t>
      </w:r>
    </w:p>
    <w:bookmarkEnd w:id="33"/>
    <w:bookmarkStart w:id="39" w:name="references"/>
    <w:p>
      <w:pPr>
        <w:pStyle w:val="Heading1"/>
      </w:pPr>
      <w:r>
        <w:t xml:space="preserve">References</w:t>
      </w:r>
    </w:p>
    <w:bookmarkStart w:id="38" w:name="refs"/>
    <w:bookmarkStart w:id="34" w:name="ref-bonser2009interpreting"/>
    <w:p>
      <w:pPr>
        <w:pStyle w:val="Bibliography"/>
      </w:pPr>
      <w:r>
        <w:t xml:space="preserve">Bonser S. P., and L. W. Aarssen, 2009 Interpreting reproductive allometry: Individual strategies of allocation explain size-dependent reproduction in plant populations. Perspectives in Plant Ecology, Evolution and Systematics 11: 31–40.</w:t>
      </w:r>
    </w:p>
    <w:bookmarkEnd w:id="34"/>
    <w:bookmarkStart w:id="35" w:name="ref-jacquemyn2010size"/>
    <w:p>
      <w:pPr>
        <w:pStyle w:val="Bibliography"/>
      </w:pPr>
      <w:r>
        <w:t xml:space="preserve">Jacquemyn H., R. Brys, and E. Jongejans, 2010 Size-dependent flowering and costs of reproduction affect population dynamics in a tuberous perennial woodland orchid. Journal of Ecology 98: 1204–1215.</w:t>
      </w:r>
    </w:p>
    <w:bookmarkEnd w:id="35"/>
    <w:bookmarkStart w:id="36" w:name="ref-kachi1985population"/>
    <w:p>
      <w:pPr>
        <w:pStyle w:val="Bibliography"/>
      </w:pPr>
      <w:r>
        <w:t xml:space="preserve">Kachi N., and T. Hirose, 1985 Population dynamics of oenothera glazioviana in a sand-dune system with special reference to the adaptive significance of size-dependent reproduction. The Journal of Ecology 887–901.</w:t>
      </w:r>
    </w:p>
    <w:bookmarkEnd w:id="36"/>
    <w:bookmarkStart w:id="37" w:name="ref-wesselingh1997threshold"/>
    <w:p>
      <w:pPr>
        <w:pStyle w:val="Bibliography"/>
      </w:pPr>
      <w:r>
        <w:t xml:space="preserve">Wesselingh R. A., P. G. Klinkhamer, T. J. De Jong, and L. A. Boorman, 1997 Threshold size for flowering in different habitats: Effects of size-dependent growth and survival. Ecology 78: 2118–2132.</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YS" w:date="8-June-2022">
    <w:p>
      <w:pPr>
        <w:pStyle w:val="CommentText"/>
      </w:pPr>
      <w:r>
        <w:rPr>
          <w:rStyle w:val="CommentReference"/>
          <w:annotationRef/>
        </w:rPr>
      </w:r>
      <w:r>
        <w:t xml:space="preserve">IEU stands for</w:t>
      </w:r>
      <w:r>
        <w:t xml:space="preserve"> </w:t>
      </w:r>
      <w:r>
        <w:t xml:space="preserve">“</w:t>
      </w:r>
      <w:r>
        <w:t xml:space="preserve">Institut für Evolutionsbiologie und Umweltwissenschaften</w:t>
      </w:r>
      <w:r>
        <w:t xml:space="preserve">”</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df" /><Relationship Type="http://schemas.openxmlformats.org/officeDocument/2006/relationships/hyperlink" Id="rId32" Target="https://github.com/citation-style-language/styles"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citation-style-language/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Size-dependent reproduction in the virtual plant Brassica satoi</dc:title>
  <dc:creator/>
  <cp:keywords/>
  <dcterms:created xsi:type="dcterms:W3CDTF">2022-08-10T13:53:12Z</dcterms:created>
  <dcterms:modified xsi:type="dcterms:W3CDTF">2022-08-10T13:53:12Z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genetics.csl</vt:lpwstr>
  </property>
  <property fmtid="{D5CDD505-2E9C-101B-9397-08002B2CF9AE}" pid="4" name="output">
    <vt:lpwstr/>
  </property>
</Properties>
</file>