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b/>
          <w:bCs/>
          <w:color w:val="E8641C"/>
          <w:sz w:val="52"/>
          <w:szCs w:val="52"/>
        </w:rPr>
        <w:t xml:space="preserve">WAZIFNY</w:t>
      </w:r>
    </w:p>
    <w:p>
      <w:pPr>
        <w:spacing w:after="40"/>
        <w:jc w:val="center"/>
      </w:pPr>
      <w:r>
        <w:rPr>
          <w:b/>
          <w:bCs/>
          <w:color w:val="1F2A37"/>
          <w:sz w:val="26"/>
          <w:szCs w:val="26"/>
        </w:rPr>
        <w:t xml:space="preserve">Business Requirements Document (BRD)</w:t>
      </w:r>
    </w:p>
    <w:p>
      <w:pPr>
        <w:spacing w:after="300"/>
        <w:jc w:val="center"/>
      </w:pPr>
      <w:r>
        <w:rPr>
          <w:i/>
          <w:iCs/>
          <w:color w:val="6B7280"/>
          <w:sz w:val="20"/>
          <w:szCs w:val="20"/>
        </w:rPr>
        <w:t xml:space="preserve">AI-Powered Job Matching Platform for Lebanon</w:t>
      </w:r>
    </w:p>
    <w:p>
      <w:pPr>
        <w:pBdr>
          <w:bottom w:val="single" w:color="E8641C" w:sz="6" w:space="8"/>
        </w:pBdr>
        <w:spacing w:after="300"/>
      </w:pPr>
      <w:r>
        <w:t xml:space="preserve"/>
      </w:r>
    </w:p>
    <w:p>
      <w:pPr>
        <w:pStyle w:val="Heading2"/>
        <w:spacing w:after="120" w:before="240"/>
      </w:pPr>
      <w:r>
        <w:t xml:space="preserve">Document Control</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2800"/>
        <w:gridCol w:w="6550"/>
      </w:tblGrid>
      <w:tr>
        <w:trPr>
          <w:tblHeader/>
        </w:trPr>
        <w:tc>
          <w:tcPr>
            <w:tcW w:type="dxa" w:w="2800"/>
            <w:shd w:fill="1F2A37" w:val="clear"/>
            <w:tcMar>
              <w:top w:type="dxa" w:w="100"/>
              <w:left w:type="dxa" w:w="120"/>
              <w:bottom w:type="dxa" w:w="100"/>
              <w:right w:type="dxa" w:w="120"/>
            </w:tcMar>
            <w:vAlign w:val="center"/>
          </w:tcPr>
          <w:p>
            <w:r>
              <w:rPr>
                <w:b/>
                <w:bCs/>
                <w:color w:val="FFFFFF"/>
                <w:sz w:val="19"/>
                <w:szCs w:val="19"/>
              </w:rPr>
              <w:t xml:space="preserve">Field</w:t>
            </w:r>
          </w:p>
        </w:tc>
        <w:tc>
          <w:tcPr>
            <w:tcW w:type="dxa" w:w="6550"/>
            <w:shd w:fill="1F2A37" w:val="clear"/>
            <w:tcMar>
              <w:top w:type="dxa" w:w="100"/>
              <w:left w:type="dxa" w:w="120"/>
              <w:bottom w:type="dxa" w:w="100"/>
              <w:right w:type="dxa" w:w="120"/>
            </w:tcMar>
            <w:vAlign w:val="center"/>
          </w:tcPr>
          <w:p>
            <w:r>
              <w:rPr>
                <w:b/>
                <w:bCs/>
                <w:color w:val="FFFFFF"/>
                <w:sz w:val="19"/>
                <w:szCs w:val="19"/>
              </w:rPr>
              <w:t xml:space="preserve">Value</w:t>
            </w:r>
          </w:p>
        </w:tc>
      </w:tr>
      <w:tr>
        <w:tc>
          <w:tcPr>
            <w:tcW w:type="dxa" w:w="2800"/>
            <w:shd w:fill="FFFFFF" w:val="clear"/>
            <w:tcMar>
              <w:top w:type="dxa" w:w="100"/>
              <w:left w:type="dxa" w:w="120"/>
              <w:bottom w:type="dxa" w:w="100"/>
              <w:right w:type="dxa" w:w="120"/>
            </w:tcMar>
            <w:vAlign w:val="center"/>
          </w:tcPr>
          <w:p>
            <w:r>
              <w:rPr>
                <w:b/>
                <w:bCs/>
                <w:color w:val="1F2A37"/>
                <w:sz w:val="19"/>
                <w:szCs w:val="19"/>
              </w:rPr>
              <w:t xml:space="preserve">Document Title</w:t>
            </w:r>
          </w:p>
        </w:tc>
        <w:tc>
          <w:tcPr>
            <w:tcW w:type="dxa" w:w="6550"/>
            <w:shd w:fill="FFFFFF" w:val="clear"/>
            <w:tcMar>
              <w:top w:type="dxa" w:w="100"/>
              <w:left w:type="dxa" w:w="120"/>
              <w:bottom w:type="dxa" w:w="100"/>
              <w:right w:type="dxa" w:w="120"/>
            </w:tcMar>
            <w:vAlign w:val="center"/>
          </w:tcPr>
          <w:p>
            <w:r>
              <w:rPr>
                <w:b w:val="false"/>
                <w:bCs w:val="false"/>
                <w:color w:val="1F2A37"/>
                <w:sz w:val="19"/>
                <w:szCs w:val="19"/>
              </w:rPr>
              <w:t xml:space="preserve">Wazifny — Business Requirements Document</w:t>
            </w:r>
          </w:p>
        </w:tc>
      </w:tr>
      <w:tr>
        <w:tc>
          <w:tcPr>
            <w:tcW w:type="dxa" w:w="2800"/>
            <w:shd w:fill="FFFFFF" w:val="clear"/>
            <w:tcMar>
              <w:top w:type="dxa" w:w="100"/>
              <w:left w:type="dxa" w:w="120"/>
              <w:bottom w:type="dxa" w:w="100"/>
              <w:right w:type="dxa" w:w="120"/>
            </w:tcMar>
            <w:vAlign w:val="center"/>
          </w:tcPr>
          <w:p>
            <w:r>
              <w:rPr>
                <w:b/>
                <w:bCs/>
                <w:color w:val="1F2A37"/>
                <w:sz w:val="19"/>
                <w:szCs w:val="19"/>
              </w:rPr>
              <w:t xml:space="preserve">Version</w:t>
            </w:r>
          </w:p>
        </w:tc>
        <w:tc>
          <w:tcPr>
            <w:tcW w:type="dxa" w:w="6550"/>
            <w:shd w:fill="FFFFFF" w:val="clear"/>
            <w:tcMar>
              <w:top w:type="dxa" w:w="100"/>
              <w:left w:type="dxa" w:w="120"/>
              <w:bottom w:type="dxa" w:w="100"/>
              <w:right w:type="dxa" w:w="120"/>
            </w:tcMar>
            <w:vAlign w:val="center"/>
          </w:tcPr>
          <w:p>
            <w:r>
              <w:rPr>
                <w:b w:val="false"/>
                <w:bCs w:val="false"/>
                <w:color w:val="1F2A37"/>
                <w:sz w:val="19"/>
                <w:szCs w:val="19"/>
              </w:rPr>
              <w:t xml:space="preserve">1.0</w:t>
            </w:r>
          </w:p>
        </w:tc>
      </w:tr>
      <w:tr>
        <w:tc>
          <w:tcPr>
            <w:tcW w:type="dxa" w:w="2800"/>
            <w:shd w:fill="FFFFFF" w:val="clear"/>
            <w:tcMar>
              <w:top w:type="dxa" w:w="100"/>
              <w:left w:type="dxa" w:w="120"/>
              <w:bottom w:type="dxa" w:w="100"/>
              <w:right w:type="dxa" w:w="120"/>
            </w:tcMar>
            <w:vAlign w:val="center"/>
          </w:tcPr>
          <w:p>
            <w:r>
              <w:rPr>
                <w:b/>
                <w:bCs/>
                <w:color w:val="1F2A37"/>
                <w:sz w:val="19"/>
                <w:szCs w:val="19"/>
              </w:rPr>
              <w:t xml:space="preserve">Status</w:t>
            </w:r>
          </w:p>
        </w:tc>
        <w:tc>
          <w:tcPr>
            <w:tcW w:type="dxa" w:w="6550"/>
            <w:shd w:fill="FFFFFF" w:val="clear"/>
            <w:tcMar>
              <w:top w:type="dxa" w:w="100"/>
              <w:left w:type="dxa" w:w="120"/>
              <w:bottom w:type="dxa" w:w="100"/>
              <w:right w:type="dxa" w:w="120"/>
            </w:tcMar>
            <w:vAlign w:val="center"/>
          </w:tcPr>
          <w:p>
            <w:r>
              <w:rPr>
                <w:b w:val="false"/>
                <w:bCs w:val="false"/>
                <w:color w:val="1F2A37"/>
                <w:sz w:val="19"/>
                <w:szCs w:val="19"/>
              </w:rPr>
              <w:t xml:space="preserve">Draft — Final Project Proposal</w:t>
            </w:r>
          </w:p>
        </w:tc>
      </w:tr>
      <w:tr>
        <w:tc>
          <w:tcPr>
            <w:tcW w:type="dxa" w:w="2800"/>
            <w:shd w:fill="FFFFFF" w:val="clear"/>
            <w:tcMar>
              <w:top w:type="dxa" w:w="100"/>
              <w:left w:type="dxa" w:w="120"/>
              <w:bottom w:type="dxa" w:w="100"/>
              <w:right w:type="dxa" w:w="120"/>
            </w:tcMar>
            <w:vAlign w:val="center"/>
          </w:tcPr>
          <w:p>
            <w:r>
              <w:rPr>
                <w:b/>
                <w:bCs/>
                <w:color w:val="1F2A37"/>
                <w:sz w:val="19"/>
                <w:szCs w:val="19"/>
              </w:rPr>
              <w:t xml:space="preserve">Prepared For</w:t>
            </w:r>
          </w:p>
        </w:tc>
        <w:tc>
          <w:tcPr>
            <w:tcW w:type="dxa" w:w="6550"/>
            <w:shd w:fill="FFFFFF" w:val="clear"/>
            <w:tcMar>
              <w:top w:type="dxa" w:w="100"/>
              <w:left w:type="dxa" w:w="120"/>
              <w:bottom w:type="dxa" w:w="100"/>
              <w:right w:type="dxa" w:w="120"/>
            </w:tcMar>
            <w:vAlign w:val="center"/>
          </w:tcPr>
          <w:p>
            <w:r>
              <w:rPr>
                <w:b w:val="false"/>
                <w:bCs w:val="false"/>
                <w:color w:val="1F2A37"/>
                <w:sz w:val="19"/>
                <w:szCs w:val="19"/>
              </w:rPr>
              <w:t xml:space="preserve">Mentor Review — Mohammad Dawi</w:t>
            </w:r>
          </w:p>
        </w:tc>
      </w:tr>
    </w:tbl>
    <w:p>
      <w:pPr>
        <w:pStyle w:val="Heading1"/>
        <w:spacing w:after="180" w:before="380"/>
      </w:pPr>
      <w:r>
        <w:t xml:space="preserve">1. Introduction &amp; Purpose</w:t>
      </w:r>
    </w:p>
    <w:p>
      <w:pPr>
        <w:spacing w:after="160"/>
      </w:pPr>
      <w:r>
        <w:rPr>
          <w:sz w:val="21"/>
          <w:szCs w:val="21"/>
        </w:rPr>
        <w:t xml:space="preserve">This Business Requirements Document (BRD) defines the business and functional requirements for Wazifny, an AI-powered job matching platform for Lebanon. It describes the platform's objectives, scope, user roles, functional and non-functional requirements, and underlying data model, and serves as the reference document for design and development of the system.</w:t>
      </w:r>
    </w:p>
    <w:p>
      <w:pPr>
        <w:pStyle w:val="Heading1"/>
        <w:spacing w:after="180" w:before="380"/>
      </w:pPr>
      <w:r>
        <w:t xml:space="preserve">2. Business Objectives</w:t>
      </w:r>
    </w:p>
    <w:p>
      <w:pPr>
        <w:pStyle w:val="ListParagraph"/>
        <w:numPr>
          <w:ilvl w:val="0"/>
          <w:numId w:val="1"/>
        </w:numPr>
        <w:spacing w:after="90"/>
      </w:pPr>
      <w:r>
        <w:t xml:space="preserve">Reduce the manual effort job seekers spend building profiles and finding relevant opportunities by using AI to auto-fill profiles from CVs and generate ranked job matches</w:t>
      </w:r>
    </w:p>
    <w:p>
      <w:pPr>
        <w:pStyle w:val="ListParagraph"/>
        <w:numPr>
          <w:ilvl w:val="0"/>
          <w:numId w:val="1"/>
        </w:numPr>
        <w:spacing w:after="90"/>
      </w:pPr>
      <w:r>
        <w:t xml:space="preserve">Increase the quality of job applications employers receive by surfacing candidates whose profiles genuinely match job requirements</w:t>
      </w:r>
    </w:p>
    <w:p>
      <w:pPr>
        <w:pStyle w:val="ListParagraph"/>
        <w:numPr>
          <w:ilvl w:val="0"/>
          <w:numId w:val="1"/>
        </w:numPr>
        <w:spacing w:after="90"/>
      </w:pPr>
      <w:r>
        <w:t xml:space="preserve">Consolidate job opportunities available in Lebanon — both employer-posted and externally available listings — into a single matching experience for talents</w:t>
      </w:r>
    </w:p>
    <w:p>
      <w:pPr>
        <w:pStyle w:val="ListParagraph"/>
        <w:numPr>
          <w:ilvl w:val="0"/>
          <w:numId w:val="1"/>
        </w:numPr>
        <w:spacing w:after="90"/>
      </w:pPr>
      <w:r>
        <w:t xml:space="preserve">Provide employers with efficient tools to post jobs, manage applicants, and (in a later phase) screen and rank candidates using AI</w:t>
      </w:r>
    </w:p>
    <w:p>
      <w:pPr>
        <w:pStyle w:val="ListParagraph"/>
        <w:numPr>
          <w:ilvl w:val="0"/>
          <w:numId w:val="1"/>
        </w:numPr>
        <w:spacing w:after="90"/>
      </w:pPr>
      <w:r>
        <w:t xml:space="preserve">Establish a scalable, secure, role-based platform architecture that supports distinct experiences for talents, employers, and administrators</w:t>
      </w:r>
    </w:p>
    <w:p>
      <w:pPr>
        <w:pStyle w:val="Heading1"/>
        <w:spacing w:after="180" w:before="380"/>
      </w:pPr>
      <w:r>
        <w:t xml:space="preserve">3. Project Scope</w:t>
      </w:r>
    </w:p>
    <w:p>
      <w:pPr>
        <w:spacing w:after="100" w:before="200"/>
      </w:pPr>
      <w:r>
        <w:rPr>
          <w:b/>
          <w:bCs/>
          <w:color w:val="E8641C"/>
          <w:sz w:val="22"/>
          <w:szCs w:val="22"/>
        </w:rPr>
        <w:t xml:space="preserve">3.1 In Scope</w:t>
      </w:r>
    </w:p>
    <w:p>
      <w:pPr>
        <w:pStyle w:val="ListParagraph"/>
        <w:numPr>
          <w:ilvl w:val="0"/>
          <w:numId w:val="1"/>
        </w:numPr>
        <w:spacing w:after="90"/>
      </w:pPr>
      <w:r>
        <w:t xml:space="preserve">Talent and employer registration, authentication, and profile management</w:t>
      </w:r>
    </w:p>
    <w:p>
      <w:pPr>
        <w:pStyle w:val="ListParagraph"/>
        <w:numPr>
          <w:ilvl w:val="0"/>
          <w:numId w:val="1"/>
        </w:numPr>
        <w:spacing w:after="90"/>
      </w:pPr>
      <w:r>
        <w:t xml:space="preserve">CV upload with AI-powered parsing and profile autofill, with manual completion of missing fields</w:t>
      </w:r>
    </w:p>
    <w:p>
      <w:pPr>
        <w:pStyle w:val="ListParagraph"/>
        <w:numPr>
          <w:ilvl w:val="0"/>
          <w:numId w:val="1"/>
        </w:numPr>
        <w:spacing w:after="90"/>
      </w:pPr>
      <w:r>
        <w:t xml:space="preserve">AI-based job matching engine triggered once a talent profile is complete</w:t>
      </w:r>
    </w:p>
    <w:p>
      <w:pPr>
        <w:pStyle w:val="ListParagraph"/>
        <w:numPr>
          <w:ilvl w:val="0"/>
          <w:numId w:val="1"/>
        </w:numPr>
        <w:spacing w:after="90"/>
      </w:pPr>
      <w:r>
        <w:t xml:space="preserve">One-click job application with two paths: trusted in-platform apply and external redirect apply</w:t>
      </w:r>
    </w:p>
    <w:p>
      <w:pPr>
        <w:pStyle w:val="ListParagraph"/>
        <w:numPr>
          <w:ilvl w:val="0"/>
          <w:numId w:val="1"/>
        </w:numPr>
        <w:spacing w:after="90"/>
      </w:pPr>
      <w:r>
        <w:t xml:space="preserve">Job posting, search, and filtering for employers and talents</w:t>
      </w:r>
    </w:p>
    <w:p>
      <w:pPr>
        <w:pStyle w:val="ListParagraph"/>
        <w:numPr>
          <w:ilvl w:val="0"/>
          <w:numId w:val="1"/>
        </w:numPr>
        <w:spacing w:after="90"/>
      </w:pPr>
      <w:r>
        <w:t xml:space="preserve">Saved jobs, saved candidate profiles, and application tracking</w:t>
      </w:r>
    </w:p>
    <w:p>
      <w:pPr>
        <w:pStyle w:val="ListParagraph"/>
        <w:numPr>
          <w:ilvl w:val="0"/>
          <w:numId w:val="1"/>
        </w:numPr>
        <w:spacing w:after="90"/>
      </w:pPr>
      <w:r>
        <w:t xml:space="preserve">In-app chat, notifications, and a courses section with skill-gap-based recommendations</w:t>
      </w:r>
    </w:p>
    <w:p>
      <w:pPr>
        <w:pStyle w:val="ListParagraph"/>
        <w:numPr>
          <w:ilvl w:val="0"/>
          <w:numId w:val="1"/>
        </w:numPr>
        <w:spacing w:after="90"/>
      </w:pPr>
      <w:r>
        <w:t xml:space="preserve">Admin panel for moderation and platform management</w:t>
      </w:r>
    </w:p>
    <w:p>
      <w:pPr>
        <w:pStyle w:val="ListParagraph"/>
        <w:numPr>
          <w:ilvl w:val="0"/>
          <w:numId w:val="1"/>
        </w:numPr>
        <w:spacing w:after="90"/>
      </w:pPr>
      <w:r>
        <w:t xml:space="preserve">Role-based authentication and access control for Talent, Employer, and Admin roles</w:t>
      </w:r>
    </w:p>
    <w:p>
      <w:pPr>
        <w:spacing w:after="100" w:before="200"/>
      </w:pPr>
      <w:r>
        <w:rPr>
          <w:b/>
          <w:bCs/>
          <w:color w:val="E8641C"/>
          <w:sz w:val="22"/>
          <w:szCs w:val="22"/>
        </w:rPr>
        <w:t xml:space="preserve">3.2 Out of Scope (Phase 1)</w:t>
      </w:r>
    </w:p>
    <w:p>
      <w:pPr>
        <w:pStyle w:val="ListParagraph"/>
        <w:numPr>
          <w:ilvl w:val="0"/>
          <w:numId w:val="1"/>
        </w:numPr>
        <w:spacing w:after="90"/>
      </w:pPr>
      <w:r>
        <w:t xml:space="preserve">AI-assisted resume screening, candidate ranking, and auto-shortlisting for employers (planned for Phase 2)</w:t>
      </w:r>
    </w:p>
    <w:p>
      <w:pPr>
        <w:pStyle w:val="ListParagraph"/>
        <w:numPr>
          <w:ilvl w:val="0"/>
          <w:numId w:val="1"/>
        </w:numPr>
        <w:spacing w:after="90"/>
      </w:pPr>
      <w:r>
        <w:t xml:space="preserve">Payment processing beyond subscription plan selection (e.g., full billing/invoicing systems)</w:t>
      </w:r>
    </w:p>
    <w:p>
      <w:pPr>
        <w:pStyle w:val="ListParagraph"/>
        <w:numPr>
          <w:ilvl w:val="0"/>
          <w:numId w:val="1"/>
        </w:numPr>
        <w:spacing w:after="90"/>
      </w:pPr>
      <w:r>
        <w:t xml:space="preserve">Native mobile applications (Phase 1 targets a responsive web platform)</w:t>
      </w:r>
    </w:p>
    <w:p>
      <w:pPr>
        <w:pStyle w:val="Heading1"/>
        <w:spacing w:after="180" w:before="380"/>
      </w:pPr>
      <w:r>
        <w:t xml:space="preserve">4. Stakeholders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2400"/>
        <w:gridCol w:w="6950"/>
      </w:tblGrid>
      <w:tr>
        <w:trPr>
          <w:tblHeader/>
        </w:trPr>
        <w:tc>
          <w:tcPr>
            <w:tcW w:type="dxa" w:w="2400"/>
            <w:shd w:fill="1F2A37" w:val="clear"/>
            <w:tcMar>
              <w:top w:type="dxa" w:w="100"/>
              <w:left w:type="dxa" w:w="120"/>
              <w:bottom w:type="dxa" w:w="100"/>
              <w:right w:type="dxa" w:w="120"/>
            </w:tcMar>
            <w:vAlign w:val="center"/>
          </w:tcPr>
          <w:p>
            <w:r>
              <w:rPr>
                <w:b/>
                <w:bCs/>
                <w:color w:val="FFFFFF"/>
                <w:sz w:val="19"/>
                <w:szCs w:val="19"/>
              </w:rPr>
              <w:t xml:space="preserve">Stakeholder</w:t>
            </w:r>
          </w:p>
        </w:tc>
        <w:tc>
          <w:tcPr>
            <w:tcW w:type="dxa" w:w="6950"/>
            <w:shd w:fill="1F2A37" w:val="clear"/>
            <w:tcMar>
              <w:top w:type="dxa" w:w="100"/>
              <w:left w:type="dxa" w:w="120"/>
              <w:bottom w:type="dxa" w:w="100"/>
              <w:right w:type="dxa" w:w="120"/>
            </w:tcMar>
            <w:vAlign w:val="center"/>
          </w:tcPr>
          <w:p>
            <w:r>
              <w:rPr>
                <w:b/>
                <w:bCs/>
                <w:color w:val="FFFFFF"/>
                <w:sz w:val="19"/>
                <w:szCs w:val="19"/>
              </w:rPr>
              <w:t xml:space="preserve">Role / Interest</w:t>
            </w:r>
          </w:p>
        </w:tc>
      </w:tr>
      <w:tr>
        <w:tc>
          <w:tcPr>
            <w:tcW w:type="dxa" w:w="2400"/>
            <w:shd w:fill="FFFFFF" w:val="clear"/>
            <w:tcMar>
              <w:top w:type="dxa" w:w="100"/>
              <w:left w:type="dxa" w:w="120"/>
              <w:bottom w:type="dxa" w:w="100"/>
              <w:right w:type="dxa" w:w="120"/>
            </w:tcMar>
            <w:vAlign w:val="center"/>
          </w:tcPr>
          <w:p>
            <w:r>
              <w:rPr>
                <w:b/>
                <w:bCs/>
                <w:color w:val="1F2A37"/>
                <w:sz w:val="19"/>
                <w:szCs w:val="19"/>
              </w:rPr>
              <w:t xml:space="preserve">Talent (Job Seeker)</w:t>
            </w:r>
          </w:p>
        </w:tc>
        <w:tc>
          <w:tcPr>
            <w:tcW w:type="dxa" w:w="6950"/>
            <w:shd w:fill="FFFFFF" w:val="clear"/>
            <w:tcMar>
              <w:top w:type="dxa" w:w="100"/>
              <w:left w:type="dxa" w:w="120"/>
              <w:bottom w:type="dxa" w:w="100"/>
              <w:right w:type="dxa" w:w="120"/>
            </w:tcMar>
            <w:vAlign w:val="center"/>
          </w:tcPr>
          <w:p>
            <w:r>
              <w:rPr>
                <w:b w:val="false"/>
                <w:bCs w:val="false"/>
                <w:color w:val="1F2A37"/>
                <w:sz w:val="19"/>
                <w:szCs w:val="19"/>
              </w:rPr>
              <w:t xml:space="preserve">End user seeking employment opportunities in Lebanon; builds a profile and applies to matched jobs</w:t>
            </w:r>
          </w:p>
        </w:tc>
      </w:tr>
      <w:tr>
        <w:tc>
          <w:tcPr>
            <w:tcW w:type="dxa" w:w="2400"/>
            <w:shd w:fill="FFFFFF" w:val="clear"/>
            <w:tcMar>
              <w:top w:type="dxa" w:w="100"/>
              <w:left w:type="dxa" w:w="120"/>
              <w:bottom w:type="dxa" w:w="100"/>
              <w:right w:type="dxa" w:w="120"/>
            </w:tcMar>
            <w:vAlign w:val="center"/>
          </w:tcPr>
          <w:p>
            <w:r>
              <w:rPr>
                <w:b/>
                <w:bCs/>
                <w:color w:val="1F2A37"/>
                <w:sz w:val="19"/>
                <w:szCs w:val="19"/>
              </w:rPr>
              <w:t xml:space="preserve">Employer</w:t>
            </w:r>
          </w:p>
        </w:tc>
        <w:tc>
          <w:tcPr>
            <w:tcW w:type="dxa" w:w="6950"/>
            <w:shd w:fill="FFFFFF" w:val="clear"/>
            <w:tcMar>
              <w:top w:type="dxa" w:w="100"/>
              <w:left w:type="dxa" w:w="120"/>
              <w:bottom w:type="dxa" w:w="100"/>
              <w:right w:type="dxa" w:w="120"/>
            </w:tcMar>
            <w:vAlign w:val="center"/>
          </w:tcPr>
          <w:p>
            <w:r>
              <w:rPr>
                <w:b w:val="false"/>
                <w:bCs w:val="false"/>
                <w:color w:val="1F2A37"/>
                <w:sz w:val="19"/>
                <w:szCs w:val="19"/>
              </w:rPr>
              <w:t xml:space="preserve">Company or organization posting jobs and managing applicants</w:t>
            </w:r>
          </w:p>
        </w:tc>
      </w:tr>
      <w:tr>
        <w:tc>
          <w:tcPr>
            <w:tcW w:type="dxa" w:w="2400"/>
            <w:shd w:fill="FFFFFF" w:val="clear"/>
            <w:tcMar>
              <w:top w:type="dxa" w:w="100"/>
              <w:left w:type="dxa" w:w="120"/>
              <w:bottom w:type="dxa" w:w="100"/>
              <w:right w:type="dxa" w:w="120"/>
            </w:tcMar>
            <w:vAlign w:val="center"/>
          </w:tcPr>
          <w:p>
            <w:r>
              <w:rPr>
                <w:b/>
                <w:bCs/>
                <w:color w:val="1F2A37"/>
                <w:sz w:val="19"/>
                <w:szCs w:val="19"/>
              </w:rPr>
              <w:t xml:space="preserve">Administrator</w:t>
            </w:r>
          </w:p>
        </w:tc>
        <w:tc>
          <w:tcPr>
            <w:tcW w:type="dxa" w:w="6950"/>
            <w:shd w:fill="FFFFFF" w:val="clear"/>
            <w:tcMar>
              <w:top w:type="dxa" w:w="100"/>
              <w:left w:type="dxa" w:w="120"/>
              <w:bottom w:type="dxa" w:w="100"/>
              <w:right w:type="dxa" w:w="120"/>
            </w:tcMar>
            <w:vAlign w:val="center"/>
          </w:tcPr>
          <w:p>
            <w:r>
              <w:rPr>
                <w:b w:val="false"/>
                <w:bCs w:val="false"/>
                <w:color w:val="1F2A37"/>
                <w:sz w:val="19"/>
                <w:szCs w:val="19"/>
              </w:rPr>
              <w:t xml:space="preserve">Internal platform operator responsible for moderation and platform oversight</w:t>
            </w:r>
          </w:p>
        </w:tc>
      </w:tr>
      <w:tr>
        <w:tc>
          <w:tcPr>
            <w:tcW w:type="dxa" w:w="2400"/>
            <w:shd w:fill="FFFFFF" w:val="clear"/>
            <w:tcMar>
              <w:top w:type="dxa" w:w="100"/>
              <w:left w:type="dxa" w:w="120"/>
              <w:bottom w:type="dxa" w:w="100"/>
              <w:right w:type="dxa" w:w="120"/>
            </w:tcMar>
            <w:vAlign w:val="center"/>
          </w:tcPr>
          <w:p>
            <w:r>
              <w:rPr>
                <w:b/>
                <w:bCs/>
                <w:color w:val="1F2A37"/>
                <w:sz w:val="19"/>
                <w:szCs w:val="19"/>
              </w:rPr>
              <w:t xml:space="preserve">Mentor</w:t>
            </w:r>
          </w:p>
        </w:tc>
        <w:tc>
          <w:tcPr>
            <w:tcW w:type="dxa" w:w="6950"/>
            <w:shd w:fill="FFFFFF" w:val="clear"/>
            <w:tcMar>
              <w:top w:type="dxa" w:w="100"/>
              <w:left w:type="dxa" w:w="120"/>
              <w:bottom w:type="dxa" w:w="100"/>
              <w:right w:type="dxa" w:w="120"/>
            </w:tcMar>
            <w:vAlign w:val="center"/>
          </w:tcPr>
          <w:p>
            <w:r>
              <w:rPr>
                <w:b w:val="false"/>
                <w:bCs w:val="false"/>
                <w:color w:val="1F2A37"/>
                <w:sz w:val="19"/>
                <w:szCs w:val="19"/>
              </w:rPr>
              <w:t xml:space="preserve">Mohammad Dawi — academic supervisor reviewing project progress and deliverables</w:t>
            </w:r>
          </w:p>
        </w:tc>
      </w:tr>
      <w:tr>
        <w:tc>
          <w:tcPr>
            <w:tcW w:type="dxa" w:w="2400"/>
            <w:shd w:fill="FFFFFF" w:val="clear"/>
            <w:tcMar>
              <w:top w:type="dxa" w:w="100"/>
              <w:left w:type="dxa" w:w="120"/>
              <w:bottom w:type="dxa" w:w="100"/>
              <w:right w:type="dxa" w:w="120"/>
            </w:tcMar>
            <w:vAlign w:val="center"/>
          </w:tcPr>
          <w:p>
            <w:r>
              <w:rPr>
                <w:b/>
                <w:bCs/>
                <w:color w:val="1F2A37"/>
                <w:sz w:val="19"/>
                <w:szCs w:val="19"/>
              </w:rPr>
              <w:t xml:space="preserve">Development Team</w:t>
            </w:r>
          </w:p>
        </w:tc>
        <w:tc>
          <w:tcPr>
            <w:tcW w:type="dxa" w:w="6950"/>
            <w:shd w:fill="FFFFFF" w:val="clear"/>
            <w:tcMar>
              <w:top w:type="dxa" w:w="100"/>
              <w:left w:type="dxa" w:w="120"/>
              <w:bottom w:type="dxa" w:w="100"/>
              <w:right w:type="dxa" w:w="120"/>
            </w:tcMar>
            <w:vAlign w:val="center"/>
          </w:tcPr>
          <w:p>
            <w:r>
              <w:rPr>
                <w:b w:val="false"/>
                <w:bCs w:val="false"/>
                <w:color w:val="1F2A37"/>
                <w:sz w:val="19"/>
                <w:szCs w:val="19"/>
              </w:rPr>
              <w:t xml:space="preserve">Responsible for building and maintaining the platform</w:t>
            </w:r>
          </w:p>
        </w:tc>
      </w:tr>
    </w:tbl>
    <w:p>
      <w:pPr>
        <w:pageBreakBefore/>
      </w:pPr>
      <w:r>
        <w:t xml:space="preserve"/>
      </w:r>
    </w:p>
    <w:p>
      <w:pPr>
        <w:pStyle w:val="Heading1"/>
        <w:spacing w:after="180" w:before="380"/>
      </w:pPr>
      <w:r>
        <w:t xml:space="preserve">5. User Roles &amp; Role-Based Access Control (RBAC)</w:t>
      </w:r>
    </w:p>
    <w:p>
      <w:pPr>
        <w:spacing w:after="160"/>
      </w:pPr>
      <w:r>
        <w:rPr>
          <w:sz w:val="21"/>
          <w:szCs w:val="21"/>
        </w:rPr>
        <w:t xml:space="preserve">Wazifny supports three distinct user roles. Every account is authenticated against a single Users identity with an assigned role, and that role determines which pages, dashboards, and actions the authenticated user can access. Role is established at registration (Talent or Employer) or assigned internally (Admin), and is embedded in the authentication token so access control can be enforced consistently across the platform.</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800"/>
        <w:gridCol w:w="7550"/>
      </w:tblGrid>
      <w:tr>
        <w:trPr>
          <w:tblHeader/>
        </w:trPr>
        <w:tc>
          <w:tcPr>
            <w:tcW w:type="dxa" w:w="1800"/>
            <w:shd w:fill="1F2A37" w:val="clear"/>
            <w:tcMar>
              <w:top w:type="dxa" w:w="100"/>
              <w:left w:type="dxa" w:w="120"/>
              <w:bottom w:type="dxa" w:w="100"/>
              <w:right w:type="dxa" w:w="120"/>
            </w:tcMar>
            <w:vAlign w:val="center"/>
          </w:tcPr>
          <w:p>
            <w:r>
              <w:rPr>
                <w:b/>
                <w:bCs/>
                <w:color w:val="FFFFFF"/>
                <w:sz w:val="19"/>
                <w:szCs w:val="19"/>
              </w:rPr>
              <w:t xml:space="preserve">Role</w:t>
            </w:r>
          </w:p>
        </w:tc>
        <w:tc>
          <w:tcPr>
            <w:tcW w:type="dxa" w:w="7550"/>
            <w:shd w:fill="1F2A37" w:val="clear"/>
            <w:tcMar>
              <w:top w:type="dxa" w:w="100"/>
              <w:left w:type="dxa" w:w="120"/>
              <w:bottom w:type="dxa" w:w="100"/>
              <w:right w:type="dxa" w:w="120"/>
            </w:tcMar>
            <w:vAlign w:val="center"/>
          </w:tcPr>
          <w:p>
            <w:r>
              <w:rPr>
                <w:b/>
                <w:bCs/>
                <w:color w:val="FFFFFF"/>
                <w:sz w:val="19"/>
                <w:szCs w:val="19"/>
              </w:rPr>
              <w:t xml:space="preserve">Permissions</w:t>
            </w:r>
          </w:p>
        </w:tc>
      </w:tr>
      <w:tr>
        <w:tc>
          <w:tcPr>
            <w:tcW w:type="dxa" w:w="1800"/>
            <w:shd w:fill="FFFFFF" w:val="clear"/>
            <w:tcMar>
              <w:top w:type="dxa" w:w="100"/>
              <w:left w:type="dxa" w:w="120"/>
              <w:bottom w:type="dxa" w:w="100"/>
              <w:right w:type="dxa" w:w="120"/>
            </w:tcMar>
            <w:vAlign w:val="center"/>
          </w:tcPr>
          <w:p>
            <w:r>
              <w:rPr>
                <w:b/>
                <w:bCs/>
                <w:color w:val="1F2A37"/>
                <w:sz w:val="19"/>
                <w:szCs w:val="19"/>
              </w:rPr>
              <w:t xml:space="preserve">Talent</w:t>
            </w:r>
          </w:p>
        </w:tc>
        <w:tc>
          <w:tcPr>
            <w:tcW w:type="dxa" w:w="7550"/>
            <w:shd w:fill="FFFFFF" w:val="clear"/>
            <w:tcMar>
              <w:top w:type="dxa" w:w="100"/>
              <w:left w:type="dxa" w:w="120"/>
              <w:bottom w:type="dxa" w:w="100"/>
              <w:right w:type="dxa" w:w="120"/>
            </w:tcMar>
            <w:vAlign w:val="center"/>
          </w:tcPr>
          <w:p>
            <w:r>
              <w:rPr>
                <w:b w:val="false"/>
                <w:bCs w:val="false"/>
                <w:color w:val="1F2A37"/>
                <w:sz w:val="19"/>
                <w:szCs w:val="19"/>
              </w:rPr>
              <w:t xml:space="preserve">Register/login as a job seeker; manage profile and CV; view AI job matches; apply to jobs; save jobs; track applications; chat with employers; browse courses; receive notifications. Cannot access employer or admin tools.</w:t>
            </w:r>
          </w:p>
        </w:tc>
      </w:tr>
      <w:tr>
        <w:tc>
          <w:tcPr>
            <w:tcW w:type="dxa" w:w="1800"/>
            <w:shd w:fill="FFFFFF" w:val="clear"/>
            <w:tcMar>
              <w:top w:type="dxa" w:w="100"/>
              <w:left w:type="dxa" w:w="120"/>
              <w:bottom w:type="dxa" w:w="100"/>
              <w:right w:type="dxa" w:w="120"/>
            </w:tcMar>
            <w:vAlign w:val="center"/>
          </w:tcPr>
          <w:p>
            <w:r>
              <w:rPr>
                <w:b/>
                <w:bCs/>
                <w:color w:val="1F2A37"/>
                <w:sz w:val="19"/>
                <w:szCs w:val="19"/>
              </w:rPr>
              <w:t xml:space="preserve">Employer</w:t>
            </w:r>
          </w:p>
        </w:tc>
        <w:tc>
          <w:tcPr>
            <w:tcW w:type="dxa" w:w="7550"/>
            <w:shd w:fill="FFFFFF" w:val="clear"/>
            <w:tcMar>
              <w:top w:type="dxa" w:w="100"/>
              <w:left w:type="dxa" w:w="120"/>
              <w:bottom w:type="dxa" w:w="100"/>
              <w:right w:type="dxa" w:w="120"/>
            </w:tcMar>
            <w:vAlign w:val="center"/>
          </w:tcPr>
          <w:p>
            <w:r>
              <w:rPr>
                <w:b w:val="false"/>
                <w:bCs w:val="false"/>
                <w:color w:val="1F2A37"/>
                <w:sz w:val="19"/>
                <w:szCs w:val="19"/>
              </w:rPr>
              <w:t xml:space="preserve">Register/login as a company; manage company profile; post and manage jobs; view and manage applicants; save candidate profiles; manage subscription plan; chat with talents. Cannot access talent-only tools or admin tools.</w:t>
            </w:r>
          </w:p>
        </w:tc>
      </w:tr>
      <w:tr>
        <w:tc>
          <w:tcPr>
            <w:tcW w:type="dxa" w:w="1800"/>
            <w:shd w:fill="FFFFFF" w:val="clear"/>
            <w:tcMar>
              <w:top w:type="dxa" w:w="100"/>
              <w:left w:type="dxa" w:w="120"/>
              <w:bottom w:type="dxa" w:w="100"/>
              <w:right w:type="dxa" w:w="120"/>
            </w:tcMar>
            <w:vAlign w:val="center"/>
          </w:tcPr>
          <w:p>
            <w:r>
              <w:rPr>
                <w:b/>
                <w:bCs/>
                <w:color w:val="1F2A37"/>
                <w:sz w:val="19"/>
                <w:szCs w:val="19"/>
              </w:rPr>
              <w:t xml:space="preserve">Admin</w:t>
            </w:r>
          </w:p>
        </w:tc>
        <w:tc>
          <w:tcPr>
            <w:tcW w:type="dxa" w:w="7550"/>
            <w:shd w:fill="FFFFFF" w:val="clear"/>
            <w:tcMar>
              <w:top w:type="dxa" w:w="100"/>
              <w:left w:type="dxa" w:w="120"/>
              <w:bottom w:type="dxa" w:w="100"/>
              <w:right w:type="dxa" w:w="120"/>
            </w:tcMar>
            <w:vAlign w:val="center"/>
          </w:tcPr>
          <w:p>
            <w:r>
              <w:rPr>
                <w:b w:val="false"/>
                <w:bCs w:val="false"/>
                <w:color w:val="1F2A37"/>
                <w:sz w:val="19"/>
                <w:szCs w:val="19"/>
              </w:rPr>
              <w:t xml:space="preserve">Internal role, not self-registered. Moderate users and content; manage blocked users; oversee platform activity. Full visibility across talent and employer data for moderation purposes only.</w:t>
            </w:r>
          </w:p>
        </w:tc>
      </w:tr>
    </w:tbl>
    <w:p>
      <w:pPr>
        <w:spacing w:after="100" w:before="200"/>
      </w:pPr>
      <w:r>
        <w:rPr>
          <w:b/>
          <w:bCs/>
          <w:color w:val="E8641C"/>
          <w:sz w:val="22"/>
          <w:szCs w:val="22"/>
        </w:rPr>
        <w:t xml:space="preserve">Role-Based Authentication Requirements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100"/>
        <w:gridCol w:w="6850"/>
        <w:gridCol w:w="1400"/>
      </w:tblGrid>
      <w:tr>
        <w:trPr>
          <w:tblHeader/>
        </w:trPr>
        <w:tc>
          <w:tcPr>
            <w:tcW w:type="dxa" w:w="1100"/>
            <w:shd w:fill="1F2A37" w:val="clear"/>
            <w:tcMar>
              <w:top w:type="dxa" w:w="100"/>
              <w:left w:type="dxa" w:w="120"/>
              <w:bottom w:type="dxa" w:w="100"/>
              <w:right w:type="dxa" w:w="120"/>
            </w:tcMar>
            <w:vAlign w:val="center"/>
          </w:tcPr>
          <w:p>
            <w:r>
              <w:rPr>
                <w:b/>
                <w:bCs/>
                <w:color w:val="FFFFFF"/>
                <w:sz w:val="19"/>
                <w:szCs w:val="19"/>
              </w:rPr>
              <w:t xml:space="preserve">ID</w:t>
            </w:r>
          </w:p>
        </w:tc>
        <w:tc>
          <w:tcPr>
            <w:tcW w:type="dxa" w:w="6850"/>
            <w:shd w:fill="1F2A37" w:val="clear"/>
            <w:tcMar>
              <w:top w:type="dxa" w:w="100"/>
              <w:left w:type="dxa" w:w="120"/>
              <w:bottom w:type="dxa" w:w="100"/>
              <w:right w:type="dxa" w:w="120"/>
            </w:tcMar>
            <w:vAlign w:val="center"/>
          </w:tcPr>
          <w:p>
            <w:r>
              <w:rPr>
                <w:b/>
                <w:bCs/>
                <w:color w:val="FFFFFF"/>
                <w:sz w:val="19"/>
                <w:szCs w:val="19"/>
              </w:rPr>
              <w:t xml:space="preserve">Requirement</w:t>
            </w:r>
          </w:p>
        </w:tc>
        <w:tc>
          <w:tcPr>
            <w:tcW w:type="dxa" w:w="1400"/>
            <w:shd w:fill="1F2A37" w:val="clear"/>
            <w:tcMar>
              <w:top w:type="dxa" w:w="100"/>
              <w:left w:type="dxa" w:w="120"/>
              <w:bottom w:type="dxa" w:w="100"/>
              <w:right w:type="dxa" w:w="120"/>
            </w:tcMar>
            <w:vAlign w:val="center"/>
          </w:tcPr>
          <w:p>
            <w:r>
              <w:rPr>
                <w:b/>
                <w:bCs/>
                <w:color w:val="FFFFFF"/>
                <w:sz w:val="19"/>
                <w:szCs w:val="19"/>
              </w:rPr>
              <w:t xml:space="preserve">Priority</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FR-AUTH-01</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allow a new user to register as either a Talent or an Employer, capturing the selected role at sign-up.</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FR-AUTH-02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authenticate users via email and password, using hashed password storage.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FR-AUTH-03</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Upon successful login, the system shall issue an authentication token (JWT) that embeds the user's role.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FR-AUTH-04</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restrict access to role-specific routes and UI (Talent dashboard, Employer dashboard, Admin panel) based on the role embedded in the authentication token.</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FR-AUTH-05</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block and redirect any request to a route outside the authenticated user's role, returning an appropriate access-denied response.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FR-AUTH-06</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Admin role shall be assignable only by existing administrators, not through public registration.</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FR-AUTH-07</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support password change and password reset for all roles.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bl>
    <w:p>
      <w:pPr>
        <w:pStyle w:val="Heading1"/>
        <w:spacing w:after="180" w:before="380"/>
      </w:pPr>
      <w:r>
        <w:t xml:space="preserve">6. Functional Requirements</w:t>
      </w:r>
    </w:p>
    <w:p>
      <w:pPr>
        <w:spacing w:after="100" w:before="200"/>
      </w:pPr>
      <w:r>
        <w:rPr>
          <w:b/>
          <w:bCs/>
          <w:color w:val="E8641C"/>
          <w:sz w:val="22"/>
          <w:szCs w:val="22"/>
        </w:rPr>
        <w:t xml:space="preserve">6.1 Talent Module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100"/>
        <w:gridCol w:w="6850"/>
        <w:gridCol w:w="1400"/>
      </w:tblGrid>
      <w:tr>
        <w:trPr>
          <w:tblHeader/>
        </w:trPr>
        <w:tc>
          <w:tcPr>
            <w:tcW w:type="dxa" w:w="1100"/>
            <w:shd w:fill="1F2A37" w:val="clear"/>
            <w:tcMar>
              <w:top w:type="dxa" w:w="100"/>
              <w:left w:type="dxa" w:w="120"/>
              <w:bottom w:type="dxa" w:w="100"/>
              <w:right w:type="dxa" w:w="120"/>
            </w:tcMar>
            <w:vAlign w:val="center"/>
          </w:tcPr>
          <w:p>
            <w:r>
              <w:rPr>
                <w:b/>
                <w:bCs/>
                <w:color w:val="FFFFFF"/>
                <w:sz w:val="19"/>
                <w:szCs w:val="19"/>
              </w:rPr>
              <w:t xml:space="preserve">ID</w:t>
            </w:r>
          </w:p>
        </w:tc>
        <w:tc>
          <w:tcPr>
            <w:tcW w:type="dxa" w:w="6850"/>
            <w:shd w:fill="1F2A37" w:val="clear"/>
            <w:tcMar>
              <w:top w:type="dxa" w:w="100"/>
              <w:left w:type="dxa" w:w="120"/>
              <w:bottom w:type="dxa" w:w="100"/>
              <w:right w:type="dxa" w:w="120"/>
            </w:tcMar>
            <w:vAlign w:val="center"/>
          </w:tcPr>
          <w:p>
            <w:r>
              <w:rPr>
                <w:b/>
                <w:bCs/>
                <w:color w:val="FFFFFF"/>
                <w:sz w:val="19"/>
                <w:szCs w:val="19"/>
              </w:rPr>
              <w:t xml:space="preserve">Requirement</w:t>
            </w:r>
          </w:p>
        </w:tc>
        <w:tc>
          <w:tcPr>
            <w:tcW w:type="dxa" w:w="1400"/>
            <w:shd w:fill="1F2A37" w:val="clear"/>
            <w:tcMar>
              <w:top w:type="dxa" w:w="100"/>
              <w:left w:type="dxa" w:w="120"/>
              <w:bottom w:type="dxa" w:w="100"/>
              <w:right w:type="dxa" w:w="120"/>
            </w:tcMar>
            <w:vAlign w:val="center"/>
          </w:tcPr>
          <w:p>
            <w:r>
              <w:rPr>
                <w:b/>
                <w:bCs/>
                <w:color w:val="FFFFFF"/>
                <w:sz w:val="19"/>
                <w:szCs w:val="19"/>
              </w:rPr>
              <w:t xml:space="preserve">Priority</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FR-TAL-01</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Talent shall be able to create and edit a profile (personal data, education, experience, skills, languages, work preferences).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Talent shall be able to upload a CV (PDF/DOCX).</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FR-TAL-03</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parse the uploaded CV and automatically populate matching profile fields.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FR-TAL-04</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flag any profile field the parser could not confidently extract as incomplete.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FR-TAL-05</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Talent shall be able to manually complete or correct any profile field, including AI-filled ones.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FR-TAL-06</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Once the profile is marked complete, the system shall generate a ranked list of matching jobs.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FR-TAL-07</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Talent shall be able to apply to a job with one click, choosing between in-platform apply and external redirect apply, depending on what the job offers.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FR-TAL-08</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Talent shall be able to save jobs and track the status of submitted applications.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FR-TAL-09</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notify the talent when a new job strongly matching their profile becomes available.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FR-TAL-10</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recommend courses based on skill gaps identified between the talent's profile and jobs of interest.</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bl>
    <w:p>
      <w:pPr>
        <w:spacing w:after="100" w:before="200"/>
      </w:pPr>
      <w:r>
        <w:rPr>
          <w:b/>
          <w:bCs/>
          <w:color w:val="E8641C"/>
          <w:sz w:val="22"/>
          <w:szCs w:val="22"/>
        </w:rPr>
        <w:t xml:space="preserve">6.2 Employer Module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100"/>
        <w:gridCol w:w="6850"/>
        <w:gridCol w:w="1400"/>
      </w:tblGrid>
      <w:tr>
        <w:trPr>
          <w:tblHeader/>
        </w:trPr>
        <w:tc>
          <w:tcPr>
            <w:tcW w:type="dxa" w:w="1100"/>
            <w:shd w:fill="1F2A37" w:val="clear"/>
            <w:tcMar>
              <w:top w:type="dxa" w:w="100"/>
              <w:left w:type="dxa" w:w="120"/>
              <w:bottom w:type="dxa" w:w="100"/>
              <w:right w:type="dxa" w:w="120"/>
            </w:tcMar>
            <w:vAlign w:val="center"/>
          </w:tcPr>
          <w:p>
            <w:r>
              <w:rPr>
                <w:b/>
                <w:bCs/>
                <w:color w:val="FFFFFF"/>
                <w:sz w:val="19"/>
                <w:szCs w:val="19"/>
              </w:rPr>
              <w:t xml:space="preserve">ID</w:t>
            </w:r>
          </w:p>
        </w:tc>
        <w:tc>
          <w:tcPr>
            <w:tcW w:type="dxa" w:w="6850"/>
            <w:shd w:fill="1F2A37" w:val="clear"/>
            <w:tcMar>
              <w:top w:type="dxa" w:w="100"/>
              <w:left w:type="dxa" w:w="120"/>
              <w:bottom w:type="dxa" w:w="100"/>
              <w:right w:type="dxa" w:w="120"/>
            </w:tcMar>
            <w:vAlign w:val="center"/>
          </w:tcPr>
          <w:p>
            <w:r>
              <w:rPr>
                <w:b/>
                <w:bCs/>
                <w:color w:val="FFFFFF"/>
                <w:sz w:val="19"/>
                <w:szCs w:val="19"/>
              </w:rPr>
              <w:t xml:space="preserve">Requirement</w:t>
            </w:r>
          </w:p>
        </w:tc>
        <w:tc>
          <w:tcPr>
            <w:tcW w:type="dxa" w:w="1400"/>
            <w:shd w:fill="1F2A37" w:val="clear"/>
            <w:tcMar>
              <w:top w:type="dxa" w:w="100"/>
              <w:left w:type="dxa" w:w="120"/>
              <w:bottom w:type="dxa" w:w="100"/>
              <w:right w:type="dxa" w:w="120"/>
            </w:tcMar>
            <w:vAlign w:val="center"/>
          </w:tcPr>
          <w:p>
            <w:r>
              <w:rPr>
                <w:b/>
                <w:bCs/>
                <w:color w:val="FFFFFF"/>
                <w:sz w:val="19"/>
                <w:szCs w:val="19"/>
              </w:rPr>
              <w:t xml:space="preserve">Priority</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FR-EMP-01</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Employer shall be able to create and edit a company profile.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FR-EMP-02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Employer shall be able to post, edit, and close job listings.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FR-EMP-03</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Employer shall be able to choose the application method for each job: in-platform apply or external redirect apply.</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FR-EMP-04</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Employer shall be able to view and manage applicants per job.</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FR-EMP-05</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Employer shall be able to save candidate profiles for future reference.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FR-EMP-06</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Employer shall be able to manage a subscription plan.</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FR-EMP-07</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Employer shall be able to block users from contacting or applying.</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Low</w:t>
            </w:r>
          </w:p>
        </w:tc>
      </w:tr>
    </w:tbl>
    <w:p>
      <w:pPr>
        <w:spacing w:after="100" w:before="200"/>
      </w:pPr>
      <w:r>
        <w:rPr>
          <w:b/>
          <w:bCs/>
          <w:color w:val="E8641C"/>
          <w:sz w:val="22"/>
          <w:szCs w:val="22"/>
        </w:rPr>
        <w:t xml:space="preserve">6.3 AI Module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100"/>
        <w:gridCol w:w="6850"/>
        <w:gridCol w:w="1400"/>
      </w:tblGrid>
      <w:tr>
        <w:trPr>
          <w:tblHeader/>
        </w:trPr>
        <w:tc>
          <w:tcPr>
            <w:tcW w:type="dxa" w:w="1100"/>
            <w:shd w:fill="1F2A37" w:val="clear"/>
            <w:tcMar>
              <w:top w:type="dxa" w:w="100"/>
              <w:left w:type="dxa" w:w="120"/>
              <w:bottom w:type="dxa" w:w="100"/>
              <w:right w:type="dxa" w:w="120"/>
            </w:tcMar>
            <w:vAlign w:val="center"/>
          </w:tcPr>
          <w:p>
            <w:r>
              <w:rPr>
                <w:b/>
                <w:bCs/>
                <w:color w:val="FFFFFF"/>
                <w:sz w:val="19"/>
                <w:szCs w:val="19"/>
              </w:rPr>
              <w:t xml:space="preserve">ID</w:t>
            </w:r>
          </w:p>
        </w:tc>
        <w:tc>
          <w:tcPr>
            <w:tcW w:type="dxa" w:w="6850"/>
            <w:shd w:fill="1F2A37" w:val="clear"/>
            <w:tcMar>
              <w:top w:type="dxa" w:w="100"/>
              <w:left w:type="dxa" w:w="120"/>
              <w:bottom w:type="dxa" w:w="100"/>
              <w:right w:type="dxa" w:w="120"/>
            </w:tcMar>
            <w:vAlign w:val="center"/>
          </w:tcPr>
          <w:p>
            <w:r>
              <w:rPr>
                <w:b/>
                <w:bCs/>
                <w:color w:val="FFFFFF"/>
                <w:sz w:val="19"/>
                <w:szCs w:val="19"/>
              </w:rPr>
              <w:t xml:space="preserve">Requirement</w:t>
            </w:r>
          </w:p>
        </w:tc>
        <w:tc>
          <w:tcPr>
            <w:tcW w:type="dxa" w:w="1400"/>
            <w:shd w:fill="1F2A37" w:val="clear"/>
            <w:tcMar>
              <w:top w:type="dxa" w:w="100"/>
              <w:left w:type="dxa" w:w="120"/>
              <w:bottom w:type="dxa" w:w="100"/>
              <w:right w:type="dxa" w:w="120"/>
            </w:tcMar>
            <w:vAlign w:val="center"/>
          </w:tcPr>
          <w:p>
            <w:r>
              <w:rPr>
                <w:b/>
                <w:bCs/>
                <w:color w:val="FFFFFF"/>
                <w:sz w:val="19"/>
                <w:szCs w:val="19"/>
              </w:rPr>
              <w:t xml:space="preserve">Priority</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FR-AI-01</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extract structured data (education, experience, skills, languages) from an uploaded CV.</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FR-AI-02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compute a match score between a talent profile and each open job.</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FR-AI-03</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matching engine shall consider both jobs posted on Wazifny and job listings aggregated from other sources in Lebanon.</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FR-AI-04</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re-evaluate matches when a talent's profile changes or a new job is posted.</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FR-AI-05</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identify skill gaps and map them to relevant course recommendations.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FR-AI-06 (Phase 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screen and rank candidates for employers automatically.</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Low</w:t>
            </w:r>
          </w:p>
        </w:tc>
      </w:tr>
    </w:tbl>
    <w:p>
      <w:pPr>
        <w:spacing w:after="100" w:before="200"/>
      </w:pPr>
      <w:r>
        <w:rPr>
          <w:b/>
          <w:bCs/>
          <w:color w:val="E8641C"/>
          <w:sz w:val="22"/>
          <w:szCs w:val="22"/>
        </w:rPr>
        <w:t xml:space="preserve">6.4 Communication &amp; Notifications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100"/>
        <w:gridCol w:w="6850"/>
        <w:gridCol w:w="1400"/>
      </w:tblGrid>
      <w:tr>
        <w:trPr>
          <w:tblHeader/>
        </w:trPr>
        <w:tc>
          <w:tcPr>
            <w:tcW w:type="dxa" w:w="1100"/>
            <w:shd w:fill="1F2A37" w:val="clear"/>
            <w:tcMar>
              <w:top w:type="dxa" w:w="100"/>
              <w:left w:type="dxa" w:w="120"/>
              <w:bottom w:type="dxa" w:w="100"/>
              <w:right w:type="dxa" w:w="120"/>
            </w:tcMar>
            <w:vAlign w:val="center"/>
          </w:tcPr>
          <w:p>
            <w:r>
              <w:rPr>
                <w:b/>
                <w:bCs/>
                <w:color w:val="FFFFFF"/>
                <w:sz w:val="19"/>
                <w:szCs w:val="19"/>
              </w:rPr>
              <w:t xml:space="preserve">ID</w:t>
            </w:r>
          </w:p>
        </w:tc>
        <w:tc>
          <w:tcPr>
            <w:tcW w:type="dxa" w:w="6850"/>
            <w:shd w:fill="1F2A37" w:val="clear"/>
            <w:tcMar>
              <w:top w:type="dxa" w:w="100"/>
              <w:left w:type="dxa" w:w="120"/>
              <w:bottom w:type="dxa" w:w="100"/>
              <w:right w:type="dxa" w:w="120"/>
            </w:tcMar>
            <w:vAlign w:val="center"/>
          </w:tcPr>
          <w:p>
            <w:r>
              <w:rPr>
                <w:b/>
                <w:bCs/>
                <w:color w:val="FFFFFF"/>
                <w:sz w:val="19"/>
                <w:szCs w:val="19"/>
              </w:rPr>
              <w:t xml:space="preserve">Requirement</w:t>
            </w:r>
          </w:p>
        </w:tc>
        <w:tc>
          <w:tcPr>
            <w:tcW w:type="dxa" w:w="1400"/>
            <w:shd w:fill="1F2A37" w:val="clear"/>
            <w:tcMar>
              <w:top w:type="dxa" w:w="100"/>
              <w:left w:type="dxa" w:w="120"/>
              <w:bottom w:type="dxa" w:w="100"/>
              <w:right w:type="dxa" w:w="120"/>
            </w:tcMar>
            <w:vAlign w:val="center"/>
          </w:tcPr>
          <w:p>
            <w:r>
              <w:rPr>
                <w:b/>
                <w:bCs/>
                <w:color w:val="FFFFFF"/>
                <w:sz w:val="19"/>
                <w:szCs w:val="19"/>
              </w:rPr>
              <w:t xml:space="preserve">Priority</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FR-COM-01</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Talents and employers shall be able to exchange messages in-app.</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FR-COM-02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notify users of relevant events (new match, new application, new message).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bl>
    <w:p>
      <w:pPr>
        <w:spacing w:after="100" w:before="200"/>
      </w:pPr>
      <w:r>
        <w:rPr>
          <w:b/>
          <w:bCs/>
          <w:color w:val="E8641C"/>
          <w:sz w:val="22"/>
          <w:szCs w:val="22"/>
        </w:rPr>
        <w:t xml:space="preserve">6.5 Admin Module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100"/>
        <w:gridCol w:w="6850"/>
        <w:gridCol w:w="1400"/>
      </w:tblGrid>
      <w:tr>
        <w:trPr>
          <w:tblHeader/>
        </w:trPr>
        <w:tc>
          <w:tcPr>
            <w:tcW w:type="dxa" w:w="1100"/>
            <w:shd w:fill="1F2A37" w:val="clear"/>
            <w:tcMar>
              <w:top w:type="dxa" w:w="100"/>
              <w:left w:type="dxa" w:w="120"/>
              <w:bottom w:type="dxa" w:w="100"/>
              <w:right w:type="dxa" w:w="120"/>
            </w:tcMar>
            <w:vAlign w:val="center"/>
          </w:tcPr>
          <w:p>
            <w:r>
              <w:rPr>
                <w:b/>
                <w:bCs/>
                <w:color w:val="FFFFFF"/>
                <w:sz w:val="19"/>
                <w:szCs w:val="19"/>
              </w:rPr>
              <w:t xml:space="preserve">ID</w:t>
            </w:r>
          </w:p>
        </w:tc>
        <w:tc>
          <w:tcPr>
            <w:tcW w:type="dxa" w:w="6850"/>
            <w:shd w:fill="1F2A37" w:val="clear"/>
            <w:tcMar>
              <w:top w:type="dxa" w:w="100"/>
              <w:left w:type="dxa" w:w="120"/>
              <w:bottom w:type="dxa" w:w="100"/>
              <w:right w:type="dxa" w:w="120"/>
            </w:tcMar>
            <w:vAlign w:val="center"/>
          </w:tcPr>
          <w:p>
            <w:r>
              <w:rPr>
                <w:b/>
                <w:bCs/>
                <w:color w:val="FFFFFF"/>
                <w:sz w:val="19"/>
                <w:szCs w:val="19"/>
              </w:rPr>
              <w:t xml:space="preserve">Requirement</w:t>
            </w:r>
          </w:p>
        </w:tc>
        <w:tc>
          <w:tcPr>
            <w:tcW w:type="dxa" w:w="1400"/>
            <w:shd w:fill="1F2A37" w:val="clear"/>
            <w:tcMar>
              <w:top w:type="dxa" w:w="100"/>
              <w:left w:type="dxa" w:w="120"/>
              <w:bottom w:type="dxa" w:w="100"/>
              <w:right w:type="dxa" w:w="120"/>
            </w:tcMar>
            <w:vAlign w:val="center"/>
          </w:tcPr>
          <w:p>
            <w:r>
              <w:rPr>
                <w:b/>
                <w:bCs/>
                <w:color w:val="FFFFFF"/>
                <w:sz w:val="19"/>
                <w:szCs w:val="19"/>
              </w:rPr>
              <w:t xml:space="preserve">Priority</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FR-ADM-01</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Admin shall be able to view, moderate, and manage talent and employer accounts.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FR-ADM-02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Admin shall be able to manage blocked users at the platform level.</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Low</w:t>
            </w:r>
          </w:p>
        </w:tc>
      </w:tr>
    </w:tbl>
    <w:p>
      <w:pPr>
        <w:pageBreakBefore/>
      </w:pPr>
      <w:r>
        <w:t xml:space="preserve"/>
      </w:r>
    </w:p>
    <w:p>
      <w:pPr>
        <w:pStyle w:val="Heading1"/>
        <w:spacing w:after="180" w:before="380"/>
      </w:pPr>
      <w:r>
        <w:t xml:space="preserve">7. Non-Functional Requirements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1100"/>
        <w:gridCol w:w="6850"/>
        <w:gridCol w:w="1400"/>
      </w:tblGrid>
      <w:tr>
        <w:trPr>
          <w:tblHeader/>
        </w:trPr>
        <w:tc>
          <w:tcPr>
            <w:tcW w:type="dxa" w:w="1100"/>
            <w:shd w:fill="1F2A37" w:val="clear"/>
            <w:tcMar>
              <w:top w:type="dxa" w:w="100"/>
              <w:left w:type="dxa" w:w="120"/>
              <w:bottom w:type="dxa" w:w="100"/>
              <w:right w:type="dxa" w:w="120"/>
            </w:tcMar>
            <w:vAlign w:val="center"/>
          </w:tcPr>
          <w:p>
            <w:r>
              <w:rPr>
                <w:b/>
                <w:bCs/>
                <w:color w:val="FFFFFF"/>
                <w:sz w:val="19"/>
                <w:szCs w:val="19"/>
              </w:rPr>
              <w:t xml:space="preserve">ID</w:t>
            </w:r>
          </w:p>
        </w:tc>
        <w:tc>
          <w:tcPr>
            <w:tcW w:type="dxa" w:w="6850"/>
            <w:shd w:fill="1F2A37" w:val="clear"/>
            <w:tcMar>
              <w:top w:type="dxa" w:w="100"/>
              <w:left w:type="dxa" w:w="120"/>
              <w:bottom w:type="dxa" w:w="100"/>
              <w:right w:type="dxa" w:w="120"/>
            </w:tcMar>
            <w:vAlign w:val="center"/>
          </w:tcPr>
          <w:p>
            <w:r>
              <w:rPr>
                <w:b/>
                <w:bCs/>
                <w:color w:val="FFFFFF"/>
                <w:sz w:val="19"/>
                <w:szCs w:val="19"/>
              </w:rPr>
              <w:t xml:space="preserve">Requirement</w:t>
            </w:r>
          </w:p>
        </w:tc>
        <w:tc>
          <w:tcPr>
            <w:tcW w:type="dxa" w:w="1400"/>
            <w:shd w:fill="1F2A37" w:val="clear"/>
            <w:tcMar>
              <w:top w:type="dxa" w:w="100"/>
              <w:left w:type="dxa" w:w="120"/>
              <w:bottom w:type="dxa" w:w="100"/>
              <w:right w:type="dxa" w:w="120"/>
            </w:tcMar>
            <w:vAlign w:val="center"/>
          </w:tcPr>
          <w:p>
            <w:r>
              <w:rPr>
                <w:b/>
                <w:bCs/>
                <w:color w:val="FFFFFF"/>
                <w:sz w:val="19"/>
                <w:szCs w:val="19"/>
              </w:rPr>
              <w:t xml:space="preserve">Priority</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NFR-01</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support both Arabic and English, including right-to-left (RTL) layout for Arabic.</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NFR-02</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be responsive and usable on both desktop and mobile browsers.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NFR-03</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Passwords shall be stored using industry-standard hashing; all traffic shall be served over HTTPS.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NFR-04</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Role-based access control shall be enforced on both frontend routing and backend API endpoints.</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High</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NFR-05</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CV parsing and match generation shall complete within a reasonable time to avoid blocking the user experience (e.g., asynchronously with a visible processing state).</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r>
        <w:tc>
          <w:tcPr>
            <w:tcW w:type="dxa" w:w="1100"/>
            <w:shd w:fill="FFFFFF" w:val="clear"/>
            <w:tcMar>
              <w:top w:type="dxa" w:w="100"/>
              <w:left w:type="dxa" w:w="120"/>
              <w:bottom w:type="dxa" w:w="100"/>
              <w:right w:type="dxa" w:w="120"/>
            </w:tcMar>
            <w:vAlign w:val="center"/>
          </w:tcPr>
          <w:p>
            <w:r>
              <w:rPr>
                <w:b/>
                <w:bCs/>
                <w:color w:val="E8641C"/>
                <w:sz w:val="19"/>
                <w:szCs w:val="19"/>
              </w:rPr>
              <w:t xml:space="preserve">NFR-06</w:t>
            </w:r>
          </w:p>
        </w:tc>
        <w:tc>
          <w:tcPr>
            <w:tcW w:type="dxa" w:w="6850"/>
            <w:shd w:fill="FFFFFF" w:val="clear"/>
            <w:tcMar>
              <w:top w:type="dxa" w:w="100"/>
              <w:left w:type="dxa" w:w="120"/>
              <w:bottom w:type="dxa" w:w="100"/>
              <w:right w:type="dxa" w:w="120"/>
            </w:tcMar>
            <w:vAlign w:val="center"/>
          </w:tcPr>
          <w:p>
            <w:r>
              <w:rPr>
                <w:b w:val="false"/>
                <w:bCs w:val="false"/>
                <w:color w:val="1F2A37"/>
                <w:sz w:val="19"/>
                <w:szCs w:val="19"/>
              </w:rPr>
              <w:t xml:space="preserve">The system shall be built on a stack that allows the AI feature set to be extended (e.g., Phase 2 employer AI) without a full redesign.</w:t>
            </w:r>
          </w:p>
        </w:tc>
        <w:tc>
          <w:tcPr>
            <w:tcW w:type="dxa" w:w="1400"/>
            <w:shd w:fill="FFFFFF" w:val="clear"/>
            <w:tcMar>
              <w:top w:type="dxa" w:w="100"/>
              <w:left w:type="dxa" w:w="120"/>
              <w:bottom w:type="dxa" w:w="100"/>
              <w:right w:type="dxa" w:w="120"/>
            </w:tcMar>
            <w:vAlign w:val="center"/>
          </w:tcPr>
          <w:p>
            <w:r>
              <w:rPr>
                <w:b w:val="false"/>
                <w:bCs w:val="false"/>
                <w:color w:val="1F2A37"/>
                <w:sz w:val="19"/>
                <w:szCs w:val="19"/>
              </w:rPr>
              <w:t xml:space="preserve">Medium</w:t>
            </w:r>
          </w:p>
        </w:tc>
      </w:tr>
    </w:tbl>
    <w:p>
      <w:pPr>
        <w:pStyle w:val="Heading1"/>
        <w:spacing w:after="180" w:before="380"/>
      </w:pPr>
      <w:r>
        <w:t xml:space="preserve">8. Assumptions &amp; Constraints</w:t>
      </w:r>
    </w:p>
    <w:p>
      <w:pPr>
        <w:pStyle w:val="ListParagraph"/>
        <w:numPr>
          <w:ilvl w:val="0"/>
          <w:numId w:val="1"/>
        </w:numPr>
        <w:spacing w:after="90"/>
      </w:pPr>
      <w:r>
        <w:t xml:space="preserve">The platform targets the Lebanese job market but may reference job listings sourced from outside the platform itself.</w:t>
      </w:r>
    </w:p>
    <w:p>
      <w:pPr>
        <w:pStyle w:val="ListParagraph"/>
        <w:numPr>
          <w:ilvl w:val="0"/>
          <w:numId w:val="1"/>
        </w:numPr>
        <w:spacing w:after="90"/>
      </w:pPr>
      <w:r>
        <w:t xml:space="preserve">Phase 1 is a web-based responsive platform; native mobile apps are not part of the initial scope.</w:t>
      </w:r>
    </w:p>
    <w:p>
      <w:pPr>
        <w:pStyle w:val="ListParagraph"/>
        <w:numPr>
          <w:ilvl w:val="0"/>
          <w:numId w:val="1"/>
        </w:numPr>
        <w:spacing w:after="90"/>
      </w:pPr>
      <w:r>
        <w:t xml:space="preserve">The project is developed as a final academic project with free-tier infrastructure and tooling.</w:t>
      </w:r>
    </w:p>
    <w:p>
      <w:pPr>
        <w:pStyle w:val="ListParagraph"/>
        <w:numPr>
          <w:ilvl w:val="0"/>
          <w:numId w:val="1"/>
        </w:numPr>
        <w:spacing w:after="90"/>
      </w:pPr>
      <w:r>
        <w:t xml:space="preserve">AI CV parsing accuracy depends on the quality and format of uploaded CVs; manual completion is provided as a fallback.</w:t>
      </w:r>
    </w:p>
    <w:p>
      <w:pPr>
        <w:pStyle w:val="Heading1"/>
        <w:spacing w:after="180" w:before="380"/>
      </w:pPr>
      <w:r>
        <w:t xml:space="preserve">9. Data Model (Entity-Relationship Diagram)</w:t>
      </w:r>
    </w:p>
    <w:p>
      <w:pPr>
        <w:spacing w:after="160"/>
      </w:pPr>
      <w:r>
        <w:rPr>
          <w:sz w:val="21"/>
          <w:szCs w:val="21"/>
        </w:rPr>
        <w:t xml:space="preserve">The data model below reflects the role-based structure of the platform: a single Users entity holds authentication data and a role attribute, with Talent and Employer profiles extending it in a one-to-one relationship. The full, high-resolution diagram is provided on the following landscape page.</w:t>
      </w:r>
    </w:p>
    <w:p>
      <w:pPr>
        <w:spacing w:after="100" w:before="200"/>
      </w:pPr>
      <w:r>
        <w:rPr>
          <w:b/>
          <w:bCs/>
          <w:color w:val="E8641C"/>
          <w:sz w:val="22"/>
          <w:szCs w:val="22"/>
        </w:rPr>
        <w:t xml:space="preserve">Key Modeling Decisions</w:t>
      </w:r>
    </w:p>
    <w:p>
      <w:pPr>
        <w:pStyle w:val="ListParagraph"/>
        <w:numPr>
          <w:ilvl w:val="0"/>
          <w:numId w:val="1"/>
        </w:numPr>
        <w:spacing w:after="90"/>
      </w:pPr>
      <w:r>
        <w:t xml:space="preserve">USERS is the single authentication table for all roles (Talent, Employer, Admin); the role attribute drives role-based access control.</w:t>
      </w:r>
    </w:p>
    <w:p>
      <w:pPr>
        <w:pStyle w:val="ListParagraph"/>
        <w:numPr>
          <w:ilvl w:val="0"/>
          <w:numId w:val="1"/>
        </w:numPr>
        <w:spacing w:after="90"/>
      </w:pPr>
      <w:r>
        <w:t xml:space="preserve">TALENT_PROFILES and EMPLOYER_PROFILES each extend USERS in a 1:1 relationship, keeping authentication separate from role-specific profile data.</w:t>
      </w:r>
    </w:p>
    <w:p>
      <w:pPr>
        <w:pStyle w:val="ListParagraph"/>
        <w:numPr>
          <w:ilvl w:val="0"/>
          <w:numId w:val="1"/>
        </w:numPr>
        <w:spacing w:after="90"/>
      </w:pPr>
      <w:r>
        <w:t xml:space="preserve">JOBS carries an application_method attribute (internal / external) reflecting the two one-click apply paths, and a source attribute distinguishing Wazifny-posted jobs from externally aggregated listings.</w:t>
      </w:r>
    </w:p>
    <w:p>
      <w:pPr>
        <w:pStyle w:val="ListParagraph"/>
        <w:numPr>
          <w:ilvl w:val="0"/>
          <w:numId w:val="1"/>
        </w:numPr>
        <w:spacing w:after="90"/>
      </w:pPr>
      <w:r>
        <w:t xml:space="preserve">JOB_MATCHES stores computed AI match scores between talents and jobs, decoupling the matching engine's output from the core profile and job data.</w:t>
      </w:r>
    </w:p>
    <w:p>
      <w:pPr>
        <w:pStyle w:val="ListParagraph"/>
        <w:numPr>
          <w:ilvl w:val="0"/>
          <w:numId w:val="1"/>
        </w:numPr>
        <w:spacing w:after="90"/>
      </w:pPr>
      <w:r>
        <w:t xml:space="preserve">COURSE_RECOMMENDATIONS links talents to courses based on identified skill gaps, supporting the AI skill-gap analysis feature.</w:t>
      </w:r>
    </w:p>
    <w:p>
      <w:pPr>
        <w:pStyle w:val="Heading1"/>
        <w:spacing w:after="180" w:before="380"/>
      </w:pPr>
      <w:r>
        <w:t xml:space="preserve">10. Success Criteria</w:t>
      </w:r>
    </w:p>
    <w:p>
      <w:pPr>
        <w:pStyle w:val="ListParagraph"/>
        <w:numPr>
          <w:ilvl w:val="0"/>
          <w:numId w:val="1"/>
        </w:numPr>
        <w:spacing w:after="90"/>
      </w:pPr>
      <w:r>
        <w:t xml:space="preserve">A talent can go from CV upload to a ranked list of matching jobs with minimal manual data entry.</w:t>
      </w:r>
    </w:p>
    <w:p>
      <w:pPr>
        <w:pStyle w:val="ListParagraph"/>
        <w:numPr>
          <w:ilvl w:val="0"/>
          <w:numId w:val="1"/>
        </w:numPr>
        <w:spacing w:after="90"/>
      </w:pPr>
      <w:r>
        <w:t xml:space="preserve">A talent can apply to a job in one click via either supported application path.</w:t>
      </w:r>
    </w:p>
    <w:p>
      <w:pPr>
        <w:pStyle w:val="ListParagraph"/>
        <w:numPr>
          <w:ilvl w:val="0"/>
          <w:numId w:val="1"/>
        </w:numPr>
        <w:spacing w:after="90"/>
      </w:pPr>
      <w:r>
        <w:t xml:space="preserve">An employer can post a job and review matched/applied candidates through their dashboard.</w:t>
      </w:r>
    </w:p>
    <w:p>
      <w:pPr>
        <w:pStyle w:val="ListParagraph"/>
        <w:numPr>
          <w:ilvl w:val="0"/>
          <w:numId w:val="1"/>
        </w:numPr>
        <w:spacing w:after="90"/>
      </w:pPr>
      <w:r>
        <w:t xml:space="preserve">Role-based access control correctly restricts each user type to its intended pages and actions.</w:t>
      </w:r>
    </w:p>
    <w:p>
      <w:pPr>
        <w:pStyle w:val="Heading1"/>
        <w:spacing w:after="180" w:before="380"/>
      </w:pPr>
      <w:r>
        <w:t xml:space="preserve">11. Glossary</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2200"/>
        <w:gridCol w:w="7150"/>
      </w:tblGrid>
      <w:tr>
        <w:trPr>
          <w:tblHeader/>
        </w:trPr>
        <w:tc>
          <w:tcPr>
            <w:tcW w:type="dxa" w:w="2200"/>
            <w:shd w:fill="1F2A37" w:val="clear"/>
            <w:tcMar>
              <w:top w:type="dxa" w:w="100"/>
              <w:left w:type="dxa" w:w="120"/>
              <w:bottom w:type="dxa" w:w="100"/>
              <w:right w:type="dxa" w:w="120"/>
            </w:tcMar>
            <w:vAlign w:val="center"/>
          </w:tcPr>
          <w:p>
            <w:r>
              <w:rPr>
                <w:b/>
                <w:bCs/>
                <w:color w:val="FFFFFF"/>
                <w:sz w:val="19"/>
                <w:szCs w:val="19"/>
              </w:rPr>
              <w:t xml:space="preserve">Term</w:t>
            </w:r>
          </w:p>
        </w:tc>
        <w:tc>
          <w:tcPr>
            <w:tcW w:type="dxa" w:w="7150"/>
            <w:shd w:fill="1F2A37" w:val="clear"/>
            <w:tcMar>
              <w:top w:type="dxa" w:w="100"/>
              <w:left w:type="dxa" w:w="120"/>
              <w:bottom w:type="dxa" w:w="100"/>
              <w:right w:type="dxa" w:w="120"/>
            </w:tcMar>
            <w:vAlign w:val="center"/>
          </w:tcPr>
          <w:p>
            <w:r>
              <w:rPr>
                <w:b/>
                <w:bCs/>
                <w:color w:val="FFFFFF"/>
                <w:sz w:val="19"/>
                <w:szCs w:val="19"/>
              </w:rPr>
              <w:t xml:space="preserve">Definition</w:t>
            </w:r>
          </w:p>
        </w:tc>
      </w:tr>
      <w:tr>
        <w:tc>
          <w:tcPr>
            <w:tcW w:type="dxa" w:w="2200"/>
            <w:shd w:fill="FFFFFF" w:val="clear"/>
            <w:tcMar>
              <w:top w:type="dxa" w:w="100"/>
              <w:left w:type="dxa" w:w="120"/>
              <w:bottom w:type="dxa" w:w="100"/>
              <w:right w:type="dxa" w:w="120"/>
            </w:tcMar>
            <w:vAlign w:val="center"/>
          </w:tcPr>
          <w:p>
            <w:r>
              <w:rPr>
                <w:b/>
                <w:bCs/>
                <w:color w:val="1F2A37"/>
                <w:sz w:val="19"/>
                <w:szCs w:val="19"/>
              </w:rPr>
              <w:t xml:space="preserve">Talent</w:t>
            </w:r>
          </w:p>
        </w:tc>
        <w:tc>
          <w:tcPr>
            <w:tcW w:type="dxa" w:w="7150"/>
            <w:shd w:fill="FFFFFF" w:val="clear"/>
            <w:tcMar>
              <w:top w:type="dxa" w:w="100"/>
              <w:left w:type="dxa" w:w="120"/>
              <w:bottom w:type="dxa" w:w="100"/>
              <w:right w:type="dxa" w:w="120"/>
            </w:tcMar>
            <w:vAlign w:val="center"/>
          </w:tcPr>
          <w:p>
            <w:r>
              <w:rPr>
                <w:b w:val="false"/>
                <w:bCs w:val="false"/>
                <w:color w:val="1F2A37"/>
                <w:sz w:val="19"/>
                <w:szCs w:val="19"/>
              </w:rPr>
              <w:t xml:space="preserve">A job-seeking user of the platform</w:t>
            </w:r>
          </w:p>
        </w:tc>
      </w:tr>
      <w:tr>
        <w:tc>
          <w:tcPr>
            <w:tcW w:type="dxa" w:w="2200"/>
            <w:shd w:fill="FFFFFF" w:val="clear"/>
            <w:tcMar>
              <w:top w:type="dxa" w:w="100"/>
              <w:left w:type="dxa" w:w="120"/>
              <w:bottom w:type="dxa" w:w="100"/>
              <w:right w:type="dxa" w:w="120"/>
            </w:tcMar>
            <w:vAlign w:val="center"/>
          </w:tcPr>
          <w:p>
            <w:r>
              <w:rPr>
                <w:b/>
                <w:bCs/>
                <w:color w:val="1F2A37"/>
                <w:sz w:val="19"/>
                <w:szCs w:val="19"/>
              </w:rPr>
              <w:t xml:space="preserve">Employer</w:t>
            </w:r>
          </w:p>
        </w:tc>
        <w:tc>
          <w:tcPr>
            <w:tcW w:type="dxa" w:w="7150"/>
            <w:shd w:fill="FFFFFF" w:val="clear"/>
            <w:tcMar>
              <w:top w:type="dxa" w:w="100"/>
              <w:left w:type="dxa" w:w="120"/>
              <w:bottom w:type="dxa" w:w="100"/>
              <w:right w:type="dxa" w:w="120"/>
            </w:tcMar>
            <w:vAlign w:val="center"/>
          </w:tcPr>
          <w:p>
            <w:r>
              <w:rPr>
                <w:b w:val="false"/>
                <w:bCs w:val="false"/>
                <w:color w:val="1F2A37"/>
                <w:sz w:val="19"/>
                <w:szCs w:val="19"/>
              </w:rPr>
              <w:t xml:space="preserve">A company or organization posting jobs on the platform</w:t>
            </w:r>
          </w:p>
        </w:tc>
      </w:tr>
      <w:tr>
        <w:tc>
          <w:tcPr>
            <w:tcW w:type="dxa" w:w="2200"/>
            <w:shd w:fill="FFFFFF" w:val="clear"/>
            <w:tcMar>
              <w:top w:type="dxa" w:w="100"/>
              <w:left w:type="dxa" w:w="120"/>
              <w:bottom w:type="dxa" w:w="100"/>
              <w:right w:type="dxa" w:w="120"/>
            </w:tcMar>
            <w:vAlign w:val="center"/>
          </w:tcPr>
          <w:p>
            <w:r>
              <w:rPr>
                <w:b/>
                <w:bCs/>
                <w:color w:val="1F2A37"/>
                <w:sz w:val="19"/>
                <w:szCs w:val="19"/>
              </w:rPr>
              <w:t xml:space="preserve">Match Score</w:t>
            </w:r>
          </w:p>
        </w:tc>
        <w:tc>
          <w:tcPr>
            <w:tcW w:type="dxa" w:w="7150"/>
            <w:shd w:fill="FFFFFF" w:val="clear"/>
            <w:tcMar>
              <w:top w:type="dxa" w:w="100"/>
              <w:left w:type="dxa" w:w="120"/>
              <w:bottom w:type="dxa" w:w="100"/>
              <w:right w:type="dxa" w:w="120"/>
            </w:tcMar>
            <w:vAlign w:val="center"/>
          </w:tcPr>
          <w:p>
            <w:r>
              <w:rPr>
                <w:b w:val="false"/>
                <w:bCs w:val="false"/>
                <w:color w:val="1F2A37"/>
                <w:sz w:val="19"/>
                <w:szCs w:val="19"/>
              </w:rPr>
              <w:t xml:space="preserve">An AI-generated score representing how well a talent's profile fits a given job</w:t>
            </w:r>
          </w:p>
        </w:tc>
      </w:tr>
      <w:tr>
        <w:tc>
          <w:tcPr>
            <w:tcW w:type="dxa" w:w="2200"/>
            <w:shd w:fill="FFFFFF" w:val="clear"/>
            <w:tcMar>
              <w:top w:type="dxa" w:w="100"/>
              <w:left w:type="dxa" w:w="120"/>
              <w:bottom w:type="dxa" w:w="100"/>
              <w:right w:type="dxa" w:w="120"/>
            </w:tcMar>
            <w:vAlign w:val="center"/>
          </w:tcPr>
          <w:p>
            <w:r>
              <w:rPr>
                <w:b/>
                <w:bCs/>
                <w:color w:val="1F2A37"/>
                <w:sz w:val="19"/>
                <w:szCs w:val="19"/>
              </w:rPr>
              <w:t xml:space="preserve">RBAC</w:t>
            </w:r>
          </w:p>
        </w:tc>
        <w:tc>
          <w:tcPr>
            <w:tcW w:type="dxa" w:w="7150"/>
            <w:shd w:fill="FFFFFF" w:val="clear"/>
            <w:tcMar>
              <w:top w:type="dxa" w:w="100"/>
              <w:left w:type="dxa" w:w="120"/>
              <w:bottom w:type="dxa" w:w="100"/>
              <w:right w:type="dxa" w:w="120"/>
            </w:tcMar>
            <w:vAlign w:val="center"/>
          </w:tcPr>
          <w:p>
            <w:r>
              <w:rPr>
                <w:b w:val="false"/>
                <w:bCs w:val="false"/>
                <w:color w:val="1F2A37"/>
                <w:sz w:val="19"/>
                <w:szCs w:val="19"/>
              </w:rPr>
              <w:t xml:space="preserve">Role-Based Access Control — restricting system access based on a user's assigned role</w:t>
            </w:r>
          </w:p>
        </w:tc>
      </w:tr>
      <w:tr>
        <w:tc>
          <w:tcPr>
            <w:tcW w:type="dxa" w:w="2200"/>
            <w:shd w:fill="FFFFFF" w:val="clear"/>
            <w:tcMar>
              <w:top w:type="dxa" w:w="100"/>
              <w:left w:type="dxa" w:w="120"/>
              <w:bottom w:type="dxa" w:w="100"/>
              <w:right w:type="dxa" w:w="120"/>
            </w:tcMar>
            <w:vAlign w:val="center"/>
          </w:tcPr>
          <w:p>
            <w:r>
              <w:rPr>
                <w:b/>
                <w:bCs/>
                <w:color w:val="1F2A37"/>
                <w:sz w:val="19"/>
                <w:szCs w:val="19"/>
              </w:rPr>
              <w:t xml:space="preserve">In-platform Apply</w:t>
            </w:r>
          </w:p>
        </w:tc>
        <w:tc>
          <w:tcPr>
            <w:tcW w:type="dxa" w:w="7150"/>
            <w:shd w:fill="FFFFFF" w:val="clear"/>
            <w:tcMar>
              <w:top w:type="dxa" w:w="100"/>
              <w:left w:type="dxa" w:w="120"/>
              <w:bottom w:type="dxa" w:w="100"/>
              <w:right w:type="dxa" w:w="120"/>
            </w:tcMar>
            <w:vAlign w:val="center"/>
          </w:tcPr>
          <w:p>
            <w:r>
              <w:rPr>
                <w:b w:val="false"/>
                <w:bCs w:val="false"/>
                <w:color w:val="1F2A37"/>
                <w:sz w:val="19"/>
                <w:szCs w:val="19"/>
              </w:rPr>
              <w:t xml:space="preserve">Submitting a job application directly through Wazifny</w:t>
            </w:r>
          </w:p>
        </w:tc>
      </w:tr>
      <w:tr>
        <w:tc>
          <w:tcPr>
            <w:tcW w:type="dxa" w:w="2200"/>
            <w:shd w:fill="FFFFFF" w:val="clear"/>
            <w:tcMar>
              <w:top w:type="dxa" w:w="100"/>
              <w:left w:type="dxa" w:w="120"/>
              <w:bottom w:type="dxa" w:w="100"/>
              <w:right w:type="dxa" w:w="120"/>
            </w:tcMar>
            <w:vAlign w:val="center"/>
          </w:tcPr>
          <w:p>
            <w:r>
              <w:rPr>
                <w:b/>
                <w:bCs/>
                <w:color w:val="1F2A37"/>
                <w:sz w:val="19"/>
                <w:szCs w:val="19"/>
              </w:rPr>
              <w:t xml:space="preserve">External Apply</w:t>
            </w:r>
          </w:p>
        </w:tc>
        <w:tc>
          <w:tcPr>
            <w:tcW w:type="dxa" w:w="7150"/>
            <w:shd w:fill="FFFFFF" w:val="clear"/>
            <w:tcMar>
              <w:top w:type="dxa" w:w="100"/>
              <w:left w:type="dxa" w:w="120"/>
              <w:bottom w:type="dxa" w:w="100"/>
              <w:right w:type="dxa" w:w="120"/>
            </w:tcMar>
            <w:vAlign w:val="center"/>
          </w:tcPr>
          <w:p>
            <w:r>
              <w:rPr>
                <w:b w:val="false"/>
                <w:bCs w:val="false"/>
                <w:color w:val="1F2A37"/>
                <w:sz w:val="19"/>
                <w:szCs w:val="19"/>
              </w:rPr>
              <w:t xml:space="preserve">Being redirected to an employer's own website to complete an application</w:t>
            </w:r>
          </w:p>
        </w:tc>
      </w:tr>
    </w:tbl>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100"/>
        <w:jc w:val="center"/>
      </w:pPr>
      <w:r>
        <w:rPr>
          <w:b/>
          <w:bCs/>
          <w:color w:val="1F2A37"/>
          <w:sz w:val="26"/>
          <w:szCs w:val="26"/>
        </w:rPr>
        <w:t xml:space="preserve">Wazifny — Entity-Relationship Diagram</w:t>
      </w:r>
    </w:p>
    <w:p>
      <w:pPr>
        <w:spacing w:after="180"/>
        <w:jc w:val="center"/>
      </w:pPr>
      <w:r>
        <w:rPr>
          <w:i/>
          <w:iCs/>
          <w:color w:val="6B7280"/>
          <w:sz w:val="15"/>
          <w:szCs w:val="15"/>
        </w:rPr>
        <w:t xml:space="preserve">Grouped by domain (Core Identity, Talent, Employer, Shared/Support) — crow's-foot notation: </w:t>
      </w:r>
      <w:r>
        <w:rPr>
          <w:i/>
          <w:iCs/>
          <w:color w:val="6B7280"/>
          <w:sz w:val="15"/>
          <w:szCs w:val="15"/>
        </w:rPr>
        <w:t xml:space="preserve">tee = one, crow's foot = many.</w:t>
      </w:r>
    </w:p>
    <w:p>
      <w:pPr>
        <w:jc w:val="center"/>
      </w:pPr>
      <w:r>
        <w:drawing>
          <wp:inline distT="0" distB="0" distL="0" distR="0">
            <wp:extent cx="1466850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668500" cy="6115050"/>
                    </a:xfrm>
                    <a:prstGeom prst="rect">
                      <a:avLst/>
                    </a:prstGeom>
                  </pic:spPr>
                </pic:pic>
              </a:graphicData>
            </a:graphic>
          </wp:inline>
        </w:drawing>
      </w:r>
    </w:p>
    <w:sectPr>
      <w:headerReference w:type="default" r:id="rId9"/>
      <w:footerReference w:type="default" r:id="rId10"/>
      <w:pgSz w:w="24480" w:h="15840"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Wazifny — 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Wazifny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E8641C"/>
      <w:sz w:val="30"/>
      <w:szCs w:val="30"/>
    </w:rPr>
  </w:style>
  <w:style w:type="paragraph" w:styleId="Heading2">
    <w:name w:val="Heading 2"/>
    <w:basedOn w:val="Normal"/>
    <w:next w:val="Normal"/>
    <w:qFormat/>
    <w:pPr>
      <w:spacing w:after="110" w:before="220"/>
    </w:pPr>
    <w:rPr>
      <w:rFonts w:ascii="Calibri" w:cs="Calibri" w:eastAsia="Calibri" w:hAnsi="Calibri"/>
      <w:b/>
      <w:bCs/>
      <w:color w:val="1F2A3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96b6a7458fb44adf28ce688ff0dc5e7f8726b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2026-09-16T10:48:09.191Z</dcterms:created>
  <dcterms:modified xsi:type="dcterms:W3CDTF">2026-09-16T10:48:09.201Z</dcterms:modified>
</cp:coreProperties>
</file>

<file path=docProps/custom.xml><?xml version="1.0" encoding="utf-8"?>
<Properties xmlns="http://schemas.openxmlformats.org/officeDocument/2006/custom-properties" xmlns:vt="http://schemas.openxmlformats.org/officeDocument/2006/docPropsVTypes"/>
</file>