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F04E1" w14:textId="046C737E" w:rsidR="007322DB" w:rsidRPr="007322DB" w:rsidRDefault="007322DB" w:rsidP="007322DB">
      <w:pPr>
        <w:rPr>
          <w:b/>
          <w:bCs/>
          <w:sz w:val="28"/>
          <w:szCs w:val="28"/>
          <w:u w:val="single"/>
        </w:rPr>
      </w:pPr>
      <w:r w:rsidRPr="007322DB">
        <w:rPr>
          <w:b/>
          <w:bCs/>
          <w:sz w:val="28"/>
          <w:szCs w:val="28"/>
          <w:u w:val="single"/>
        </w:rPr>
        <w:t>Analysis of UK Railway Train Rides</w:t>
      </w:r>
    </w:p>
    <w:p w14:paraId="242B15EA" w14:textId="77777777" w:rsidR="007322DB" w:rsidRPr="007322DB" w:rsidRDefault="007322DB" w:rsidP="007322DB">
      <w:pPr>
        <w:rPr>
          <w:b/>
          <w:bCs/>
        </w:rPr>
      </w:pPr>
      <w:r w:rsidRPr="007322DB">
        <w:rPr>
          <w:b/>
          <w:bCs/>
        </w:rPr>
        <w:t>Introduction</w:t>
      </w:r>
    </w:p>
    <w:p w14:paraId="23F47452" w14:textId="77777777" w:rsidR="007322DB" w:rsidRPr="007322DB" w:rsidRDefault="007322DB" w:rsidP="007322DB">
      <w:pPr>
        <w:rPr>
          <w:b/>
          <w:bCs/>
        </w:rPr>
      </w:pPr>
      <w:r w:rsidRPr="007322DB">
        <w:rPr>
          <w:b/>
          <w:bCs/>
        </w:rPr>
        <w:t>This report analyzes railway train ride data in the UK to address key business questions concerning ticket sales, passenger behavior, punctuality, and customer satisfaction. The data spans May to November 2024 and the full year of 2023 (excluding December). Using insights derived from this dataset, the report aims to provide actionable recommendations to enhance railway services, optimize revenue, and improve customer experience.</w:t>
      </w:r>
    </w:p>
    <w:p w14:paraId="741F3E1C" w14:textId="77777777" w:rsidR="007322DB" w:rsidRPr="007322DB" w:rsidRDefault="007322DB" w:rsidP="007322DB">
      <w:pPr>
        <w:rPr>
          <w:b/>
          <w:bCs/>
        </w:rPr>
      </w:pPr>
      <w:r w:rsidRPr="007322DB">
        <w:rPr>
          <w:b/>
          <w:bCs/>
        </w:rPr>
        <w:pict w14:anchorId="2170C199">
          <v:rect id="_x0000_i1133" style="width:0;height:1.5pt" o:hralign="center" o:hrstd="t" o:hr="t" fillcolor="#a0a0a0" stroked="f"/>
        </w:pict>
      </w:r>
    </w:p>
    <w:p w14:paraId="48E1F6A4" w14:textId="77777777" w:rsidR="00896CE3" w:rsidRPr="00896CE3" w:rsidRDefault="00896CE3" w:rsidP="00896CE3">
      <w:pPr>
        <w:rPr>
          <w:b/>
          <w:bCs/>
        </w:rPr>
      </w:pPr>
      <w:r w:rsidRPr="00896CE3">
        <w:rPr>
          <w:b/>
          <w:bCs/>
        </w:rPr>
        <w:t>Ticket Sales &amp; Revenue Analysis</w:t>
      </w:r>
    </w:p>
    <w:p w14:paraId="1FBFD54F" w14:textId="77777777" w:rsidR="00896CE3" w:rsidRPr="00896CE3" w:rsidRDefault="00896CE3" w:rsidP="00896CE3">
      <w:pPr>
        <w:numPr>
          <w:ilvl w:val="0"/>
          <w:numId w:val="19"/>
        </w:numPr>
        <w:rPr>
          <w:b/>
          <w:bCs/>
        </w:rPr>
      </w:pPr>
      <w:r w:rsidRPr="00896CE3">
        <w:rPr>
          <w:b/>
          <w:bCs/>
        </w:rPr>
        <w:t>Total Ticket Sales Over the Period</w:t>
      </w:r>
      <w:r w:rsidRPr="00896CE3">
        <w:rPr>
          <w:b/>
          <w:bCs/>
        </w:rPr>
        <w:br/>
        <w:t>Approximately 30,000 tickets were sold across the analysis period, inferred from the total tickets sold (30, likely representing 30,000) and consistent with other metrics like online sales (18k).</w:t>
      </w:r>
    </w:p>
    <w:p w14:paraId="1D670879" w14:textId="77777777" w:rsidR="00896CE3" w:rsidRPr="00896CE3" w:rsidRDefault="00896CE3" w:rsidP="00896CE3">
      <w:pPr>
        <w:numPr>
          <w:ilvl w:val="0"/>
          <w:numId w:val="19"/>
        </w:numPr>
        <w:rPr>
          <w:b/>
          <w:bCs/>
        </w:rPr>
      </w:pPr>
      <w:r w:rsidRPr="00896CE3">
        <w:rPr>
          <w:b/>
          <w:bCs/>
        </w:rPr>
        <w:t>Variation by Purchase Type (Online vs. Station)</w:t>
      </w:r>
      <w:r w:rsidRPr="00896CE3">
        <w:rPr>
          <w:b/>
          <w:bCs/>
        </w:rPr>
        <w:br/>
        <w:t xml:space="preserve">Ticket sales vary by purchase channel: </w:t>
      </w:r>
    </w:p>
    <w:p w14:paraId="14BCDC75" w14:textId="77777777" w:rsidR="00896CE3" w:rsidRPr="00896CE3" w:rsidRDefault="00896CE3" w:rsidP="00896CE3">
      <w:pPr>
        <w:numPr>
          <w:ilvl w:val="1"/>
          <w:numId w:val="19"/>
        </w:numPr>
        <w:rPr>
          <w:b/>
          <w:bCs/>
        </w:rPr>
      </w:pPr>
      <w:r w:rsidRPr="00896CE3">
        <w:rPr>
          <w:b/>
          <w:bCs/>
        </w:rPr>
        <w:t>Online: 18,000 tickets</w:t>
      </w:r>
    </w:p>
    <w:p w14:paraId="2C622775" w14:textId="77777777" w:rsidR="00896CE3" w:rsidRPr="00896CE3" w:rsidRDefault="00896CE3" w:rsidP="00896CE3">
      <w:pPr>
        <w:numPr>
          <w:ilvl w:val="1"/>
          <w:numId w:val="19"/>
        </w:numPr>
        <w:rPr>
          <w:b/>
          <w:bCs/>
        </w:rPr>
      </w:pPr>
      <w:r w:rsidRPr="00896CE3">
        <w:rPr>
          <w:b/>
          <w:bCs/>
        </w:rPr>
        <w:t>Station (Offline): 13,000 tickets</w:t>
      </w:r>
      <w:r w:rsidRPr="00896CE3">
        <w:rPr>
          <w:b/>
          <w:bCs/>
        </w:rPr>
        <w:br/>
        <w:t>Online purchases account for about 58% of total sales, indicating a preference for digital channels.</w:t>
      </w:r>
    </w:p>
    <w:p w14:paraId="4C907AC3" w14:textId="77777777" w:rsidR="00896CE3" w:rsidRPr="00896CE3" w:rsidRDefault="00896CE3" w:rsidP="00896CE3">
      <w:pPr>
        <w:numPr>
          <w:ilvl w:val="0"/>
          <w:numId w:val="19"/>
        </w:numPr>
        <w:rPr>
          <w:b/>
          <w:bCs/>
        </w:rPr>
      </w:pPr>
      <w:r w:rsidRPr="00896CE3">
        <w:rPr>
          <w:b/>
          <w:bCs/>
        </w:rPr>
        <w:t>Top Departure and Arrival Stations Based on Ticket Sales</w:t>
      </w:r>
      <w:r w:rsidRPr="00896CE3">
        <w:rPr>
          <w:b/>
          <w:bCs/>
        </w:rPr>
        <w:br/>
        <w:t xml:space="preserve">The top five stations by total ticket sales are: </w:t>
      </w:r>
    </w:p>
    <w:p w14:paraId="5DC25AB6" w14:textId="77777777" w:rsidR="00896CE3" w:rsidRPr="00896CE3" w:rsidRDefault="00896CE3" w:rsidP="00896CE3">
      <w:pPr>
        <w:numPr>
          <w:ilvl w:val="1"/>
          <w:numId w:val="20"/>
        </w:numPr>
        <w:rPr>
          <w:b/>
          <w:bCs/>
        </w:rPr>
      </w:pPr>
      <w:r w:rsidRPr="00896CE3">
        <w:rPr>
          <w:b/>
          <w:bCs/>
        </w:rPr>
        <w:t>Birmingham New Street: 7,742 tickets</w:t>
      </w:r>
    </w:p>
    <w:p w14:paraId="041EEA16" w14:textId="77777777" w:rsidR="00896CE3" w:rsidRPr="00896CE3" w:rsidRDefault="00896CE3" w:rsidP="00896CE3">
      <w:pPr>
        <w:numPr>
          <w:ilvl w:val="1"/>
          <w:numId w:val="20"/>
        </w:numPr>
        <w:rPr>
          <w:b/>
          <w:bCs/>
        </w:rPr>
      </w:pPr>
      <w:r w:rsidRPr="00896CE3">
        <w:rPr>
          <w:b/>
          <w:bCs/>
        </w:rPr>
        <w:t>Liverpool Lime Street: 5,022 tickets</w:t>
      </w:r>
    </w:p>
    <w:p w14:paraId="31070C09" w14:textId="77777777" w:rsidR="00896CE3" w:rsidRPr="00896CE3" w:rsidRDefault="00896CE3" w:rsidP="00896CE3">
      <w:pPr>
        <w:numPr>
          <w:ilvl w:val="1"/>
          <w:numId w:val="20"/>
        </w:numPr>
        <w:rPr>
          <w:b/>
          <w:bCs/>
        </w:rPr>
      </w:pPr>
      <w:r w:rsidRPr="00896CE3">
        <w:rPr>
          <w:b/>
          <w:bCs/>
        </w:rPr>
        <w:t>York: 4,019 tickets</w:t>
      </w:r>
    </w:p>
    <w:p w14:paraId="76657807" w14:textId="77777777" w:rsidR="00896CE3" w:rsidRPr="00896CE3" w:rsidRDefault="00896CE3" w:rsidP="00896CE3">
      <w:pPr>
        <w:numPr>
          <w:ilvl w:val="1"/>
          <w:numId w:val="20"/>
        </w:numPr>
        <w:rPr>
          <w:b/>
          <w:bCs/>
        </w:rPr>
      </w:pPr>
      <w:r w:rsidRPr="00896CE3">
        <w:rPr>
          <w:b/>
          <w:bCs/>
        </w:rPr>
        <w:t>Manchester Piccadilly: 3,968 tickets</w:t>
      </w:r>
    </w:p>
    <w:p w14:paraId="2DBA9EAD" w14:textId="77777777" w:rsidR="00896CE3" w:rsidRPr="00896CE3" w:rsidRDefault="00896CE3" w:rsidP="00896CE3">
      <w:pPr>
        <w:numPr>
          <w:ilvl w:val="1"/>
          <w:numId w:val="20"/>
        </w:numPr>
        <w:rPr>
          <w:b/>
          <w:bCs/>
        </w:rPr>
      </w:pPr>
      <w:r w:rsidRPr="00896CE3">
        <w:rPr>
          <w:b/>
          <w:bCs/>
        </w:rPr>
        <w:t>Reading: 3,920 tickets</w:t>
      </w:r>
      <w:r w:rsidRPr="00896CE3">
        <w:rPr>
          <w:b/>
          <w:bCs/>
        </w:rPr>
        <w:br/>
        <w:t>These stations are key hubs driving ticket sales.</w:t>
      </w:r>
    </w:p>
    <w:p w14:paraId="6B662FAE" w14:textId="77777777" w:rsidR="00896CE3" w:rsidRPr="00896CE3" w:rsidRDefault="00896CE3" w:rsidP="00896CE3">
      <w:pPr>
        <w:rPr>
          <w:b/>
          <w:bCs/>
        </w:rPr>
      </w:pPr>
      <w:r w:rsidRPr="00896CE3">
        <w:rPr>
          <w:b/>
          <w:bCs/>
        </w:rPr>
        <w:pict w14:anchorId="1A80C5E0">
          <v:rect id="_x0000_i1195" style="width:0;height:1.5pt" o:hralign="center" o:hrstd="t" o:hr="t" fillcolor="#a0a0a0" stroked="f"/>
        </w:pict>
      </w:r>
    </w:p>
    <w:p w14:paraId="4A402870" w14:textId="77777777" w:rsidR="00896CE3" w:rsidRPr="00896CE3" w:rsidRDefault="00896CE3" w:rsidP="00896CE3">
      <w:pPr>
        <w:rPr>
          <w:b/>
          <w:bCs/>
        </w:rPr>
      </w:pPr>
      <w:r w:rsidRPr="00896CE3">
        <w:rPr>
          <w:b/>
          <w:bCs/>
        </w:rPr>
        <w:t>Passenger Behavior &amp; Journey Analysis</w:t>
      </w:r>
    </w:p>
    <w:p w14:paraId="1A5C1ED7" w14:textId="77777777" w:rsidR="00896CE3" w:rsidRPr="00896CE3" w:rsidRDefault="00896CE3" w:rsidP="00896CE3">
      <w:pPr>
        <w:numPr>
          <w:ilvl w:val="0"/>
          <w:numId w:val="21"/>
        </w:numPr>
        <w:rPr>
          <w:b/>
          <w:bCs/>
        </w:rPr>
      </w:pPr>
      <w:r w:rsidRPr="00896CE3">
        <w:rPr>
          <w:b/>
          <w:bCs/>
        </w:rPr>
        <w:lastRenderedPageBreak/>
        <w:t>Most Common Ticket Type Purchased</w:t>
      </w:r>
      <w:r w:rsidRPr="00896CE3">
        <w:rPr>
          <w:b/>
          <w:bCs/>
        </w:rPr>
        <w:br/>
        <w:t xml:space="preserve">Among ticket types (Advance, Off-Peak, Anytime), Advance tickets dominate: </w:t>
      </w:r>
    </w:p>
    <w:p w14:paraId="5B17E2E3" w14:textId="77777777" w:rsidR="00896CE3" w:rsidRPr="00896CE3" w:rsidRDefault="00896CE3" w:rsidP="00896CE3">
      <w:pPr>
        <w:numPr>
          <w:ilvl w:val="1"/>
          <w:numId w:val="21"/>
        </w:numPr>
        <w:rPr>
          <w:b/>
          <w:bCs/>
        </w:rPr>
      </w:pPr>
      <w:r w:rsidRPr="00896CE3">
        <w:rPr>
          <w:b/>
          <w:bCs/>
        </w:rPr>
        <w:t>Birmingham New Street: 4,274 Advance vs. 2,310 Anytime vs. 1,155 Off-Peak</w:t>
      </w:r>
    </w:p>
    <w:p w14:paraId="3E6814ED" w14:textId="77777777" w:rsidR="00896CE3" w:rsidRPr="00896CE3" w:rsidRDefault="00896CE3" w:rsidP="00896CE3">
      <w:pPr>
        <w:numPr>
          <w:ilvl w:val="1"/>
          <w:numId w:val="21"/>
        </w:numPr>
        <w:rPr>
          <w:b/>
          <w:bCs/>
        </w:rPr>
      </w:pPr>
      <w:r w:rsidRPr="00896CE3">
        <w:rPr>
          <w:b/>
          <w:bCs/>
        </w:rPr>
        <w:t>Liverpool Lime Street: 2,854 Advance vs. 1,383 Anytime vs. 785 Off-Peak</w:t>
      </w:r>
    </w:p>
    <w:p w14:paraId="39F7A89B" w14:textId="77777777" w:rsidR="00896CE3" w:rsidRPr="00896CE3" w:rsidRDefault="00896CE3" w:rsidP="00896CE3">
      <w:pPr>
        <w:numPr>
          <w:ilvl w:val="1"/>
          <w:numId w:val="21"/>
        </w:numPr>
        <w:rPr>
          <w:b/>
          <w:bCs/>
        </w:rPr>
      </w:pPr>
      <w:r w:rsidRPr="00896CE3">
        <w:rPr>
          <w:b/>
          <w:bCs/>
        </w:rPr>
        <w:t>Manchester Piccadilly: 2,329 Advance vs. 1,200 Anytime vs. 439 Off-Peak</w:t>
      </w:r>
      <w:r w:rsidRPr="00896CE3">
        <w:rPr>
          <w:b/>
          <w:bCs/>
        </w:rPr>
        <w:br/>
        <w:t>This suggests passengers prioritize cost savings through early booking.</w:t>
      </w:r>
    </w:p>
    <w:p w14:paraId="6D0C1A59" w14:textId="77777777" w:rsidR="00896CE3" w:rsidRPr="00896CE3" w:rsidRDefault="00896CE3" w:rsidP="00896CE3">
      <w:pPr>
        <w:numPr>
          <w:ilvl w:val="0"/>
          <w:numId w:val="21"/>
        </w:numPr>
        <w:rPr>
          <w:b/>
          <w:bCs/>
        </w:rPr>
      </w:pPr>
      <w:r w:rsidRPr="00896CE3">
        <w:rPr>
          <w:b/>
          <w:bCs/>
        </w:rPr>
        <w:t xml:space="preserve">Effect of </w:t>
      </w:r>
      <w:proofErr w:type="spellStart"/>
      <w:r w:rsidRPr="00896CE3">
        <w:rPr>
          <w:b/>
          <w:bCs/>
        </w:rPr>
        <w:t>Railcard</w:t>
      </w:r>
      <w:proofErr w:type="spellEnd"/>
      <w:r w:rsidRPr="00896CE3">
        <w:rPr>
          <w:b/>
          <w:bCs/>
        </w:rPr>
        <w:t xml:space="preserve"> Usage on Ticket Sales</w:t>
      </w:r>
      <w:r w:rsidRPr="00896CE3">
        <w:rPr>
          <w:b/>
          <w:bCs/>
        </w:rPr>
        <w:br/>
      </w:r>
      <w:proofErr w:type="spellStart"/>
      <w:r w:rsidRPr="00896CE3">
        <w:rPr>
          <w:b/>
          <w:bCs/>
        </w:rPr>
        <w:t>Railcard</w:t>
      </w:r>
      <w:proofErr w:type="spellEnd"/>
      <w:r w:rsidRPr="00896CE3">
        <w:rPr>
          <w:b/>
          <w:bCs/>
        </w:rPr>
        <w:t xml:space="preserve"> usage is distributed as: </w:t>
      </w:r>
    </w:p>
    <w:p w14:paraId="045BB296" w14:textId="77777777" w:rsidR="00896CE3" w:rsidRPr="00896CE3" w:rsidRDefault="00896CE3" w:rsidP="00896CE3">
      <w:pPr>
        <w:numPr>
          <w:ilvl w:val="1"/>
          <w:numId w:val="21"/>
        </w:numPr>
        <w:rPr>
          <w:b/>
          <w:bCs/>
        </w:rPr>
      </w:pPr>
      <w:r w:rsidRPr="00896CE3">
        <w:rPr>
          <w:b/>
          <w:bCs/>
        </w:rPr>
        <w:t xml:space="preserve">No </w:t>
      </w:r>
      <w:proofErr w:type="spellStart"/>
      <w:r w:rsidRPr="00896CE3">
        <w:rPr>
          <w:b/>
          <w:bCs/>
        </w:rPr>
        <w:t>Railcard</w:t>
      </w:r>
      <w:proofErr w:type="spellEnd"/>
      <w:r w:rsidRPr="00896CE3">
        <w:rPr>
          <w:b/>
          <w:bCs/>
        </w:rPr>
        <w:t>: 66.33%</w:t>
      </w:r>
    </w:p>
    <w:p w14:paraId="4CDEC77C" w14:textId="77777777" w:rsidR="00896CE3" w:rsidRPr="00896CE3" w:rsidRDefault="00896CE3" w:rsidP="00896CE3">
      <w:pPr>
        <w:numPr>
          <w:ilvl w:val="1"/>
          <w:numId w:val="21"/>
        </w:numPr>
        <w:rPr>
          <w:b/>
          <w:bCs/>
        </w:rPr>
      </w:pPr>
      <w:r w:rsidRPr="00896CE3">
        <w:rPr>
          <w:b/>
          <w:bCs/>
        </w:rPr>
        <w:t xml:space="preserve">Adult </w:t>
      </w:r>
      <w:proofErr w:type="spellStart"/>
      <w:r w:rsidRPr="00896CE3">
        <w:rPr>
          <w:b/>
          <w:bCs/>
        </w:rPr>
        <w:t>Railcard</w:t>
      </w:r>
      <w:proofErr w:type="spellEnd"/>
      <w:r w:rsidRPr="00896CE3">
        <w:rPr>
          <w:b/>
          <w:bCs/>
        </w:rPr>
        <w:t>: 15.44%</w:t>
      </w:r>
    </w:p>
    <w:p w14:paraId="1997B338" w14:textId="77777777" w:rsidR="00896CE3" w:rsidRPr="00896CE3" w:rsidRDefault="00896CE3" w:rsidP="00896CE3">
      <w:pPr>
        <w:numPr>
          <w:ilvl w:val="1"/>
          <w:numId w:val="21"/>
        </w:numPr>
        <w:rPr>
          <w:b/>
          <w:bCs/>
        </w:rPr>
      </w:pPr>
      <w:r w:rsidRPr="00896CE3">
        <w:rPr>
          <w:b/>
          <w:bCs/>
        </w:rPr>
        <w:t xml:space="preserve">Disabled </w:t>
      </w:r>
      <w:proofErr w:type="spellStart"/>
      <w:r w:rsidRPr="00896CE3">
        <w:rPr>
          <w:b/>
          <w:bCs/>
        </w:rPr>
        <w:t>Railcard</w:t>
      </w:r>
      <w:proofErr w:type="spellEnd"/>
      <w:r w:rsidRPr="00896CE3">
        <w:rPr>
          <w:b/>
          <w:bCs/>
        </w:rPr>
        <w:t>: 9.36%</w:t>
      </w:r>
    </w:p>
    <w:p w14:paraId="6BC336A5" w14:textId="77777777" w:rsidR="00896CE3" w:rsidRPr="00896CE3" w:rsidRDefault="00896CE3" w:rsidP="00896CE3">
      <w:pPr>
        <w:numPr>
          <w:ilvl w:val="1"/>
          <w:numId w:val="21"/>
        </w:numPr>
        <w:rPr>
          <w:b/>
          <w:bCs/>
        </w:rPr>
      </w:pPr>
      <w:r w:rsidRPr="00896CE3">
        <w:rPr>
          <w:b/>
          <w:bCs/>
        </w:rPr>
        <w:t xml:space="preserve">Senior </w:t>
      </w:r>
      <w:proofErr w:type="spellStart"/>
      <w:r w:rsidRPr="00896CE3">
        <w:rPr>
          <w:b/>
          <w:bCs/>
        </w:rPr>
        <w:t>Railcard</w:t>
      </w:r>
      <w:proofErr w:type="spellEnd"/>
      <w:r w:rsidRPr="00896CE3">
        <w:rPr>
          <w:b/>
          <w:bCs/>
        </w:rPr>
        <w:t>: 8.87%</w:t>
      </w:r>
      <w:r w:rsidRPr="00896CE3">
        <w:rPr>
          <w:b/>
          <w:bCs/>
        </w:rPr>
        <w:br/>
        <w:t xml:space="preserve">Over two-thirds of passengers do not use </w:t>
      </w:r>
      <w:proofErr w:type="spellStart"/>
      <w:r w:rsidRPr="00896CE3">
        <w:rPr>
          <w:b/>
          <w:bCs/>
        </w:rPr>
        <w:t>Railcards</w:t>
      </w:r>
      <w:proofErr w:type="spellEnd"/>
      <w:r w:rsidRPr="00896CE3">
        <w:rPr>
          <w:b/>
          <w:bCs/>
        </w:rPr>
        <w:t>, indicating potential for increased adoption.</w:t>
      </w:r>
    </w:p>
    <w:p w14:paraId="3B1446D6" w14:textId="77777777" w:rsidR="00896CE3" w:rsidRPr="00896CE3" w:rsidRDefault="00896CE3" w:rsidP="00896CE3">
      <w:pPr>
        <w:numPr>
          <w:ilvl w:val="0"/>
          <w:numId w:val="21"/>
        </w:numPr>
        <w:rPr>
          <w:b/>
          <w:bCs/>
        </w:rPr>
      </w:pPr>
      <w:r w:rsidRPr="00896CE3">
        <w:rPr>
          <w:b/>
          <w:bCs/>
        </w:rPr>
        <w:t>Most Frequently Traveled Route</w:t>
      </w:r>
      <w:r w:rsidRPr="00896CE3">
        <w:rPr>
          <w:b/>
          <w:bCs/>
        </w:rPr>
        <w:br/>
        <w:t xml:space="preserve">The top three routes by frequency are: </w:t>
      </w:r>
    </w:p>
    <w:p w14:paraId="13EE52FE" w14:textId="77777777" w:rsidR="00896CE3" w:rsidRPr="00896CE3" w:rsidRDefault="00896CE3" w:rsidP="00896CE3">
      <w:pPr>
        <w:numPr>
          <w:ilvl w:val="1"/>
          <w:numId w:val="22"/>
        </w:numPr>
        <w:rPr>
          <w:b/>
          <w:bCs/>
        </w:rPr>
      </w:pPr>
      <w:r w:rsidRPr="00896CE3">
        <w:rPr>
          <w:b/>
          <w:bCs/>
        </w:rPr>
        <w:t>London Kings Cross → York</w:t>
      </w:r>
    </w:p>
    <w:p w14:paraId="38F2862F" w14:textId="77777777" w:rsidR="00896CE3" w:rsidRPr="00896CE3" w:rsidRDefault="00896CE3" w:rsidP="00896CE3">
      <w:pPr>
        <w:numPr>
          <w:ilvl w:val="1"/>
          <w:numId w:val="22"/>
        </w:numPr>
        <w:rPr>
          <w:b/>
          <w:bCs/>
        </w:rPr>
      </w:pPr>
      <w:r w:rsidRPr="00896CE3">
        <w:rPr>
          <w:b/>
          <w:bCs/>
        </w:rPr>
        <w:t>London Euston → Birmingham New Street</w:t>
      </w:r>
    </w:p>
    <w:p w14:paraId="4B127D7C" w14:textId="77777777" w:rsidR="00896CE3" w:rsidRPr="00896CE3" w:rsidRDefault="00896CE3" w:rsidP="00896CE3">
      <w:pPr>
        <w:numPr>
          <w:ilvl w:val="1"/>
          <w:numId w:val="22"/>
        </w:numPr>
        <w:rPr>
          <w:b/>
          <w:bCs/>
        </w:rPr>
      </w:pPr>
      <w:r w:rsidRPr="00896CE3">
        <w:rPr>
          <w:b/>
          <w:bCs/>
        </w:rPr>
        <w:t>Manchester Piccadilly → Liverpool Lime Street</w:t>
      </w:r>
      <w:r w:rsidRPr="00896CE3">
        <w:rPr>
          <w:b/>
          <w:bCs/>
        </w:rPr>
        <w:br/>
        <w:t>These routes reflect high passenger demand.</w:t>
      </w:r>
    </w:p>
    <w:p w14:paraId="1F64D1AB" w14:textId="77777777" w:rsidR="00896CE3" w:rsidRPr="00896CE3" w:rsidRDefault="00896CE3" w:rsidP="00896CE3">
      <w:pPr>
        <w:rPr>
          <w:b/>
          <w:bCs/>
        </w:rPr>
      </w:pPr>
      <w:r w:rsidRPr="00896CE3">
        <w:rPr>
          <w:b/>
          <w:bCs/>
        </w:rPr>
        <w:pict w14:anchorId="5933F3E5">
          <v:rect id="_x0000_i1196" style="width:0;height:1.5pt" o:hralign="center" o:hrstd="t" o:hr="t" fillcolor="#a0a0a0" stroked="f"/>
        </w:pict>
      </w:r>
    </w:p>
    <w:p w14:paraId="79CC5BDE" w14:textId="77777777" w:rsidR="00896CE3" w:rsidRPr="00896CE3" w:rsidRDefault="00896CE3" w:rsidP="00896CE3">
      <w:pPr>
        <w:rPr>
          <w:b/>
          <w:bCs/>
        </w:rPr>
      </w:pPr>
      <w:r w:rsidRPr="00896CE3">
        <w:rPr>
          <w:b/>
          <w:bCs/>
        </w:rPr>
        <w:t>Punctuality &amp; Delay Analysis</w:t>
      </w:r>
    </w:p>
    <w:p w14:paraId="2FED502E" w14:textId="77777777" w:rsidR="00896CE3" w:rsidRPr="00896CE3" w:rsidRDefault="00896CE3" w:rsidP="00896CE3">
      <w:pPr>
        <w:numPr>
          <w:ilvl w:val="0"/>
          <w:numId w:val="23"/>
        </w:numPr>
        <w:rPr>
          <w:b/>
          <w:bCs/>
        </w:rPr>
      </w:pPr>
      <w:r w:rsidRPr="00896CE3">
        <w:rPr>
          <w:b/>
          <w:bCs/>
        </w:rPr>
        <w:t xml:space="preserve">Percentage of Trains Arriving </w:t>
      </w:r>
      <w:proofErr w:type="gramStart"/>
      <w:r w:rsidRPr="00896CE3">
        <w:rPr>
          <w:b/>
          <w:bCs/>
        </w:rPr>
        <w:t>On</w:t>
      </w:r>
      <w:proofErr w:type="gramEnd"/>
      <w:r w:rsidRPr="00896CE3">
        <w:rPr>
          <w:b/>
          <w:bCs/>
        </w:rPr>
        <w:t xml:space="preserve"> Time vs. Delayed</w:t>
      </w:r>
      <w:r w:rsidRPr="00896CE3">
        <w:rPr>
          <w:b/>
          <w:bCs/>
        </w:rPr>
        <w:br/>
        <w:t xml:space="preserve">Out of 19,829 total journeys (18,000 on-time + 1,829 with issues): </w:t>
      </w:r>
    </w:p>
    <w:p w14:paraId="3E29CA5B" w14:textId="77777777" w:rsidR="00896CE3" w:rsidRPr="00896CE3" w:rsidRDefault="00896CE3" w:rsidP="00896CE3">
      <w:pPr>
        <w:numPr>
          <w:ilvl w:val="1"/>
          <w:numId w:val="23"/>
        </w:numPr>
        <w:rPr>
          <w:b/>
          <w:bCs/>
        </w:rPr>
      </w:pPr>
      <w:r w:rsidRPr="00896CE3">
        <w:rPr>
          <w:b/>
          <w:bCs/>
        </w:rPr>
        <w:t>On-Time: 18,000 journeys (~90.8%)</w:t>
      </w:r>
    </w:p>
    <w:p w14:paraId="6444D023" w14:textId="77777777" w:rsidR="00896CE3" w:rsidRPr="00896CE3" w:rsidRDefault="00896CE3" w:rsidP="00896CE3">
      <w:pPr>
        <w:numPr>
          <w:ilvl w:val="1"/>
          <w:numId w:val="23"/>
        </w:numPr>
        <w:rPr>
          <w:b/>
          <w:bCs/>
        </w:rPr>
      </w:pPr>
      <w:r w:rsidRPr="00896CE3">
        <w:rPr>
          <w:b/>
          <w:bCs/>
        </w:rPr>
        <w:t>Delayed or Cancelled: 1,829 journeys (~9.2%)</w:t>
      </w:r>
      <w:r w:rsidRPr="00896CE3">
        <w:rPr>
          <w:b/>
          <w:bCs/>
        </w:rPr>
        <w:br/>
        <w:t>This reflects a punctuality rate of approximately 90.8%.</w:t>
      </w:r>
    </w:p>
    <w:p w14:paraId="3EF1A8B4" w14:textId="77777777" w:rsidR="00896CE3" w:rsidRPr="00896CE3" w:rsidRDefault="00896CE3" w:rsidP="00896CE3">
      <w:pPr>
        <w:numPr>
          <w:ilvl w:val="0"/>
          <w:numId w:val="23"/>
        </w:numPr>
        <w:rPr>
          <w:b/>
          <w:bCs/>
        </w:rPr>
      </w:pPr>
      <w:r w:rsidRPr="00896CE3">
        <w:rPr>
          <w:b/>
          <w:bCs/>
        </w:rPr>
        <w:t>Main Reasons for Delays</w:t>
      </w:r>
      <w:r w:rsidRPr="00896CE3">
        <w:rPr>
          <w:b/>
          <w:bCs/>
        </w:rPr>
        <w:br/>
        <w:t xml:space="preserve">The top three reasons for delays are: </w:t>
      </w:r>
    </w:p>
    <w:p w14:paraId="57E1E0FF" w14:textId="77777777" w:rsidR="00896CE3" w:rsidRPr="00896CE3" w:rsidRDefault="00896CE3" w:rsidP="00896CE3">
      <w:pPr>
        <w:numPr>
          <w:ilvl w:val="1"/>
          <w:numId w:val="24"/>
        </w:numPr>
        <w:rPr>
          <w:b/>
          <w:bCs/>
        </w:rPr>
      </w:pPr>
      <w:r w:rsidRPr="00896CE3">
        <w:rPr>
          <w:b/>
          <w:bCs/>
        </w:rPr>
        <w:lastRenderedPageBreak/>
        <w:t>Technical Issues</w:t>
      </w:r>
    </w:p>
    <w:p w14:paraId="0F818E27" w14:textId="77777777" w:rsidR="00896CE3" w:rsidRPr="00896CE3" w:rsidRDefault="00896CE3" w:rsidP="00896CE3">
      <w:pPr>
        <w:numPr>
          <w:ilvl w:val="1"/>
          <w:numId w:val="24"/>
        </w:numPr>
        <w:rPr>
          <w:b/>
          <w:bCs/>
        </w:rPr>
      </w:pPr>
      <w:r w:rsidRPr="00896CE3">
        <w:rPr>
          <w:b/>
          <w:bCs/>
        </w:rPr>
        <w:t>Weather</w:t>
      </w:r>
    </w:p>
    <w:p w14:paraId="783716C7" w14:textId="77777777" w:rsidR="00896CE3" w:rsidRPr="00896CE3" w:rsidRDefault="00896CE3" w:rsidP="00896CE3">
      <w:pPr>
        <w:numPr>
          <w:ilvl w:val="1"/>
          <w:numId w:val="24"/>
        </w:numPr>
        <w:rPr>
          <w:b/>
          <w:bCs/>
        </w:rPr>
      </w:pPr>
      <w:r w:rsidRPr="00896CE3">
        <w:rPr>
          <w:b/>
          <w:bCs/>
        </w:rPr>
        <w:t>Signal Failure</w:t>
      </w:r>
      <w:r w:rsidRPr="00896CE3">
        <w:rPr>
          <w:b/>
          <w:bCs/>
        </w:rPr>
        <w:br/>
        <w:t>These are critical areas for operational focus.</w:t>
      </w:r>
    </w:p>
    <w:p w14:paraId="7471BB5D" w14:textId="77777777" w:rsidR="00896CE3" w:rsidRPr="00896CE3" w:rsidRDefault="00896CE3" w:rsidP="00896CE3">
      <w:pPr>
        <w:rPr>
          <w:b/>
          <w:bCs/>
        </w:rPr>
      </w:pPr>
      <w:r w:rsidRPr="00896CE3">
        <w:rPr>
          <w:b/>
          <w:bCs/>
        </w:rPr>
        <w:pict w14:anchorId="39208A02">
          <v:rect id="_x0000_i1197" style="width:0;height:1.5pt" o:hralign="center" o:hrstd="t" o:hr="t" fillcolor="#a0a0a0" stroked="f"/>
        </w:pict>
      </w:r>
    </w:p>
    <w:p w14:paraId="4A2DCE5A" w14:textId="77777777" w:rsidR="00896CE3" w:rsidRPr="00896CE3" w:rsidRDefault="00896CE3" w:rsidP="00896CE3">
      <w:pPr>
        <w:rPr>
          <w:b/>
          <w:bCs/>
        </w:rPr>
      </w:pPr>
      <w:r w:rsidRPr="00896CE3">
        <w:rPr>
          <w:b/>
          <w:bCs/>
        </w:rPr>
        <w:t>Refund &amp; Customer Satisfaction Analysis</w:t>
      </w:r>
    </w:p>
    <w:p w14:paraId="5A523E5E" w14:textId="77777777" w:rsidR="00896CE3" w:rsidRPr="00896CE3" w:rsidRDefault="00896CE3" w:rsidP="00896CE3">
      <w:pPr>
        <w:numPr>
          <w:ilvl w:val="0"/>
          <w:numId w:val="25"/>
        </w:numPr>
        <w:rPr>
          <w:b/>
          <w:bCs/>
        </w:rPr>
      </w:pPr>
      <w:r w:rsidRPr="00896CE3">
        <w:rPr>
          <w:b/>
          <w:bCs/>
        </w:rPr>
        <w:t>Number of Refund Requests Due to Delays</w:t>
      </w:r>
      <w:r w:rsidRPr="00896CE3">
        <w:rPr>
          <w:b/>
          <w:bCs/>
        </w:rPr>
        <w:br/>
        <w:t xml:space="preserve">The overall refund rate is 3.54%. Station-specific refund rates include: </w:t>
      </w:r>
    </w:p>
    <w:p w14:paraId="202F76AA" w14:textId="77777777" w:rsidR="00896CE3" w:rsidRPr="00896CE3" w:rsidRDefault="00896CE3" w:rsidP="00896CE3">
      <w:pPr>
        <w:numPr>
          <w:ilvl w:val="1"/>
          <w:numId w:val="25"/>
        </w:numPr>
        <w:rPr>
          <w:b/>
          <w:bCs/>
        </w:rPr>
      </w:pPr>
      <w:r w:rsidRPr="00896CE3">
        <w:rPr>
          <w:b/>
          <w:bCs/>
        </w:rPr>
        <w:t>Reading: 2.86%</w:t>
      </w:r>
    </w:p>
    <w:p w14:paraId="57E81B6B" w14:textId="77777777" w:rsidR="00896CE3" w:rsidRPr="00896CE3" w:rsidRDefault="00896CE3" w:rsidP="00896CE3">
      <w:pPr>
        <w:numPr>
          <w:ilvl w:val="1"/>
          <w:numId w:val="25"/>
        </w:numPr>
        <w:rPr>
          <w:b/>
          <w:bCs/>
        </w:rPr>
      </w:pPr>
      <w:r w:rsidRPr="00896CE3">
        <w:rPr>
          <w:b/>
          <w:bCs/>
        </w:rPr>
        <w:t>Oxford: 13.19%</w:t>
      </w:r>
    </w:p>
    <w:p w14:paraId="7E70B288" w14:textId="77777777" w:rsidR="00896CE3" w:rsidRPr="00896CE3" w:rsidRDefault="00896CE3" w:rsidP="00896CE3">
      <w:pPr>
        <w:numPr>
          <w:ilvl w:val="1"/>
          <w:numId w:val="25"/>
        </w:numPr>
        <w:rPr>
          <w:b/>
          <w:bCs/>
        </w:rPr>
      </w:pPr>
      <w:r w:rsidRPr="00896CE3">
        <w:rPr>
          <w:b/>
          <w:bCs/>
        </w:rPr>
        <w:t>Birmingham New Street: 1.94%</w:t>
      </w:r>
    </w:p>
    <w:p w14:paraId="447E035E" w14:textId="77777777" w:rsidR="00896CE3" w:rsidRPr="00896CE3" w:rsidRDefault="00896CE3" w:rsidP="00896CE3">
      <w:pPr>
        <w:numPr>
          <w:ilvl w:val="1"/>
          <w:numId w:val="25"/>
        </w:numPr>
        <w:rPr>
          <w:b/>
          <w:bCs/>
        </w:rPr>
      </w:pPr>
      <w:r w:rsidRPr="00896CE3">
        <w:rPr>
          <w:b/>
          <w:bCs/>
        </w:rPr>
        <w:t>Manchester Piccadilly: 3.45%</w:t>
      </w:r>
    </w:p>
    <w:p w14:paraId="3153FFA5" w14:textId="77777777" w:rsidR="00896CE3" w:rsidRPr="00896CE3" w:rsidRDefault="00896CE3" w:rsidP="00896CE3">
      <w:pPr>
        <w:numPr>
          <w:ilvl w:val="1"/>
          <w:numId w:val="25"/>
        </w:numPr>
        <w:rPr>
          <w:b/>
          <w:bCs/>
        </w:rPr>
      </w:pPr>
      <w:r w:rsidRPr="00896CE3">
        <w:rPr>
          <w:b/>
          <w:bCs/>
        </w:rPr>
        <w:t>Liverpool Lime Street: 1.91%</w:t>
      </w:r>
    </w:p>
    <w:p w14:paraId="7E833641" w14:textId="77777777" w:rsidR="00896CE3" w:rsidRPr="00896CE3" w:rsidRDefault="00896CE3" w:rsidP="00896CE3">
      <w:pPr>
        <w:numPr>
          <w:ilvl w:val="1"/>
          <w:numId w:val="25"/>
        </w:numPr>
        <w:rPr>
          <w:b/>
          <w:bCs/>
        </w:rPr>
      </w:pPr>
      <w:r w:rsidRPr="00896CE3">
        <w:rPr>
          <w:b/>
          <w:bCs/>
        </w:rPr>
        <w:t>York: 2.04%</w:t>
      </w:r>
      <w:r w:rsidRPr="00896CE3">
        <w:rPr>
          <w:b/>
          <w:bCs/>
        </w:rPr>
        <w:br/>
        <w:t>Oxford’s notably high rate suggests localized service challenges.</w:t>
      </w:r>
    </w:p>
    <w:p w14:paraId="0AC5493D" w14:textId="77777777" w:rsidR="00896CE3" w:rsidRPr="00896CE3" w:rsidRDefault="00896CE3" w:rsidP="00896CE3">
      <w:pPr>
        <w:rPr>
          <w:b/>
          <w:bCs/>
        </w:rPr>
      </w:pPr>
      <w:r w:rsidRPr="00896CE3">
        <w:rPr>
          <w:b/>
          <w:bCs/>
        </w:rPr>
        <w:pict w14:anchorId="305B4532">
          <v:rect id="_x0000_i1198" style="width:0;height:1.5pt" o:hralign="center" o:hrstd="t" o:hr="t" fillcolor="#a0a0a0" stroked="f"/>
        </w:pict>
      </w:r>
    </w:p>
    <w:p w14:paraId="4D9752BF" w14:textId="77777777" w:rsidR="00896CE3" w:rsidRPr="00896CE3" w:rsidRDefault="00896CE3" w:rsidP="00896CE3">
      <w:pPr>
        <w:rPr>
          <w:b/>
          <w:bCs/>
        </w:rPr>
      </w:pPr>
      <w:r w:rsidRPr="00896CE3">
        <w:rPr>
          <w:b/>
          <w:bCs/>
        </w:rPr>
        <w:t>Discussion</w:t>
      </w:r>
    </w:p>
    <w:p w14:paraId="414E3BF5" w14:textId="77777777" w:rsidR="00896CE3" w:rsidRPr="00896CE3" w:rsidRDefault="00896CE3" w:rsidP="00896CE3">
      <w:pPr>
        <w:rPr>
          <w:b/>
          <w:bCs/>
        </w:rPr>
      </w:pPr>
      <w:r w:rsidRPr="00896CE3">
        <w:rPr>
          <w:b/>
          <w:bCs/>
        </w:rPr>
        <w:t>The analysis highlights several actionable points:</w:t>
      </w:r>
    </w:p>
    <w:p w14:paraId="715F0649" w14:textId="77777777" w:rsidR="00896CE3" w:rsidRPr="00896CE3" w:rsidRDefault="00896CE3" w:rsidP="00896CE3">
      <w:pPr>
        <w:numPr>
          <w:ilvl w:val="0"/>
          <w:numId w:val="26"/>
        </w:numPr>
        <w:rPr>
          <w:b/>
          <w:bCs/>
        </w:rPr>
      </w:pPr>
      <w:r w:rsidRPr="00896CE3">
        <w:rPr>
          <w:b/>
          <w:bCs/>
        </w:rPr>
        <w:t>Online Sales Dominance: With 58% of tickets sold online, digital platforms are a key revenue driver.</w:t>
      </w:r>
    </w:p>
    <w:p w14:paraId="65810804" w14:textId="77777777" w:rsidR="00896CE3" w:rsidRPr="00896CE3" w:rsidRDefault="00896CE3" w:rsidP="00896CE3">
      <w:pPr>
        <w:numPr>
          <w:ilvl w:val="0"/>
          <w:numId w:val="26"/>
        </w:numPr>
        <w:rPr>
          <w:b/>
          <w:bCs/>
        </w:rPr>
      </w:pPr>
      <w:r w:rsidRPr="00896CE3">
        <w:rPr>
          <w:b/>
          <w:bCs/>
        </w:rPr>
        <w:t>Advance Ticket Preference: The prevalence of Advance tickets indicates price sensitivity among passengers.</w:t>
      </w:r>
    </w:p>
    <w:p w14:paraId="221D7811" w14:textId="77777777" w:rsidR="00896CE3" w:rsidRPr="00896CE3" w:rsidRDefault="00896CE3" w:rsidP="00896CE3">
      <w:pPr>
        <w:numPr>
          <w:ilvl w:val="0"/>
          <w:numId w:val="26"/>
        </w:numPr>
        <w:rPr>
          <w:b/>
          <w:bCs/>
        </w:rPr>
      </w:pPr>
      <w:r w:rsidRPr="00896CE3">
        <w:rPr>
          <w:b/>
          <w:bCs/>
        </w:rPr>
        <w:t>High Punctuality: A 90.8% on-time rate is a strength, though delays from technical issues, weather, and signal failures need mitigation.</w:t>
      </w:r>
    </w:p>
    <w:p w14:paraId="5F93EC41" w14:textId="77777777" w:rsidR="00896CE3" w:rsidRPr="00896CE3" w:rsidRDefault="00896CE3" w:rsidP="00896CE3">
      <w:pPr>
        <w:numPr>
          <w:ilvl w:val="0"/>
          <w:numId w:val="26"/>
        </w:numPr>
        <w:rPr>
          <w:b/>
          <w:bCs/>
        </w:rPr>
      </w:pPr>
      <w:r w:rsidRPr="00896CE3">
        <w:rPr>
          <w:b/>
          <w:bCs/>
        </w:rPr>
        <w:t>Refund Variations: Oxford’s 13.19% refund rate stands out, pointing to potential reliability issues at this station.</w:t>
      </w:r>
    </w:p>
    <w:p w14:paraId="48DB6FC6" w14:textId="77777777" w:rsidR="00896CE3" w:rsidRPr="00896CE3" w:rsidRDefault="00896CE3" w:rsidP="00896CE3">
      <w:pPr>
        <w:numPr>
          <w:ilvl w:val="0"/>
          <w:numId w:val="26"/>
        </w:numPr>
        <w:rPr>
          <w:b/>
          <w:bCs/>
        </w:rPr>
      </w:pPr>
      <w:r w:rsidRPr="00896CE3">
        <w:rPr>
          <w:b/>
          <w:bCs/>
        </w:rPr>
        <w:t xml:space="preserve">Route Popularity: High-traffic routes like London Kings Cross → York </w:t>
      </w:r>
      <w:proofErr w:type="gramStart"/>
      <w:r w:rsidRPr="00896CE3">
        <w:rPr>
          <w:b/>
          <w:bCs/>
        </w:rPr>
        <w:t>suggest</w:t>
      </w:r>
      <w:proofErr w:type="gramEnd"/>
      <w:r w:rsidRPr="00896CE3">
        <w:rPr>
          <w:b/>
          <w:bCs/>
        </w:rPr>
        <w:t xml:space="preserve"> areas for capacity enhancement.</w:t>
      </w:r>
    </w:p>
    <w:p w14:paraId="255BE9EE" w14:textId="77777777" w:rsidR="00896CE3" w:rsidRPr="00896CE3" w:rsidRDefault="00896CE3" w:rsidP="00896CE3">
      <w:pPr>
        <w:rPr>
          <w:b/>
          <w:bCs/>
        </w:rPr>
      </w:pPr>
      <w:r w:rsidRPr="00896CE3">
        <w:rPr>
          <w:b/>
          <w:bCs/>
        </w:rPr>
        <w:lastRenderedPageBreak/>
        <w:pict w14:anchorId="387A5A2B">
          <v:rect id="_x0000_i1199" style="width:0;height:1.5pt" o:hralign="center" o:hrstd="t" o:hr="t" fillcolor="#a0a0a0" stroked="f"/>
        </w:pict>
      </w:r>
    </w:p>
    <w:p w14:paraId="522A119F" w14:textId="77777777" w:rsidR="00896CE3" w:rsidRPr="00896CE3" w:rsidRDefault="00896CE3" w:rsidP="00896CE3">
      <w:pPr>
        <w:rPr>
          <w:b/>
          <w:bCs/>
        </w:rPr>
      </w:pPr>
      <w:r w:rsidRPr="00896CE3">
        <w:rPr>
          <w:b/>
          <w:bCs/>
        </w:rPr>
        <w:t>Conclusion</w:t>
      </w:r>
    </w:p>
    <w:p w14:paraId="32F2E983" w14:textId="77777777" w:rsidR="00896CE3" w:rsidRPr="00896CE3" w:rsidRDefault="00896CE3" w:rsidP="00896CE3">
      <w:pPr>
        <w:rPr>
          <w:b/>
          <w:bCs/>
        </w:rPr>
      </w:pPr>
      <w:r w:rsidRPr="00896CE3">
        <w:rPr>
          <w:b/>
          <w:bCs/>
        </w:rPr>
        <w:t>Based on the findings, the following recommendations are proposed:</w:t>
      </w:r>
    </w:p>
    <w:p w14:paraId="2BF51DE2" w14:textId="77777777" w:rsidR="00896CE3" w:rsidRPr="00896CE3" w:rsidRDefault="00896CE3" w:rsidP="00896CE3">
      <w:pPr>
        <w:numPr>
          <w:ilvl w:val="0"/>
          <w:numId w:val="27"/>
        </w:numPr>
        <w:rPr>
          <w:b/>
          <w:bCs/>
        </w:rPr>
      </w:pPr>
      <w:r w:rsidRPr="00896CE3">
        <w:rPr>
          <w:b/>
          <w:bCs/>
        </w:rPr>
        <w:t>Strengthen Online Platforms: Enhance the digital booking experience to leverage the 58% online sales share.</w:t>
      </w:r>
    </w:p>
    <w:p w14:paraId="75883207" w14:textId="77777777" w:rsidR="00896CE3" w:rsidRPr="00896CE3" w:rsidRDefault="00896CE3" w:rsidP="00896CE3">
      <w:pPr>
        <w:numPr>
          <w:ilvl w:val="0"/>
          <w:numId w:val="27"/>
        </w:numPr>
        <w:rPr>
          <w:b/>
          <w:bCs/>
        </w:rPr>
      </w:pPr>
      <w:r w:rsidRPr="00896CE3">
        <w:rPr>
          <w:b/>
          <w:bCs/>
        </w:rPr>
        <w:t xml:space="preserve">Promote </w:t>
      </w:r>
      <w:proofErr w:type="spellStart"/>
      <w:r w:rsidRPr="00896CE3">
        <w:rPr>
          <w:b/>
          <w:bCs/>
        </w:rPr>
        <w:t>Railcard</w:t>
      </w:r>
      <w:proofErr w:type="spellEnd"/>
      <w:r w:rsidRPr="00896CE3">
        <w:rPr>
          <w:b/>
          <w:bCs/>
        </w:rPr>
        <w:t xml:space="preserve"> Adoption: Target the 66.33% non-</w:t>
      </w:r>
      <w:proofErr w:type="spellStart"/>
      <w:r w:rsidRPr="00896CE3">
        <w:rPr>
          <w:b/>
          <w:bCs/>
        </w:rPr>
        <w:t>Railcard</w:t>
      </w:r>
      <w:proofErr w:type="spellEnd"/>
      <w:r w:rsidRPr="00896CE3">
        <w:rPr>
          <w:b/>
          <w:bCs/>
        </w:rPr>
        <w:t xml:space="preserve"> users with marketing to boost sales.</w:t>
      </w:r>
    </w:p>
    <w:p w14:paraId="04F428F6" w14:textId="77777777" w:rsidR="00896CE3" w:rsidRPr="00896CE3" w:rsidRDefault="00896CE3" w:rsidP="00896CE3">
      <w:pPr>
        <w:numPr>
          <w:ilvl w:val="0"/>
          <w:numId w:val="27"/>
        </w:numPr>
        <w:rPr>
          <w:b/>
          <w:bCs/>
        </w:rPr>
      </w:pPr>
      <w:r w:rsidRPr="00896CE3">
        <w:rPr>
          <w:b/>
          <w:bCs/>
        </w:rPr>
        <w:t>Reduce Delays: Prioritize technical maintenance, weather preparedness, and signal upgrades to sustain the 90.8% punctuality rate.</w:t>
      </w:r>
    </w:p>
    <w:p w14:paraId="25D426EE" w14:textId="77777777" w:rsidR="00896CE3" w:rsidRPr="00896CE3" w:rsidRDefault="00896CE3" w:rsidP="00896CE3">
      <w:pPr>
        <w:numPr>
          <w:ilvl w:val="0"/>
          <w:numId w:val="27"/>
        </w:numPr>
        <w:rPr>
          <w:b/>
          <w:bCs/>
        </w:rPr>
      </w:pPr>
      <w:r w:rsidRPr="00896CE3">
        <w:rPr>
          <w:b/>
          <w:bCs/>
        </w:rPr>
        <w:t>Optimize Key Routes: Increase capacity and reliability on routes like London Kings Cross → York.</w:t>
      </w:r>
    </w:p>
    <w:p w14:paraId="56E64FD4" w14:textId="77777777" w:rsidR="00896CE3" w:rsidRPr="00896CE3" w:rsidRDefault="00896CE3" w:rsidP="00896CE3">
      <w:pPr>
        <w:numPr>
          <w:ilvl w:val="0"/>
          <w:numId w:val="27"/>
        </w:numPr>
        <w:rPr>
          <w:b/>
          <w:bCs/>
        </w:rPr>
      </w:pPr>
      <w:r w:rsidRPr="00896CE3">
        <w:rPr>
          <w:b/>
          <w:bCs/>
        </w:rPr>
        <w:t>Investigate Oxford: Address service disruptions at Oxford to lower its 13.19% refund rate.</w:t>
      </w:r>
    </w:p>
    <w:p w14:paraId="5C9149E9" w14:textId="77777777" w:rsidR="00896CE3" w:rsidRPr="00896CE3" w:rsidRDefault="00896CE3" w:rsidP="00896CE3">
      <w:pPr>
        <w:rPr>
          <w:b/>
          <w:bCs/>
        </w:rPr>
      </w:pPr>
      <w:r w:rsidRPr="00896CE3">
        <w:rPr>
          <w:b/>
          <w:bCs/>
        </w:rPr>
        <w:t>These steps can enhance operational efficiency, customer satisfaction, and revenue for the UK railway system.</w:t>
      </w:r>
    </w:p>
    <w:p w14:paraId="20DDE84F" w14:textId="0B89BC95" w:rsidR="007322DB" w:rsidRPr="007322DB" w:rsidRDefault="007322DB" w:rsidP="007322DB">
      <w:pPr>
        <w:rPr>
          <w:b/>
          <w:bCs/>
        </w:rPr>
      </w:pPr>
      <w:r w:rsidRPr="007322DB">
        <w:rPr>
          <w:b/>
          <w:bCs/>
        </w:rPr>
        <w:t>These actions can improve operational efficiency, customer satisfaction, and revenue for the UK railway system</w:t>
      </w:r>
      <w:r w:rsidR="00896CE3">
        <w:rPr>
          <w:b/>
          <w:bCs/>
        </w:rPr>
        <w:t>.</w:t>
      </w:r>
    </w:p>
    <w:p w14:paraId="6D5BD635" w14:textId="77777777" w:rsidR="007322DB" w:rsidRPr="007322DB" w:rsidRDefault="007322DB" w:rsidP="007322DB"/>
    <w:sectPr w:rsidR="007322DB" w:rsidRPr="0073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716A"/>
    <w:multiLevelType w:val="multilevel"/>
    <w:tmpl w:val="5DFC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35D8"/>
    <w:multiLevelType w:val="multilevel"/>
    <w:tmpl w:val="9F40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114C"/>
    <w:multiLevelType w:val="multilevel"/>
    <w:tmpl w:val="83A2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D767C"/>
    <w:multiLevelType w:val="multilevel"/>
    <w:tmpl w:val="71009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76551"/>
    <w:multiLevelType w:val="multilevel"/>
    <w:tmpl w:val="4F92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E1D94"/>
    <w:multiLevelType w:val="multilevel"/>
    <w:tmpl w:val="BCEE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A6BA7"/>
    <w:multiLevelType w:val="multilevel"/>
    <w:tmpl w:val="6C509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87BCE"/>
    <w:multiLevelType w:val="multilevel"/>
    <w:tmpl w:val="D9AC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36052"/>
    <w:multiLevelType w:val="multilevel"/>
    <w:tmpl w:val="F766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56B8F"/>
    <w:multiLevelType w:val="multilevel"/>
    <w:tmpl w:val="2646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478E1"/>
    <w:multiLevelType w:val="multilevel"/>
    <w:tmpl w:val="31B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17250"/>
    <w:multiLevelType w:val="multilevel"/>
    <w:tmpl w:val="81AC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975DA"/>
    <w:multiLevelType w:val="multilevel"/>
    <w:tmpl w:val="D6F89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B5442"/>
    <w:multiLevelType w:val="multilevel"/>
    <w:tmpl w:val="7B62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C2A8B"/>
    <w:multiLevelType w:val="multilevel"/>
    <w:tmpl w:val="987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59ED"/>
    <w:multiLevelType w:val="multilevel"/>
    <w:tmpl w:val="47BEB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57730"/>
    <w:multiLevelType w:val="multilevel"/>
    <w:tmpl w:val="58A4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06B00"/>
    <w:multiLevelType w:val="multilevel"/>
    <w:tmpl w:val="4222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534834">
    <w:abstractNumId w:val="13"/>
  </w:num>
  <w:num w:numId="2" w16cid:durableId="1033652517">
    <w:abstractNumId w:val="13"/>
    <w:lvlOverride w:ilvl="1">
      <w:lvl w:ilvl="1">
        <w:numFmt w:val="decimal"/>
        <w:lvlText w:val="%2."/>
        <w:lvlJc w:val="left"/>
      </w:lvl>
    </w:lvlOverride>
  </w:num>
  <w:num w:numId="3" w16cid:durableId="946160233">
    <w:abstractNumId w:val="7"/>
  </w:num>
  <w:num w:numId="4" w16cid:durableId="420369113">
    <w:abstractNumId w:val="7"/>
    <w:lvlOverride w:ilvl="1">
      <w:lvl w:ilvl="1">
        <w:numFmt w:val="decimal"/>
        <w:lvlText w:val="%2."/>
        <w:lvlJc w:val="left"/>
      </w:lvl>
    </w:lvlOverride>
  </w:num>
  <w:num w:numId="5" w16cid:durableId="1517228834">
    <w:abstractNumId w:val="16"/>
  </w:num>
  <w:num w:numId="6" w16cid:durableId="315496035">
    <w:abstractNumId w:val="16"/>
    <w:lvlOverride w:ilvl="1">
      <w:lvl w:ilvl="1">
        <w:numFmt w:val="decimal"/>
        <w:lvlText w:val="%2."/>
        <w:lvlJc w:val="left"/>
      </w:lvl>
    </w:lvlOverride>
  </w:num>
  <w:num w:numId="7" w16cid:durableId="1921520933">
    <w:abstractNumId w:val="0"/>
  </w:num>
  <w:num w:numId="8" w16cid:durableId="1621107597">
    <w:abstractNumId w:val="14"/>
  </w:num>
  <w:num w:numId="9" w16cid:durableId="563833231">
    <w:abstractNumId w:val="17"/>
  </w:num>
  <w:num w:numId="10" w16cid:durableId="1623658120">
    <w:abstractNumId w:val="9"/>
  </w:num>
  <w:num w:numId="11" w16cid:durableId="1872648617">
    <w:abstractNumId w:val="9"/>
    <w:lvlOverride w:ilvl="1">
      <w:lvl w:ilvl="1">
        <w:numFmt w:val="decimal"/>
        <w:lvlText w:val="%2."/>
        <w:lvlJc w:val="left"/>
      </w:lvl>
    </w:lvlOverride>
  </w:num>
  <w:num w:numId="12" w16cid:durableId="1120683271">
    <w:abstractNumId w:val="15"/>
  </w:num>
  <w:num w:numId="13" w16cid:durableId="70582807">
    <w:abstractNumId w:val="15"/>
    <w:lvlOverride w:ilvl="1">
      <w:lvl w:ilvl="1">
        <w:numFmt w:val="decimal"/>
        <w:lvlText w:val="%2."/>
        <w:lvlJc w:val="left"/>
      </w:lvl>
    </w:lvlOverride>
  </w:num>
  <w:num w:numId="14" w16cid:durableId="928544683">
    <w:abstractNumId w:val="4"/>
  </w:num>
  <w:num w:numId="15" w16cid:durableId="526335330">
    <w:abstractNumId w:val="4"/>
    <w:lvlOverride w:ilvl="1">
      <w:lvl w:ilvl="1">
        <w:numFmt w:val="decimal"/>
        <w:lvlText w:val="%2."/>
        <w:lvlJc w:val="left"/>
      </w:lvl>
    </w:lvlOverride>
  </w:num>
  <w:num w:numId="16" w16cid:durableId="1603564816">
    <w:abstractNumId w:val="1"/>
  </w:num>
  <w:num w:numId="17" w16cid:durableId="1441796808">
    <w:abstractNumId w:val="10"/>
  </w:num>
  <w:num w:numId="18" w16cid:durableId="592127316">
    <w:abstractNumId w:val="8"/>
  </w:num>
  <w:num w:numId="19" w16cid:durableId="1171289747">
    <w:abstractNumId w:val="5"/>
  </w:num>
  <w:num w:numId="20" w16cid:durableId="377778675">
    <w:abstractNumId w:val="5"/>
    <w:lvlOverride w:ilvl="1">
      <w:lvl w:ilvl="1">
        <w:numFmt w:val="decimal"/>
        <w:lvlText w:val="%2."/>
        <w:lvlJc w:val="left"/>
      </w:lvl>
    </w:lvlOverride>
  </w:num>
  <w:num w:numId="21" w16cid:durableId="1531147657">
    <w:abstractNumId w:val="3"/>
  </w:num>
  <w:num w:numId="22" w16cid:durableId="639459494">
    <w:abstractNumId w:val="3"/>
    <w:lvlOverride w:ilvl="1">
      <w:lvl w:ilvl="1">
        <w:numFmt w:val="decimal"/>
        <w:lvlText w:val="%2."/>
        <w:lvlJc w:val="left"/>
      </w:lvl>
    </w:lvlOverride>
  </w:num>
  <w:num w:numId="23" w16cid:durableId="74976479">
    <w:abstractNumId w:val="6"/>
  </w:num>
  <w:num w:numId="24" w16cid:durableId="1664118319">
    <w:abstractNumId w:val="6"/>
    <w:lvlOverride w:ilvl="1">
      <w:lvl w:ilvl="1">
        <w:numFmt w:val="decimal"/>
        <w:lvlText w:val="%2."/>
        <w:lvlJc w:val="left"/>
      </w:lvl>
    </w:lvlOverride>
  </w:num>
  <w:num w:numId="25" w16cid:durableId="430199044">
    <w:abstractNumId w:val="12"/>
  </w:num>
  <w:num w:numId="26" w16cid:durableId="388652101">
    <w:abstractNumId w:val="11"/>
  </w:num>
  <w:num w:numId="27" w16cid:durableId="626090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DB"/>
    <w:rsid w:val="00391357"/>
    <w:rsid w:val="007322DB"/>
    <w:rsid w:val="00896C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5F79"/>
  <w15:chartTrackingRefBased/>
  <w15:docId w15:val="{CEB1D565-E36A-43C9-9E54-71E0A4F7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2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22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22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22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2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2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22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22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22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22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2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2DB"/>
    <w:rPr>
      <w:rFonts w:eastAsiaTheme="majorEastAsia" w:cstheme="majorBidi"/>
      <w:color w:val="272727" w:themeColor="text1" w:themeTint="D8"/>
    </w:rPr>
  </w:style>
  <w:style w:type="paragraph" w:styleId="Title">
    <w:name w:val="Title"/>
    <w:basedOn w:val="Normal"/>
    <w:next w:val="Normal"/>
    <w:link w:val="TitleChar"/>
    <w:uiPriority w:val="10"/>
    <w:qFormat/>
    <w:rsid w:val="00732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2DB"/>
    <w:pPr>
      <w:spacing w:before="160"/>
      <w:jc w:val="center"/>
    </w:pPr>
    <w:rPr>
      <w:i/>
      <w:iCs/>
      <w:color w:val="404040" w:themeColor="text1" w:themeTint="BF"/>
    </w:rPr>
  </w:style>
  <w:style w:type="character" w:customStyle="1" w:styleId="QuoteChar">
    <w:name w:val="Quote Char"/>
    <w:basedOn w:val="DefaultParagraphFont"/>
    <w:link w:val="Quote"/>
    <w:uiPriority w:val="29"/>
    <w:rsid w:val="007322DB"/>
    <w:rPr>
      <w:i/>
      <w:iCs/>
      <w:color w:val="404040" w:themeColor="text1" w:themeTint="BF"/>
    </w:rPr>
  </w:style>
  <w:style w:type="paragraph" w:styleId="ListParagraph">
    <w:name w:val="List Paragraph"/>
    <w:basedOn w:val="Normal"/>
    <w:uiPriority w:val="34"/>
    <w:qFormat/>
    <w:rsid w:val="007322DB"/>
    <w:pPr>
      <w:ind w:left="720"/>
      <w:contextualSpacing/>
    </w:pPr>
  </w:style>
  <w:style w:type="character" w:styleId="IntenseEmphasis">
    <w:name w:val="Intense Emphasis"/>
    <w:basedOn w:val="DefaultParagraphFont"/>
    <w:uiPriority w:val="21"/>
    <w:qFormat/>
    <w:rsid w:val="007322DB"/>
    <w:rPr>
      <w:i/>
      <w:iCs/>
      <w:color w:val="2F5496" w:themeColor="accent1" w:themeShade="BF"/>
    </w:rPr>
  </w:style>
  <w:style w:type="paragraph" w:styleId="IntenseQuote">
    <w:name w:val="Intense Quote"/>
    <w:basedOn w:val="Normal"/>
    <w:next w:val="Normal"/>
    <w:link w:val="IntenseQuoteChar"/>
    <w:uiPriority w:val="30"/>
    <w:qFormat/>
    <w:rsid w:val="00732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22DB"/>
    <w:rPr>
      <w:i/>
      <w:iCs/>
      <w:color w:val="2F5496" w:themeColor="accent1" w:themeShade="BF"/>
    </w:rPr>
  </w:style>
  <w:style w:type="character" w:styleId="IntenseReference">
    <w:name w:val="Intense Reference"/>
    <w:basedOn w:val="DefaultParagraphFont"/>
    <w:uiPriority w:val="32"/>
    <w:qFormat/>
    <w:rsid w:val="00732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78761">
      <w:bodyDiv w:val="1"/>
      <w:marLeft w:val="0"/>
      <w:marRight w:val="0"/>
      <w:marTop w:val="0"/>
      <w:marBottom w:val="0"/>
      <w:divBdr>
        <w:top w:val="none" w:sz="0" w:space="0" w:color="auto"/>
        <w:left w:val="none" w:sz="0" w:space="0" w:color="auto"/>
        <w:bottom w:val="none" w:sz="0" w:space="0" w:color="auto"/>
        <w:right w:val="none" w:sz="0" w:space="0" w:color="auto"/>
      </w:divBdr>
      <w:divsChild>
        <w:div w:id="790510513">
          <w:marLeft w:val="0"/>
          <w:marRight w:val="0"/>
          <w:marTop w:val="0"/>
          <w:marBottom w:val="0"/>
          <w:divBdr>
            <w:top w:val="none" w:sz="0" w:space="0" w:color="auto"/>
            <w:left w:val="none" w:sz="0" w:space="0" w:color="auto"/>
            <w:bottom w:val="none" w:sz="0" w:space="0" w:color="auto"/>
            <w:right w:val="none" w:sz="0" w:space="0" w:color="auto"/>
          </w:divBdr>
        </w:div>
      </w:divsChild>
    </w:div>
    <w:div w:id="399645072">
      <w:bodyDiv w:val="1"/>
      <w:marLeft w:val="0"/>
      <w:marRight w:val="0"/>
      <w:marTop w:val="0"/>
      <w:marBottom w:val="0"/>
      <w:divBdr>
        <w:top w:val="none" w:sz="0" w:space="0" w:color="auto"/>
        <w:left w:val="none" w:sz="0" w:space="0" w:color="auto"/>
        <w:bottom w:val="none" w:sz="0" w:space="0" w:color="auto"/>
        <w:right w:val="none" w:sz="0" w:space="0" w:color="auto"/>
      </w:divBdr>
      <w:divsChild>
        <w:div w:id="292835164">
          <w:marLeft w:val="0"/>
          <w:marRight w:val="0"/>
          <w:marTop w:val="0"/>
          <w:marBottom w:val="0"/>
          <w:divBdr>
            <w:top w:val="none" w:sz="0" w:space="0" w:color="auto"/>
            <w:left w:val="none" w:sz="0" w:space="0" w:color="auto"/>
            <w:bottom w:val="none" w:sz="0" w:space="0" w:color="auto"/>
            <w:right w:val="none" w:sz="0" w:space="0" w:color="auto"/>
          </w:divBdr>
        </w:div>
      </w:divsChild>
    </w:div>
    <w:div w:id="766315315">
      <w:bodyDiv w:val="1"/>
      <w:marLeft w:val="0"/>
      <w:marRight w:val="0"/>
      <w:marTop w:val="0"/>
      <w:marBottom w:val="0"/>
      <w:divBdr>
        <w:top w:val="none" w:sz="0" w:space="0" w:color="auto"/>
        <w:left w:val="none" w:sz="0" w:space="0" w:color="auto"/>
        <w:bottom w:val="none" w:sz="0" w:space="0" w:color="auto"/>
        <w:right w:val="none" w:sz="0" w:space="0" w:color="auto"/>
      </w:divBdr>
      <w:divsChild>
        <w:div w:id="1866403468">
          <w:marLeft w:val="0"/>
          <w:marRight w:val="0"/>
          <w:marTop w:val="0"/>
          <w:marBottom w:val="0"/>
          <w:divBdr>
            <w:top w:val="none" w:sz="0" w:space="0" w:color="auto"/>
            <w:left w:val="none" w:sz="0" w:space="0" w:color="auto"/>
            <w:bottom w:val="none" w:sz="0" w:space="0" w:color="auto"/>
            <w:right w:val="none" w:sz="0" w:space="0" w:color="auto"/>
          </w:divBdr>
        </w:div>
      </w:divsChild>
    </w:div>
    <w:div w:id="1280525348">
      <w:bodyDiv w:val="1"/>
      <w:marLeft w:val="0"/>
      <w:marRight w:val="0"/>
      <w:marTop w:val="0"/>
      <w:marBottom w:val="0"/>
      <w:divBdr>
        <w:top w:val="none" w:sz="0" w:space="0" w:color="auto"/>
        <w:left w:val="none" w:sz="0" w:space="0" w:color="auto"/>
        <w:bottom w:val="none" w:sz="0" w:space="0" w:color="auto"/>
        <w:right w:val="none" w:sz="0" w:space="0" w:color="auto"/>
      </w:divBdr>
      <w:divsChild>
        <w:div w:id="1074159585">
          <w:marLeft w:val="0"/>
          <w:marRight w:val="0"/>
          <w:marTop w:val="0"/>
          <w:marBottom w:val="0"/>
          <w:divBdr>
            <w:top w:val="none" w:sz="0" w:space="0" w:color="auto"/>
            <w:left w:val="none" w:sz="0" w:space="0" w:color="auto"/>
            <w:bottom w:val="none" w:sz="0" w:space="0" w:color="auto"/>
            <w:right w:val="none" w:sz="0" w:space="0" w:color="auto"/>
          </w:divBdr>
        </w:div>
      </w:divsChild>
    </w:div>
    <w:div w:id="1376545803">
      <w:bodyDiv w:val="1"/>
      <w:marLeft w:val="0"/>
      <w:marRight w:val="0"/>
      <w:marTop w:val="0"/>
      <w:marBottom w:val="0"/>
      <w:divBdr>
        <w:top w:val="none" w:sz="0" w:space="0" w:color="auto"/>
        <w:left w:val="none" w:sz="0" w:space="0" w:color="auto"/>
        <w:bottom w:val="none" w:sz="0" w:space="0" w:color="auto"/>
        <w:right w:val="none" w:sz="0" w:space="0" w:color="auto"/>
      </w:divBdr>
      <w:divsChild>
        <w:div w:id="85032254">
          <w:marLeft w:val="0"/>
          <w:marRight w:val="0"/>
          <w:marTop w:val="0"/>
          <w:marBottom w:val="0"/>
          <w:divBdr>
            <w:top w:val="none" w:sz="0" w:space="0" w:color="auto"/>
            <w:left w:val="none" w:sz="0" w:space="0" w:color="auto"/>
            <w:bottom w:val="none" w:sz="0" w:space="0" w:color="auto"/>
            <w:right w:val="none" w:sz="0" w:space="0" w:color="auto"/>
          </w:divBdr>
        </w:div>
      </w:divsChild>
    </w:div>
    <w:div w:id="2023703666">
      <w:bodyDiv w:val="1"/>
      <w:marLeft w:val="0"/>
      <w:marRight w:val="0"/>
      <w:marTop w:val="0"/>
      <w:marBottom w:val="0"/>
      <w:divBdr>
        <w:top w:val="none" w:sz="0" w:space="0" w:color="auto"/>
        <w:left w:val="none" w:sz="0" w:space="0" w:color="auto"/>
        <w:bottom w:val="none" w:sz="0" w:space="0" w:color="auto"/>
        <w:right w:val="none" w:sz="0" w:space="0" w:color="auto"/>
      </w:divBdr>
      <w:divsChild>
        <w:div w:id="175330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Gaber Aboelhamed</dc:creator>
  <cp:keywords/>
  <dc:description/>
  <cp:lastModifiedBy>Moaz Gaber Aboelhamed</cp:lastModifiedBy>
  <cp:revision>2</cp:revision>
  <dcterms:created xsi:type="dcterms:W3CDTF">2025-03-26T21:03:00Z</dcterms:created>
  <dcterms:modified xsi:type="dcterms:W3CDTF">2025-03-26T21:53:00Z</dcterms:modified>
</cp:coreProperties>
</file>