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Automatisation des rapports journaliers de chantier par intelligence artificielle : transcription de notes vocales en darija et extraction structurée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1169200"/>
            <wp:effectExtent b="0" l="0" r="0" t="0"/>
            <wp:docPr descr="" title="" id="10" name="Picture"/>
            <a:graphic>
              <a:graphicData uri="http://schemas.openxmlformats.org/drawingml/2006/picture">
                <pic:pic>
                  <pic:nvPicPr>
                    <pic:cNvPr descr="assets/logo-emsi.png" id="11" name="Picture"/>
                    <pic:cNvPicPr>
                      <a:picLocks noChangeArrowheads="1" noChangeAspect="1"/>
                    </pic:cNvPicPr>
                  </pic:nvPicPr>
                  <pic:blipFill>
                    <a:blip r:embed="rId9"/>
                    <a:stretch>
                      <a:fillRect/>
                    </a:stretch>
                  </pic:blipFill>
                  <pic:spPr bwMode="auto">
                    <a:xfrm>
                      <a:off x="0" y="0"/>
                      <a:ext cx="5334000" cy="1169200"/>
                    </a:xfrm>
                    <a:prstGeom prst="rect">
                      <a:avLst/>
                    </a:prstGeom>
                    <a:noFill/>
                    <a:ln w="9525">
                      <a:noFill/>
                      <a:headEnd/>
                      <a:tailEnd/>
                    </a:ln>
                  </pic:spPr>
                </pic:pic>
              </a:graphicData>
            </a:graphic>
          </wp:inline>
        </w:drawing>
      </w:r>
    </w:p>
    <w:p>
      <w:pPr>
        <w:pStyle w:val="BodyText"/>
      </w:pPr>
      <w:r>
        <w:rPr>
          <w:b/>
          <w:bCs/>
        </w:rPr>
        <w:t xml:space="preserve">ÉCOLE MAROCAINE DES SCIENCES DE L’INGÉNIEUR</w:t>
      </w:r>
    </w:p>
    <w:p>
      <w:pPr>
        <w:pStyle w:val="BodyText"/>
      </w:pPr>
      <w:r>
        <w:t xml:space="preserve">Filière : [À COMPLÉTER — ex. Ingénierie Informatique et Réseaux]</w:t>
      </w:r>
    </w:p>
    <w:p>
      <w:pPr>
        <w:pStyle w:val="BodyText"/>
      </w:pPr>
      <w:r>
        <w:t xml:space="preserve">Rapport de Projet de Fin d’Études pour l’obtention du diplôme d’Ingénieur d’État</w:t>
      </w:r>
    </w:p>
    <w:bookmarkStart w:id="12" w:name="Xe18f39578543303fb6c642e414be2191b37319a"/>
    <w:p>
      <w:pPr>
        <w:pStyle w:val="Heading1"/>
      </w:pPr>
      <w:r>
        <w:t xml:space="preserve">AUTOMATISATION DES RAPPORTS JOURNALIERS DE CHANTIER PAR INTELLIGENCE ARTIFICIELLE : TRANSCRIPTION DE NOTES VOCALES EN DARIJA ET EXTRACTION STRUCTURÉE</w:t>
      </w:r>
    </w:p>
    <w:p>
      <w:pPr>
        <w:pStyle w:val="FirstParagraph"/>
      </w:pPr>
      <w:r>
        <w:t xml:space="preserve">Réalisé par : Yassine [À COMPLÉTER — NOM]</w:t>
      </w:r>
    </w:p>
    <w:p>
      <w:pPr>
        <w:pStyle w:val="BodyText"/>
      </w:pPr>
      <w:r>
        <w:t xml:space="preserve">Encadrant académique : [À COMPLÉTER — NOM ENCADRANT ACADÉMIQUE]</w:t>
      </w:r>
    </w:p>
    <w:p>
      <w:pPr>
        <w:pStyle w:val="BodyText"/>
      </w:pPr>
      <w:r>
        <w:t xml:space="preserve">Encadrant industriel : [À COMPLÉTER — NOM ENCADRANT INDUSTRIEL]</w:t>
      </w:r>
    </w:p>
    <w:p>
      <w:pPr>
        <w:pStyle w:val="BodyText"/>
      </w:pPr>
      <w:r>
        <w:t xml:space="preserve">Entreprise d’accueil : AZNET — Casablanca</w:t>
      </w:r>
    </w:p>
    <w:p>
      <w:pPr>
        <w:pStyle w:val="BodyText"/>
      </w:pPr>
      <w:r>
        <w:t xml:space="preserve">Année universitaire : 2025 / 2026</w:t>
      </w:r>
    </w:p>
    <w:bookmarkEnd w:id="12"/>
    <w:bookmarkStart w:id="13" w:name="remerciements"/>
    <w:p>
      <w:pPr>
        <w:pStyle w:val="Heading1"/>
      </w:pPr>
      <w:r>
        <w:t xml:space="preserve">Remerciements</w:t>
      </w:r>
    </w:p>
    <w:p>
      <w:pPr>
        <w:pStyle w:val="FirstParagraph"/>
      </w:pPr>
      <w:r>
        <w:t xml:space="preserve">Je tiens tout d’abord à exprimer ma gratitude à mon encadrant académique, [À COMPLÉTER — NOM ENCADRANT ACADÉMIQUE], pour son accompagnement, sa disponibilité et ses conseils méthodologiques tout au long de ce projet de fin d’études.</w:t>
      </w:r>
    </w:p>
    <w:p>
      <w:pPr>
        <w:pStyle w:val="BodyText"/>
      </w:pPr>
      <w:r>
        <w:t xml:space="preserve">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pPr>
        <w:pStyle w:val="BodyText"/>
      </w:pPr>
      <w:r>
        <w:t xml:space="preserve">Mes remerciements vont aussi au corps professoral de l’EMSI, dont les enseignements ont constitué le socle technique et scientifique de ce travail.</w:t>
      </w:r>
    </w:p>
    <w:p>
      <w:pPr>
        <w:pStyle w:val="BodyText"/>
      </w:pPr>
      <w:r>
        <w:t xml:space="preserve">Enfin, je remercie ma famille et mes proches pour leur soutien constant durant l’ensemble de mon cursus.</w:t>
      </w:r>
    </w:p>
    <w:bookmarkEnd w:id="13"/>
    <w:bookmarkStart w:id="14" w:name="résumé"/>
    <w:p>
      <w:pPr>
        <w:pStyle w:val="Heading1"/>
      </w:pPr>
      <w:r>
        <w:t xml:space="preserve">Résumé</w:t>
      </w:r>
    </w:p>
    <w:p>
      <w:pPr>
        <w:pStyle w:val="FirstParagraph"/>
      </w:pPr>
      <w:r>
        <w:t xml:space="preserve">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pPr>
        <w:pStyle w:val="BodyText"/>
      </w:pPr>
      <w:r>
        <w:t xml:space="preserve">L’architecture retenue est hybride : une plateforme d’orchestration low-code (n8n, 65 nœuds) assure la réception multicanale et les intégrations, tandis qu’un microservice développé en Python/FastAPI (66 routes, 8 489 lignes) prend en charge la transcription, l’extraction structurée par grands modèles de langage, la reformulation, la tenue du journal, l’ordonnancement des tâches périodiques et le service du tableau de bord. Un tableau de bord React (11 590 lignes) trilingue français/anglais/arabe complète l’ensemble. La méthodologie suivie est une démarche agile de type Scrum allégé.</w:t>
      </w:r>
    </w:p>
    <w:p>
      <w:pPr>
        <w:pStyle w:val="BodyText"/>
      </w:pPr>
      <w:r>
        <w:t xml:space="preserve">Un banc d’essai comparatif de</w:t>
      </w:r>
      <w:r>
        <w:t xml:space="preserve"> </w:t>
      </w:r>
      <w:r>
        <w:rPr>
          <w:b/>
          <w:bCs/>
        </w:rPr>
        <w:t xml:space="preserve">treize</w:t>
      </w:r>
      <w:r>
        <w:t xml:space="preserve"> </w:t>
      </w:r>
      <w:r>
        <w:t xml:space="preserve">moteurs de transcription du darija — trois par API et douze en local sur GPU — a été conduit et a renversé l’hypothèse initiale : le moteur retenu n’est pas le service commercial de référence, mais un modèle open-source affiné sur le darija,</w:t>
      </w:r>
      <w:r>
        <w:t xml:space="preserve"> </w:t>
      </w:r>
      <w:r>
        <w:rPr>
          <w:rStyle w:val="VerbatimChar"/>
        </w:rPr>
        <w:t xml:space="preserve">BounharAbdelaziz/Morocco-Darija-STT-large</w:t>
      </w:r>
      <w:r>
        <w:t xml:space="preserve">, seul à préserver simultanément les quantités numériques et les emprunts techniques français dont dépend l’intégralité du schéma métier. La chaîne complète, de la note vocale à la réponse de confirmation, est opérationnelle depuis la première semaine du projet. [À COMPLÉTER : résultats chiffrés du pilote en conditions réelles]</w:t>
      </w:r>
    </w:p>
    <w:p>
      <w:pPr>
        <w:pStyle w:val="BodyText"/>
      </w:pPr>
      <w:r>
        <w:rPr>
          <w:b/>
          <w:bCs/>
        </w:rPr>
        <w:t xml:space="preserve">Mots-clés :</w:t>
      </w:r>
      <w:r>
        <w:t xml:space="preserve"> </w:t>
      </w:r>
      <w:r>
        <w:t xml:space="preserve">reconnaissance vocale, darija, grands modèles de langage, extraction d’information, automatisation de workflows, langue peu dotée.</w:t>
      </w:r>
    </w:p>
    <w:bookmarkEnd w:id="14"/>
    <w:bookmarkStart w:id="15" w:name="abstract"/>
    <w:p>
      <w:pPr>
        <w:pStyle w:val="Heading1"/>
      </w:pPr>
      <w:r>
        <w:t xml:space="preserve">Abstract</w:t>
      </w:r>
    </w:p>
    <w:p>
      <w:pPr>
        <w:pStyle w:val="FirstParagraph"/>
      </w:pPr>
      <w:r>
        <w:t xml:space="preserve">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pPr>
        <w:pStyle w:val="BodyText"/>
      </w:pPr>
      <w:r>
        <w:t xml:space="preserve">The chosen architecture is hybrid: a low-code orchestration platform (n8n, 65 nodes) handles multi-channel reception and integrations, while a custom Python/FastAPI microservice (66 routes, 8,489 lines) performs transcription, LLM-based structured extraction, rewriting, journal bookkeeping, job scheduling and dashboard serving. A trilingual French/English/Arabic React dashboard (11,590 lines) completes the system. The project follows a lightweight Scrum methodology.</w:t>
      </w:r>
    </w:p>
    <w:p>
      <w:pPr>
        <w:pStyle w:val="BodyText"/>
      </w:pPr>
      <w:r>
        <w:t xml:space="preserve">A comparative benchmark of</w:t>
      </w:r>
      <w:r>
        <w:t xml:space="preserve"> </w:t>
      </w:r>
      <w:r>
        <w:rPr>
          <w:b/>
          <w:bCs/>
        </w:rPr>
        <w:t xml:space="preserve">thirteen</w:t>
      </w:r>
      <w:r>
        <w:t xml:space="preserve"> </w:t>
      </w:r>
      <w:r>
        <w:t xml:space="preserve">Darija speech-to-text engines — three via API and twelve locally on GPU — was carried out and overturned the initial hypothesis: the engine finally selected is not the reference commercial service but an open-source Darija fine-tune,</w:t>
      </w:r>
      <w:r>
        <w:t xml:space="preserve"> </w:t>
      </w:r>
      <w:r>
        <w:rPr>
          <w:rStyle w:val="VerbatimChar"/>
        </w:rPr>
        <w:t xml:space="preserve">BounharAbdelaziz/Morocco-Darija-STT-large</w:t>
      </w:r>
      <w:r>
        <w:t xml:space="preserve">, the only one preserving both numeric quantities and the French technical loanwords on which the entire business schema depends. The full chain, from voice note to confirmation reply, has been operational since the first week of the project. [TO BE COMPLETED: field-pilot figures]</w:t>
      </w:r>
    </w:p>
    <w:p>
      <w:pPr>
        <w:pStyle w:val="BodyText"/>
      </w:pPr>
      <w:r>
        <w:rPr>
          <w:b/>
          <w:bCs/>
        </w:rPr>
        <w:t xml:space="preserve">Keywords:</w:t>
      </w:r>
      <w:r>
        <w:t xml:space="preserve"> </w:t>
      </w:r>
      <w:r>
        <w:t xml:space="preserve">speech recognition, Darija, large language models, information extraction, workflow automation, low-resource language.</w:t>
      </w:r>
    </w:p>
    <w:bookmarkEnd w:id="15"/>
    <w:bookmarkStart w:id="16" w:name="ملخص"/>
    <w:p>
      <w:pPr>
        <w:pStyle w:val="Heading1"/>
      </w:pPr>
      <w:r>
        <w:t xml:space="preserve">ملخص</w:t>
      </w:r>
    </w:p>
    <w:p>
      <w:pPr>
        <w:pStyle w:val="FirstParagraph"/>
      </w:pPr>
      <w:r>
        <w:t xml:space="preserve">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pPr>
        <w:pStyle w:val="BodyText"/>
      </w:pPr>
      <w:r>
        <w:t xml:space="preserve">تعتمد البنية المختارة على مقاربة هجينة: منصة أتمتة منخفضة البرمجة (n8n، 65 عقدة) تتكفل بالاستقبال عبر قناتين وبالتكاملات، بينما تتولى خدمة مصغرة مطوّرة بلغة Python/FastAPI (66 مسارًا، 8489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(11590 سطرًا) بثلاث لغات: الفرنسية والإنجليزية والعربية.</w:t>
      </w:r>
    </w:p>
    <w:p>
      <w:pPr>
        <w:pStyle w:val="BodyText"/>
      </w:pPr>
      <w:r>
        <w:t xml:space="preserve">وقد أُجري اختبار مقارن لـ</w:t>
      </w:r>
      <w:r>
        <w:rPr>
          <w:b/>
          <w:bCs/>
        </w:rPr>
        <w:t xml:space="preserve">ثلاثة عشر</w:t>
      </w:r>
      <w:r>
        <w:t xml:space="preserve"> </w:t>
      </w:r>
      <w:r>
        <w:t xml:space="preserve">محركًا للتعرف على الكلام بالدارجة، ثلاثة عبر واجهات برمجية واثنا عشر محليًا على بطاقة رسومية، فقلب الفرضية الأولية: المحرك المعتمد ليس الخدمة التجارية المرجعية، بل نموذج مفتوح المصدر مُدرَّب على الدارجة،</w:t>
      </w:r>
      <w:r>
        <w:t xml:space="preserve"> </w:t>
      </w:r>
      <w:r>
        <w:rPr>
          <w:rStyle w:val="VerbatimChar"/>
        </w:rPr>
        <w:t xml:space="preserve">BounharAbdelaziz/Morocco-Darija-STT-large</w:t>
      </w:r>
      <w:r>
        <w:t xml:space="preserve">، وهو الوحيد الذي يحافظ في آن واحد على الكميات الرقمية وعلى المصطلحات التقنية الفرنسية المقترضة التي يقوم عليها المخطط المهني بأكمله. والسلسلة الكاملة، من الرسالة الصوتية إلى رد التأكيد، تشتغل منذ الأسبوع الأول للمشروع. [يُستكمل: النتائج الرقمية للتجربة الميدانية]</w:t>
      </w:r>
    </w:p>
    <w:p>
      <w:pPr>
        <w:pStyle w:val="BodyText"/>
      </w:pPr>
      <w:r>
        <w:rPr>
          <w:b/>
          <w:bCs/>
        </w:rPr>
        <w:t xml:space="preserve">الكلمات المفاتيح:</w:t>
      </w:r>
      <w:r>
        <w:t xml:space="preserve"> </w:t>
      </w:r>
      <w:r>
        <w:t xml:space="preserve">التعرف على الكلام، الدارجة، النماذج اللغوية الكبيرة، استخراج المعلومات، أتمتة سير العمل، لغة قليلة الموارد.</w:t>
      </w:r>
    </w:p>
    <w:bookmarkEnd w:id="16"/>
    <w:bookmarkStart w:id="17" w:name="table-des-matières"/>
    <w:p>
      <w:pPr>
        <w:pStyle w:val="Heading1"/>
      </w:pPr>
      <w:r>
        <w:t xml:space="preserve">Table des matières</w:t>
      </w:r>
    </w:p>
    <w:p>
      <w:pPr>
        <w:pStyle w:val="FirstParagraph"/>
      </w:pPr>
      <w:r>
        <w:t xml:space="preserve">Ouvrir dans Word puis appuyer sur F9 pour générer la table des matières.</w:t>
      </w:r>
    </w:p>
    <w:bookmarkEnd w:id="17"/>
    <w:bookmarkStart w:id="18" w:name="liste-des-figures"/>
    <w:p>
      <w:pPr>
        <w:pStyle w:val="Heading1"/>
      </w:pPr>
      <w:r>
        <w:t xml:space="preserve">Liste des figures</w:t>
      </w:r>
    </w:p>
    <w:p>
      <w:pPr>
        <w:pStyle w:val="FirstParagraph"/>
      </w:pPr>
      <w:r>
        <w:t xml:space="preserve">[À GÉNÉRER dans Word : Références → Insérer une table des illustrations, après avoir appliqué des légendes « Figure ».]</w:t>
      </w:r>
    </w:p>
    <w:bookmarkEnd w:id="18"/>
    <w:bookmarkStart w:id="19" w:name="liste-des-tableaux"/>
    <w:p>
      <w:pPr>
        <w:pStyle w:val="Heading1"/>
      </w:pPr>
      <w:r>
        <w:t xml:space="preserve">Liste des tableaux</w:t>
      </w:r>
    </w:p>
    <w:p>
      <w:pPr>
        <w:pStyle w:val="FirstParagraph"/>
      </w:pPr>
      <w:r>
        <w:t xml:space="preserve">[À GÉNÉRER dans Word : Références → Insérer une table des illustrations, catégorie « Tableau ».]</w:t>
      </w:r>
    </w:p>
    <w:bookmarkEnd w:id="19"/>
    <w:bookmarkStart w:id="20" w:name="liste-des-abréviations-et-acronymes"/>
    <w:p>
      <w:pPr>
        <w:pStyle w:val="Heading1"/>
      </w:pPr>
      <w:r>
        <w:t xml:space="preserve">Liste des abréviations et acronymes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Acronyme</w:t>
            </w:r>
          </w:p>
        </w:tc>
        <w:tc>
          <w:tcPr/>
          <w:p>
            <w:pPr>
              <w:pStyle w:val="Compact"/>
            </w:pPr>
            <w:r>
              <w:t xml:space="preserve">Signification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ASR</w:t>
            </w:r>
          </w:p>
        </w:tc>
        <w:tc>
          <w:tcPr/>
          <w:p>
            <w:pPr>
              <w:pStyle w:val="Compact"/>
            </w:pPr>
            <w:r>
              <w:t xml:space="preserve">Automatic Speech Recognition (reconnaissance automatique de la parole)</w:t>
            </w:r>
          </w:p>
        </w:tc>
      </w:tr>
      <w:tr>
        <w:tc>
          <w:tcPr/>
          <w:p>
            <w:pPr>
              <w:pStyle w:val="Compact"/>
            </w:pPr>
            <w:r>
              <w:t xml:space="preserve">CER</w:t>
            </w:r>
          </w:p>
        </w:tc>
        <w:tc>
          <w:tcPr/>
          <w:p>
            <w:pPr>
              <w:pStyle w:val="Compact"/>
            </w:pPr>
            <w:r>
              <w:t xml:space="preserve">Character Error Rate (taux d’erreur caractère)</w:t>
            </w:r>
          </w:p>
        </w:tc>
      </w:tr>
      <w:tr>
        <w:tc>
          <w:tcPr/>
          <w:p>
            <w:pPr>
              <w:pStyle w:val="Compact"/>
            </w:pPr>
            <w:r>
              <w:t xml:space="preserve">CSV</w:t>
            </w:r>
          </w:p>
        </w:tc>
        <w:tc>
          <w:tcPr/>
          <w:p>
            <w:pPr>
              <w:pStyle w:val="Compact"/>
            </w:pPr>
            <w:r>
              <w:t xml:space="preserve">Comma-Separated Values</w:t>
            </w:r>
          </w:p>
        </w:tc>
      </w:tr>
      <w:tr>
        <w:tc>
          <w:tcPr/>
          <w:p>
            <w:pPr>
              <w:pStyle w:val="Compact"/>
            </w:pPr>
            <w:r>
              <w:t xml:space="preserve">CTC</w:t>
            </w:r>
          </w:p>
        </w:tc>
        <w:tc>
          <w:tcPr/>
          <w:p>
            <w:pPr>
              <w:pStyle w:val="Compact"/>
            </w:pPr>
            <w:r>
              <w:t xml:space="preserve">Connectionist Temporal Classification</w:t>
            </w:r>
          </w:p>
        </w:tc>
      </w:tr>
      <w:tr>
        <w:tc>
          <w:tcPr/>
          <w:p>
            <w:pPr>
              <w:pStyle w:val="Compact"/>
            </w:pPr>
            <w:r>
              <w:t xml:space="preserve">E2E</w:t>
            </w:r>
          </w:p>
        </w:tc>
        <w:tc>
          <w:tcPr/>
          <w:p>
            <w:pPr>
              <w:pStyle w:val="Compact"/>
            </w:pPr>
            <w:r>
              <w:t xml:space="preserve">End-to-End (de bout en bout)</w:t>
            </w:r>
          </w:p>
        </w:tc>
      </w:tr>
      <w:tr>
        <w:tc>
          <w:tcPr/>
          <w:p>
            <w:pPr>
              <w:pStyle w:val="Compact"/>
            </w:pPr>
            <w:r>
              <w:t xml:space="preserve">FK</w:t>
            </w:r>
          </w:p>
        </w:tc>
        <w:tc>
          <w:tcPr/>
          <w:p>
            <w:pPr>
              <w:pStyle w:val="Compact"/>
            </w:pPr>
            <w:r>
              <w:t xml:space="preserve">Foreign Key (clé étrangère)</w:t>
            </w:r>
          </w:p>
        </w:tc>
      </w:tr>
      <w:tr>
        <w:tc>
          <w:tcPr/>
          <w:p>
            <w:pPr>
              <w:pStyle w:val="Compact"/>
            </w:pPr>
            <w:r>
              <w:t xml:space="preserve">HTTP</w:t>
            </w:r>
          </w:p>
        </w:tc>
        <w:tc>
          <w:tcPr/>
          <w:p>
            <w:pPr>
              <w:pStyle w:val="Compact"/>
            </w:pPr>
            <w:r>
              <w:t xml:space="preserve">HyperText Transfer Protocol</w:t>
            </w:r>
          </w:p>
        </w:tc>
      </w:tr>
      <w:tr>
        <w:tc>
          <w:tcPr/>
          <w:p>
            <w:pPr>
              <w:pStyle w:val="Compact"/>
            </w:pPr>
            <w:r>
              <w:t xml:space="preserve">IA</w:t>
            </w:r>
          </w:p>
        </w:tc>
        <w:tc>
          <w:tcPr/>
          <w:p>
            <w:pPr>
              <w:pStyle w:val="Compact"/>
            </w:pPr>
            <w:r>
              <w:t xml:space="preserve">Intelligence Artificielle</w:t>
            </w:r>
          </w:p>
        </w:tc>
      </w:tr>
      <w:tr>
        <w:tc>
          <w:tcPr/>
          <w:p>
            <w:pPr>
              <w:pStyle w:val="Compact"/>
            </w:pPr>
            <w:r>
              <w:t xml:space="preserve">JSON</w:t>
            </w:r>
          </w:p>
        </w:tc>
        <w:tc>
          <w:tcPr/>
          <w:p>
            <w:pPr>
              <w:pStyle w:val="Compact"/>
            </w:pPr>
            <w:r>
              <w:t xml:space="preserve">JavaScript Object Notation</w:t>
            </w:r>
          </w:p>
        </w:tc>
      </w:tr>
      <w:tr>
        <w:tc>
          <w:tcPr/>
          <w:p>
            <w:pPr>
              <w:pStyle w:val="Compact"/>
            </w:pPr>
            <w:r>
              <w:t xml:space="preserve">LLM</w:t>
            </w:r>
          </w:p>
        </w:tc>
        <w:tc>
          <w:tcPr/>
          <w:p>
            <w:pPr>
              <w:pStyle w:val="Compact"/>
            </w:pPr>
            <w:r>
              <w:t xml:space="preserve">Large Language Model (grand modèle de langage)</w:t>
            </w:r>
          </w:p>
        </w:tc>
      </w:tr>
      <w:tr>
        <w:tc>
          <w:tcPr/>
          <w:p>
            <w:pPr>
              <w:pStyle w:val="Compact"/>
            </w:pPr>
            <w:r>
              <w:t xml:space="preserve">LoRA</w:t>
            </w:r>
          </w:p>
        </w:tc>
        <w:tc>
          <w:tcPr/>
          <w:p>
            <w:pPr>
              <w:pStyle w:val="Compact"/>
            </w:pPr>
            <w:r>
              <w:t xml:space="preserve">Low-Rank Adaptation (affinage à faible rang)</w:t>
            </w:r>
          </w:p>
        </w:tc>
      </w:tr>
      <w:tr>
        <w:tc>
          <w:tcPr/>
          <w:p>
            <w:pPr>
              <w:pStyle w:val="Compact"/>
            </w:pPr>
            <w:r>
              <w:t xml:space="preserve">MSA</w:t>
            </w:r>
          </w:p>
        </w:tc>
        <w:tc>
          <w:tcPr/>
          <w:p>
            <w:pPr>
              <w:pStyle w:val="Compact"/>
            </w:pPr>
            <w:r>
              <w:t xml:space="preserve">Modern Standard Arabic (arabe standard moderne)</w:t>
            </w:r>
          </w:p>
        </w:tc>
      </w:tr>
      <w:tr>
        <w:tc>
          <w:tcPr/>
          <w:p>
            <w:pPr>
              <w:pStyle w:val="Compact"/>
            </w:pPr>
            <w:r>
              <w:t xml:space="preserve">MVP</w:t>
            </w:r>
          </w:p>
        </w:tc>
        <w:tc>
          <w:tcPr/>
          <w:p>
            <w:pPr>
              <w:pStyle w:val="Compact"/>
            </w:pPr>
            <w:r>
              <w:t xml:space="preserve">Minimum Viable Product (produit minimum viable)</w:t>
            </w:r>
          </w:p>
        </w:tc>
      </w:tr>
      <w:tr>
        <w:tc>
          <w:tcPr/>
          <w:p>
            <w:pPr>
              <w:pStyle w:val="Compact"/>
            </w:pPr>
            <w:r>
              <w:t xml:space="preserve">ORM</w:t>
            </w:r>
          </w:p>
        </w:tc>
        <w:tc>
          <w:tcPr/>
          <w:p>
            <w:pPr>
              <w:pStyle w:val="Compact"/>
            </w:pPr>
            <w:r>
              <w:t xml:space="preserve">Object-Relational Mapping</w:t>
            </w:r>
          </w:p>
        </w:tc>
      </w:tr>
      <w:tr>
        <w:tc>
          <w:tcPr/>
          <w:p>
            <w:pPr>
              <w:pStyle w:val="Compact"/>
            </w:pPr>
            <w:r>
              <w:t xml:space="preserve">PFE</w:t>
            </w:r>
          </w:p>
        </w:tc>
        <w:tc>
          <w:tcPr/>
          <w:p>
            <w:pPr>
              <w:pStyle w:val="Compact"/>
            </w:pPr>
            <w:r>
              <w:t xml:space="preserve">Projet de Fin d’Études</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RTL</w:t>
            </w:r>
          </w:p>
        </w:tc>
        <w:tc>
          <w:tcPr/>
          <w:p>
            <w:pPr>
              <w:pStyle w:val="Compact"/>
            </w:pPr>
            <w:r>
              <w:t xml:space="preserve">Right-To-Left (écriture de droite à gauche)</w:t>
            </w:r>
          </w:p>
        </w:tc>
      </w:tr>
      <w:tr>
        <w:tc>
          <w:tcPr/>
          <w:p>
            <w:pPr>
              <w:pStyle w:val="Compact"/>
            </w:pPr>
            <w:r>
              <w:t xml:space="preserve">SMTP</w:t>
            </w:r>
          </w:p>
        </w:tc>
        <w:tc>
          <w:tcPr/>
          <w:p>
            <w:pPr>
              <w:pStyle w:val="Compact"/>
            </w:pPr>
            <w:r>
              <w:t xml:space="preserve">Simple Mail Transfer Protocol</w:t>
            </w:r>
          </w:p>
        </w:tc>
      </w:tr>
      <w:tr>
        <w:tc>
          <w:tcPr/>
          <w:p>
            <w:pPr>
              <w:pStyle w:val="Compact"/>
            </w:pPr>
            <w:r>
              <w:t xml:space="preserve">SPA</w:t>
            </w:r>
          </w:p>
        </w:tc>
        <w:tc>
          <w:tcPr/>
          <w:p>
            <w:pPr>
              <w:pStyle w:val="Compact"/>
            </w:pPr>
            <w:r>
              <w:t xml:space="preserve">Single Page Application</w:t>
            </w:r>
          </w:p>
        </w:tc>
      </w:tr>
      <w:tr>
        <w:tc>
          <w:tcPr/>
          <w:p>
            <w:pPr>
              <w:pStyle w:val="Compact"/>
            </w:pPr>
            <w:r>
              <w:t xml:space="preserve">STT</w:t>
            </w:r>
          </w:p>
        </w:tc>
        <w:tc>
          <w:tcPr/>
          <w:p>
            <w:pPr>
              <w:pStyle w:val="Compact"/>
            </w:pPr>
            <w:r>
              <w:t xml:space="preserve">Speech-To-Text (transcription de la parole en texte)</w:t>
            </w:r>
          </w:p>
        </w:tc>
      </w:tr>
      <w:tr>
        <w:tc>
          <w:tcPr/>
          <w:p>
            <w:pPr>
              <w:pStyle w:val="Compact"/>
            </w:pPr>
            <w:r>
              <w:t xml:space="preserve">TTL</w:t>
            </w:r>
          </w:p>
        </w:tc>
        <w:tc>
          <w:tcPr/>
          <w:p>
            <w:pPr>
              <w:pStyle w:val="Compact"/>
            </w:pPr>
            <w:r>
              <w:t xml:space="preserve">Time To Live (durée de validité)</w:t>
            </w:r>
          </w:p>
        </w:tc>
      </w:tr>
      <w:tr>
        <w:tc>
          <w:tcPr/>
          <w:p>
            <w:pPr>
              <w:pStyle w:val="Compact"/>
            </w:pPr>
            <w:r>
              <w:t xml:space="preserve">UML</w:t>
            </w:r>
          </w:p>
        </w:tc>
        <w:tc>
          <w:tcPr/>
          <w:p>
            <w:pPr>
              <w:pStyle w:val="Compact"/>
            </w:pPr>
            <w:r>
              <w:t xml:space="preserve">Unified Modeling Language</w:t>
            </w:r>
          </w:p>
        </w:tc>
      </w:tr>
      <w:tr>
        <w:tc>
          <w:tcPr/>
          <w:p>
            <w:pPr>
              <w:pStyle w:val="Compact"/>
            </w:pPr>
            <w:r>
              <w:t xml:space="preserve">VRAM</w:t>
            </w:r>
          </w:p>
        </w:tc>
        <w:tc>
          <w:tcPr/>
          <w:p>
            <w:pPr>
              <w:pStyle w:val="Compact"/>
            </w:pPr>
            <w:r>
              <w:t xml:space="preserve">Video Random Access Memory (mémoire de la carte graphique)</w:t>
            </w:r>
          </w:p>
        </w:tc>
      </w:tr>
      <w:tr>
        <w:tc>
          <w:tcPr/>
          <w:p>
            <w:pPr>
              <w:pStyle w:val="Compact"/>
            </w:pPr>
            <w:r>
              <w:t xml:space="preserve">WABA</w:t>
            </w:r>
          </w:p>
        </w:tc>
        <w:tc>
          <w:tcPr/>
          <w:p>
            <w:pPr>
              <w:pStyle w:val="Compact"/>
            </w:pPr>
            <w:r>
              <w:t xml:space="preserve">WhatsApp Business Account</w:t>
            </w:r>
          </w:p>
        </w:tc>
      </w:tr>
      <w:tr>
        <w:tc>
          <w:tcPr/>
          <w:p>
            <w:pPr>
              <w:pStyle w:val="Compact"/>
            </w:pPr>
            <w:r>
              <w:t xml:space="preserve">WER</w:t>
            </w:r>
          </w:p>
        </w:tc>
        <w:tc>
          <w:tcPr/>
          <w:p>
            <w:pPr>
              <w:pStyle w:val="Compact"/>
            </w:pPr>
            <w:r>
              <w:t xml:space="preserve">Word Error Rate (taux d’erreur mot)</w:t>
            </w:r>
          </w:p>
        </w:tc>
      </w:tr>
    </w:tbl>
    <w:bookmarkEnd w:id="20"/>
    <w:bookmarkStart w:id="21" w:name="introduction-générale"/>
    <w:p>
      <w:pPr>
        <w:pStyle w:val="Heading1"/>
      </w:pPr>
      <w:r>
        <w:t xml:space="preserve">Introduction générale</w:t>
      </w:r>
    </w:p>
    <w:p>
      <w:pPr>
        <w:pStyle w:val="FirstParagraph"/>
      </w:pPr>
      <w:r>
        <w:rPr>
          <w:b/>
          <w:bCs/>
        </w:rPr>
        <w:t xml:space="preserve">Contexte.</w:t>
      </w:r>
      <w:r>
        <w:t xml:space="preserve"> </w:t>
      </w:r>
      <w:r>
        <w:t xml:space="preserve">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pPr>
        <w:pStyle w:val="BodyText"/>
      </w:pPr>
      <w:r>
        <w:rPr>
          <w:b/>
          <w:bCs/>
        </w:rPr>
        <w:t xml:space="preserve">Problématique.</w:t>
      </w:r>
      <w:r>
        <w:t xml:space="preserve"> </w:t>
      </w:r>
      <w:r>
        <w:t xml:space="preserve">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pPr>
        <w:pStyle w:val="BodyText"/>
      </w:pPr>
      <w:r>
        <w:rPr>
          <w:b/>
          <w:bCs/>
        </w:rPr>
        <w:t xml:space="preserve">Objectifs.</w:t>
      </w:r>
      <w:r>
        <w:t xml:space="preserve"> </w:t>
      </w:r>
      <w:r>
        <w:t xml:space="preserve">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pPr>
        <w:pStyle w:val="BodyText"/>
      </w:pPr>
      <w:r>
        <w:rPr>
          <w:b/>
          <w:bCs/>
        </w:rPr>
        <w:t xml:space="preserve">Méthodologie.</w:t>
      </w:r>
      <w:r>
        <w:t xml:space="preserve"> </w:t>
      </w:r>
      <w:r>
        <w:t xml:space="preserve">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pPr>
        <w:pStyle w:val="BodyText"/>
      </w:pPr>
      <w:r>
        <w:rPr>
          <w:b/>
          <w:bCs/>
        </w:rPr>
        <w:t xml:space="preserve">Organisation du rapport.</w:t>
      </w:r>
      <w:r>
        <w:t xml:space="preserve"> </w:t>
      </w:r>
      <w:r>
        <w:t xml:space="preserve">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bookmarkEnd w:id="21"/>
    <w:bookmarkStart w:id="38" w:name="chapitre-1-contexte-général-du-projet"/>
    <w:p>
      <w:pPr>
        <w:pStyle w:val="Heading1"/>
      </w:pPr>
      <w:r>
        <w:t xml:space="preserve">Chapitre 1 : Contexte général du projet</w:t>
      </w:r>
    </w:p>
    <w:bookmarkStart w:id="22" w:name="introduction-du-chapitre"/>
    <w:p>
      <w:pPr>
        <w:pStyle w:val="Heading2"/>
      </w:pPr>
      <w:r>
        <w:t xml:space="preserve">1.1 Introduction du chapitre</w:t>
      </w:r>
    </w:p>
    <w:p>
      <w:pPr>
        <w:pStyle w:val="FirstParagraph"/>
      </w:pPr>
      <w:r>
        <w:t xml:space="preserve">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bookmarkEnd w:id="22"/>
    <w:bookmarkStart w:id="23" w:name="présentation-de-lorganisme-daccueil"/>
    <w:p>
      <w:pPr>
        <w:pStyle w:val="Heading2"/>
      </w:pPr>
      <w:r>
        <w:t xml:space="preserve">1.2 Présentation de l’organisme d’accueil</w:t>
      </w:r>
    </w:p>
    <w:p>
      <w:pPr>
        <w:pStyle w:val="FirstParagraph"/>
      </w:pPr>
      <w:r>
        <w:t xml:space="preserve">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pPr>
        <w:pStyle w:val="BodyText"/>
      </w:pPr>
      <w:r>
        <w:t xml:space="preserve">Les équipes de techniciens interviennent quotidiennement sur plusieurs chantiers simultanés. Le suivi de l’avancement — quantités posées, zones terminées, incidents, besoins en matériel — conditionne directement la facturation, la planification et l’approvisionnement.</w:t>
      </w:r>
    </w:p>
    <w:bookmarkEnd w:id="23"/>
    <w:bookmarkStart w:id="27" w:name="étude-de-lexistant"/>
    <w:p>
      <w:pPr>
        <w:pStyle w:val="Heading2"/>
      </w:pPr>
      <w:r>
        <w:t xml:space="preserve">1.3 Étude de l’existant</w:t>
      </w:r>
    </w:p>
    <w:bookmarkStart w:id="24" w:name="processus-actuel"/>
    <w:p>
      <w:pPr>
        <w:pStyle w:val="Heading3"/>
      </w:pPr>
      <w:r>
        <w:t xml:space="preserve">1.3.1 Processus actuel</w:t>
      </w:r>
    </w:p>
    <w:p>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w:t>
      </w:r>
      <w:r>
        <w:t xml:space="preserve"> </w:t>
      </w:r>
      <w:r>
        <w:rPr>
          <w:i/>
          <w:iCs/>
        </w:rPr>
        <w:t xml:space="preserve">Tableau de Suivi projet</w:t>
      </w:r>
      <w:r>
        <w:t xml:space="preserve">, organisé en un onglet par chantier.</w:t>
      </w:r>
    </w:p>
    <w:bookmarkEnd w:id="24"/>
    <w:bookmarkStart w:id="25" w:name="limites-identifiées"/>
    <w:p>
      <w:pPr>
        <w:pStyle w:val="Heading3"/>
      </w:pPr>
      <w:r>
        <w:t xml:space="preserve">1.3.2 Limites identifiées</w:t>
      </w:r>
    </w:p>
    <w:p>
      <w:pPr>
        <w:pStyle w:val="FirstParagraph"/>
      </w:pPr>
      <w:r>
        <w:t xml:space="preserve">Ce processus présente plusieurs faiblesses structurelles :</w:t>
      </w:r>
    </w:p>
    <w:p>
      <w:pPr>
        <w:pStyle w:val="Compact"/>
        <w:numPr>
          <w:ilvl w:val="0"/>
          <w:numId w:val="1001"/>
        </w:numPr>
      </w:pPr>
      <w:r>
        <w:rPr>
          <w:b/>
          <w:bCs/>
        </w:rPr>
        <w:t xml:space="preserve">Hétérogénéité</w:t>
      </w:r>
      <w:r>
        <w:t xml:space="preserve"> </w:t>
      </w:r>
      <w:r>
        <w:t xml:space="preserve">: chaque technicien rapporte à sa manière ; les quantités sont parfois absentes ou approximatives.</w:t>
      </w:r>
    </w:p>
    <w:p>
      <w:pPr>
        <w:pStyle w:val="Compact"/>
        <w:numPr>
          <w:ilvl w:val="0"/>
          <w:numId w:val="1001"/>
        </w:numPr>
      </w:pPr>
      <w:r>
        <w:rPr>
          <w:b/>
          <w:bCs/>
        </w:rPr>
        <w:t xml:space="preserve">Perte d’information</w:t>
      </w:r>
      <w:r>
        <w:t xml:space="preserve"> </w:t>
      </w:r>
      <w:r>
        <w:t xml:space="preserve">: les messages vocaux dispersés ne sont ni archivés ni centralisés ; l’historique d’un chantier est difficile à reconstituer.</w:t>
      </w:r>
    </w:p>
    <w:p>
      <w:pPr>
        <w:pStyle w:val="Compact"/>
        <w:numPr>
          <w:ilvl w:val="0"/>
          <w:numId w:val="1001"/>
        </w:numPr>
      </w:pPr>
      <w:r>
        <w:rPr>
          <w:b/>
          <w:bCs/>
        </w:rPr>
        <w:t xml:space="preserve">Double saisie</w:t>
      </w:r>
      <w:r>
        <w:t xml:space="preserve"> </w:t>
      </w:r>
      <w:r>
        <w:t xml:space="preserve">: l’encadrement retranscrit manuellement les informations, tâche chronophage et source d’erreurs.</w:t>
      </w:r>
    </w:p>
    <w:p>
      <w:pPr>
        <w:pStyle w:val="Compact"/>
        <w:numPr>
          <w:ilvl w:val="0"/>
          <w:numId w:val="1001"/>
        </w:numPr>
      </w:pPr>
      <w:r>
        <w:rPr>
          <w:b/>
          <w:bCs/>
        </w:rPr>
        <w:t xml:space="preserve">Latence</w:t>
      </w:r>
      <w:r>
        <w:t xml:space="preserve"> </w:t>
      </w:r>
      <w:r>
        <w:t xml:space="preserve">: les responsables ne disposent pas d’une vue consolidée le jour même.</w:t>
      </w:r>
    </w:p>
    <w:p>
      <w:pPr>
        <w:pStyle w:val="Compact"/>
        <w:numPr>
          <w:ilvl w:val="0"/>
          <w:numId w:val="1001"/>
        </w:numPr>
      </w:pPr>
      <w:r>
        <w:rPr>
          <w:b/>
          <w:bCs/>
        </w:rPr>
        <w:t xml:space="preserve">Barrière linguistique de l’écrit</w:t>
      </w:r>
      <w:r>
        <w:t xml:space="preserve"> </w:t>
      </w:r>
      <w:r>
        <w:t xml:space="preserve">: la rédaction d’un rapport écrit en français représente un effort important pour des techniciens dont la langue de travail orale est la darija ; l’oral est le canal naturel.</w:t>
      </w:r>
    </w:p>
    <w:bookmarkEnd w:id="25"/>
    <w:bookmarkStart w:id="26" w:name="Xe8b754e21acbb608b7f9b09048408126d3063b9"/>
    <w:p>
      <w:pPr>
        <w:pStyle w:val="Heading3"/>
      </w:pPr>
      <w:r>
        <w:t xml:space="preserve">1.3.3 Contrainte clé : l’expression orale en darija</w:t>
      </w:r>
    </w:p>
    <w:p>
      <w:pPr>
        <w:pStyle w:val="FirstParagraph"/>
      </w:pPr>
      <w:r>
        <w:t xml:space="preserve">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bookmarkEnd w:id="26"/>
    <w:bookmarkEnd w:id="27"/>
    <w:bookmarkStart w:id="28" w:name="problématique"/>
    <w:p>
      <w:pPr>
        <w:pStyle w:val="Heading2"/>
      </w:pPr>
      <w:r>
        <w:t xml:space="preserve">1.4 Problématique</w:t>
      </w:r>
    </w:p>
    <w:p>
      <w:pPr>
        <w:pStyle w:val="FirstParagraph"/>
      </w:pPr>
      <w:r>
        <w:t xml:space="preserve">La problématique se formule ainsi : comment transformer automatiquement une note vocale spontanée en darija en un rapport journalier structuré, fiable et exploitable, en moins de deux minutes d’effort pour le technicien et sans budget logiciel ?</w:t>
      </w:r>
    </w:p>
    <w:p>
      <w:pPr>
        <w:pStyle w:val="BodyText"/>
      </w:pPr>
      <w:r>
        <w:t xml:space="preserve">Elle se décompose en trois verrous techniques :</w:t>
      </w:r>
    </w:p>
    <w:p>
      <w:pPr>
        <w:pStyle w:val="Compact"/>
        <w:numPr>
          <w:ilvl w:val="0"/>
          <w:numId w:val="1002"/>
        </w:numPr>
      </w:pPr>
      <w:r>
        <w:rPr>
          <w:b/>
          <w:bCs/>
        </w:rPr>
        <w:t xml:space="preserve">Transcription</w:t>
      </w:r>
      <w:r>
        <w:t xml:space="preserve"> </w:t>
      </w:r>
      <w:r>
        <w:t xml:space="preserve">: les moteurs de reconnaissance vocale sont majoritairement entraînés sur l’arabe standard moderne ; le darija est une langue peu dotée, au code-switching arabe/français fréquent.</w:t>
      </w:r>
    </w:p>
    <w:p>
      <w:pPr>
        <w:pStyle w:val="Compact"/>
        <w:numPr>
          <w:ilvl w:val="0"/>
          <w:numId w:val="1002"/>
        </w:numPr>
      </w:pPr>
      <w:r>
        <w:rPr>
          <w:b/>
          <w:bCs/>
        </w:rPr>
        <w:t xml:space="preserve">Structuration</w:t>
      </w:r>
      <w:r>
        <w:t xml:space="preserve"> </w:t>
      </w:r>
      <w:r>
        <w:t xml:space="preserve">: le texte transcrit est du langage libre ; il faut en extraire des champs normalisés — quantités numériques, localisations, observations — sans inventer de données absentes.</w:t>
      </w:r>
    </w:p>
    <w:p>
      <w:pPr>
        <w:pStyle w:val="Compact"/>
        <w:numPr>
          <w:ilvl w:val="0"/>
          <w:numId w:val="1002"/>
        </w:numPr>
      </w:pPr>
      <w:r>
        <w:rPr>
          <w:b/>
          <w:bCs/>
        </w:rPr>
        <w:t xml:space="preserve">Intégration</w:t>
      </w:r>
      <w:r>
        <w:t xml:space="preserve"> </w:t>
      </w:r>
      <w:r>
        <w:t xml:space="preserve">: la chaîne complète (messagerie, téléchargement du média, traitement IA, journal de chantier, notifications) doit fonctionner de bout en bout de manière fiable et gratuite.</w:t>
      </w:r>
    </w:p>
    <w:bookmarkEnd w:id="28"/>
    <w:bookmarkStart w:id="32" w:name="analyse-des-besoins"/>
    <w:p>
      <w:pPr>
        <w:pStyle w:val="Heading2"/>
      </w:pPr>
      <w:r>
        <w:t xml:space="preserve">1.5 Analyse des besoins</w:t>
      </w:r>
    </w:p>
    <w:bookmarkStart w:id="29" w:name="besoins-fonctionnels"/>
    <w:p>
      <w:pPr>
        <w:pStyle w:val="Heading3"/>
      </w:pPr>
      <w:r>
        <w:t xml:space="preserve">1.5.1 Besoins fonctionnels</w:t>
      </w:r>
    </w:p>
    <w:p>
      <w:pPr>
        <w:pStyle w:val="FirstParagraph"/>
      </w:pPr>
      <w:r>
        <w:t xml:space="preserve">Le cahier des charges fourni par l’entreprise (Annexe A) définit les exigences suivantes :</w:t>
      </w:r>
    </w:p>
    <w:p>
      <w:pPr>
        <w:pStyle w:val="Compact"/>
        <w:numPr>
          <w:ilvl w:val="0"/>
          <w:numId w:val="1003"/>
        </w:numPr>
      </w:pPr>
      <w:r>
        <w:rPr>
          <w:b/>
          <w:bCs/>
        </w:rPr>
        <w:t xml:space="preserve">BF1 — Saisie vocale (prioritaire)</w:t>
      </w:r>
      <w:r>
        <w:t xml:space="preserve"> </w:t>
      </w:r>
      <w:r>
        <w:t xml:space="preserve">: le technicien envoie une note vocale en darija via une messagerie instantanée ; aucune autre action ne lui est demandée.</w:t>
      </w:r>
    </w:p>
    <w:p>
      <w:pPr>
        <w:pStyle w:val="Compact"/>
        <w:numPr>
          <w:ilvl w:val="0"/>
          <w:numId w:val="1003"/>
        </w:numPr>
      </w:pPr>
      <w:r>
        <w:rPr>
          <w:b/>
          <w:bCs/>
        </w:rPr>
        <w:t xml:space="preserve">BF2 — Saisie alternative</w:t>
      </w:r>
      <w:r>
        <w:t xml:space="preserve"> </w:t>
      </w:r>
      <w:r>
        <w:t xml:space="preserve">: un second canal alimente le même traitement.</w:t>
      </w:r>
    </w:p>
    <w:p>
      <w:pPr>
        <w:pStyle w:val="Compact"/>
        <w:numPr>
          <w:ilvl w:val="0"/>
          <w:numId w:val="1003"/>
        </w:numPr>
      </w:pPr>
      <w:r>
        <w:rPr>
          <w:b/>
          <w:bCs/>
        </w:rPr>
        <w:t xml:space="preserve">BF3 — Transcription automatique</w:t>
      </w:r>
      <w:r>
        <w:t xml:space="preserve"> </w:t>
      </w:r>
      <w:r>
        <w:t xml:space="preserve">de l’audio en texte, avec prise en charge du darija et du mélange arabe/français.</w:t>
      </w:r>
    </w:p>
    <w:p>
      <w:pPr>
        <w:pStyle w:val="Compact"/>
        <w:numPr>
          <w:ilvl w:val="0"/>
          <w:numId w:val="1003"/>
        </w:numPr>
      </w:pPr>
      <w:r>
        <w:rPr>
          <w:b/>
          <w:bCs/>
        </w:rPr>
        <w:t xml:space="preserve">BF4 — Extraction automatique</w:t>
      </w:r>
      <w:r>
        <w:t xml:space="preserve"> </w:t>
      </w:r>
      <w:r>
        <w:t xml:space="preserve">des travaux réalisés et des quantités.</w:t>
      </w:r>
    </w:p>
    <w:p>
      <w:pPr>
        <w:pStyle w:val="Compact"/>
        <w:numPr>
          <w:ilvl w:val="0"/>
          <w:numId w:val="1003"/>
        </w:numPr>
      </w:pPr>
      <w:r>
        <w:rPr>
          <w:b/>
          <w:bCs/>
        </w:rPr>
        <w:t xml:space="preserve">BF5 — Reformulation</w:t>
      </w:r>
      <w:r>
        <w:t xml:space="preserve"> </w:t>
      </w:r>
      <w:r>
        <w:t xml:space="preserve">du rapport en français professionnel.</w:t>
      </w:r>
    </w:p>
    <w:p>
      <w:pPr>
        <w:pStyle w:val="Compact"/>
        <w:numPr>
          <w:ilvl w:val="0"/>
          <w:numId w:val="1003"/>
        </w:numPr>
      </w:pPr>
      <w:r>
        <w:rPr>
          <w:b/>
          <w:bCs/>
        </w:rPr>
        <w:t xml:space="preserve">BF6 — Enregistrement</w:t>
      </w:r>
      <w:r>
        <w:t xml:space="preserve"> </w:t>
      </w:r>
      <w:r>
        <w:t xml:space="preserve">de chaque rapport dans un tableau de suivi Google Sheets structuré.</w:t>
      </w:r>
    </w:p>
    <w:p>
      <w:pPr>
        <w:pStyle w:val="Compact"/>
        <w:numPr>
          <w:ilvl w:val="0"/>
          <w:numId w:val="1003"/>
        </w:numPr>
      </w:pPr>
      <w:r>
        <w:rPr>
          <w:b/>
          <w:bCs/>
        </w:rPr>
        <w:t xml:space="preserve">BF7 — Notification automatique</w:t>
      </w:r>
      <w:r>
        <w:t xml:space="preserve"> </w:t>
      </w:r>
      <w:r>
        <w:t xml:space="preserve">du chef de chantier et du responsable technique.</w:t>
      </w:r>
    </w:p>
    <w:p>
      <w:pPr>
        <w:pStyle w:val="Compact"/>
        <w:numPr>
          <w:ilvl w:val="0"/>
          <w:numId w:val="1003"/>
        </w:numPr>
      </w:pPr>
      <w:r>
        <w:rPr>
          <w:b/>
          <w:bCs/>
        </w:rPr>
        <w:t xml:space="preserve">BF8 — Confirmation</w:t>
      </w:r>
      <w:r>
        <w:t xml:space="preserve"> </w:t>
      </w:r>
      <w:r>
        <w:t xml:space="preserve">au technicien que son rapport a bien été traité.</w:t>
      </w:r>
    </w:p>
    <w:bookmarkEnd w:id="29"/>
    <w:bookmarkStart w:id="30" w:name="besoins-non-fonctionnels"/>
    <w:p>
      <w:pPr>
        <w:pStyle w:val="Heading3"/>
      </w:pPr>
      <w:r>
        <w:t xml:space="preserve">1.5.2 Besoins non fonctionnels</w:t>
      </w:r>
    </w:p>
    <w:p>
      <w:pPr>
        <w:pStyle w:val="Compact"/>
        <w:numPr>
          <w:ilvl w:val="0"/>
          <w:numId w:val="1004"/>
        </w:numPr>
      </w:pPr>
      <w:r>
        <w:rPr>
          <w:b/>
          <w:bCs/>
        </w:rPr>
        <w:t xml:space="preserve">BNF1 — Simplicité d’usage</w:t>
      </w:r>
      <w:r>
        <w:t xml:space="preserve"> </w:t>
      </w:r>
      <w:r>
        <w:t xml:space="preserve">: temps de soumission inférieur à deux minutes.</w:t>
      </w:r>
    </w:p>
    <w:p>
      <w:pPr>
        <w:pStyle w:val="Compact"/>
        <w:numPr>
          <w:ilvl w:val="0"/>
          <w:numId w:val="1004"/>
        </w:numPr>
      </w:pPr>
      <w:r>
        <w:rPr>
          <w:b/>
          <w:bCs/>
        </w:rPr>
        <w:t xml:space="preserve">BNF2 — Coût nul</w:t>
      </w:r>
      <w:r>
        <w:t xml:space="preserve"> </w:t>
      </w:r>
      <w:r>
        <w:t xml:space="preserve">: uniquement des offres gratuites ; volumétrie faible (5 à 10 rapports/jour) compatible avec les quotas gratuits.</w:t>
      </w:r>
    </w:p>
    <w:p>
      <w:pPr>
        <w:pStyle w:val="Compact"/>
        <w:numPr>
          <w:ilvl w:val="0"/>
          <w:numId w:val="1004"/>
        </w:numPr>
      </w:pPr>
      <w:r>
        <w:rPr>
          <w:b/>
          <w:bCs/>
        </w:rPr>
        <w:t xml:space="preserve">BNF3 — Fiabilité</w:t>
      </w:r>
      <w:r>
        <w:t xml:space="preserve"> </w:t>
      </w:r>
      <w:r>
        <w:t xml:space="preserve">: aucune donnée inventée — tout champ absent de l’audio doit rester vide ; les transcriptions douteuses doivent être signalées plutôt que silencieusement acceptées.</w:t>
      </w:r>
    </w:p>
    <w:p>
      <w:pPr>
        <w:pStyle w:val="Compact"/>
        <w:numPr>
          <w:ilvl w:val="0"/>
          <w:numId w:val="1004"/>
        </w:numPr>
      </w:pPr>
      <w:r>
        <w:rPr>
          <w:b/>
          <w:bCs/>
        </w:rPr>
        <w:t xml:space="preserve">BNF4 — Latence</w:t>
      </w:r>
      <w:r>
        <w:t xml:space="preserve"> </w:t>
      </w:r>
      <w:r>
        <w:t xml:space="preserve">: traitement de bout en bout visé sous 60 secondes.</w:t>
      </w:r>
    </w:p>
    <w:p>
      <w:pPr>
        <w:pStyle w:val="Compact"/>
        <w:numPr>
          <w:ilvl w:val="0"/>
          <w:numId w:val="1004"/>
        </w:numPr>
      </w:pPr>
      <w:r>
        <w:rPr>
          <w:b/>
          <w:bCs/>
        </w:rPr>
        <w:t xml:space="preserve">BNF5 — Évolutivité</w:t>
      </w:r>
      <w:r>
        <w:t xml:space="preserve"> </w:t>
      </w:r>
      <w:r>
        <w:t xml:space="preserve">: moteurs d’IA interchangeables ; migration possible vers une base de données.</w:t>
      </w:r>
    </w:p>
    <w:p>
      <w:pPr>
        <w:pStyle w:val="Compact"/>
        <w:numPr>
          <w:ilvl w:val="0"/>
          <w:numId w:val="1004"/>
        </w:numPr>
      </w:pPr>
      <w:r>
        <w:rPr>
          <w:b/>
          <w:bCs/>
        </w:rPr>
        <w:t xml:space="preserve">BNF6 — Sécurité</w:t>
      </w:r>
      <w:r>
        <w:t xml:space="preserve"> </w:t>
      </w:r>
      <w:r>
        <w:t xml:space="preserve">: secrets hors du code source ; validation stricte des entrées.</w:t>
      </w:r>
    </w:p>
    <w:bookmarkEnd w:id="30"/>
    <w:bookmarkStart w:id="31" w:name="priorisation-moscow"/>
    <w:p>
      <w:pPr>
        <w:pStyle w:val="Heading3"/>
      </w:pPr>
      <w:r>
        <w:t xml:space="preserve">1.5.3 Priorisation MoSCoW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Priorité</w:t>
            </w:r>
          </w:p>
        </w:tc>
        <w:tc>
          <w:tcPr/>
          <w:p>
            <w:pPr>
              <w:pStyle w:val="Compact"/>
            </w:pPr>
            <w:r>
              <w:t xml:space="preserve">Périmètre</w:t>
            </w:r>
          </w:p>
        </w:tc>
      </w:tr>
      <w:tr>
        <w:tc>
          <w:tcPr/>
          <w:p>
            <w:pPr>
              <w:pStyle w:val="Compact"/>
            </w:pPr>
            <w:r>
              <w:rPr>
                <w:b/>
                <w:bCs/>
              </w:rPr>
              <w:t xml:space="preserve">Must</w:t>
            </w:r>
          </w:p>
        </w:tc>
        <w:tc>
          <w:tcPr/>
          <w:p>
            <w:pPr>
              <w:pStyle w:val="Compact"/>
            </w:pPr>
            <w:r>
              <w:t xml:space="preserve">Chaîne vocale complète (réception → transcription → extraction → résumé français → Sheets → notification) ; documentation d’installation ; guide utilisateur</w:t>
            </w:r>
          </w:p>
        </w:tc>
      </w:tr>
      <w:tr>
        <w:tc>
          <w:tcPr/>
          <w:p>
            <w:pPr>
              <w:pStyle w:val="Compact"/>
            </w:pPr>
            <w:r>
              <w:rPr>
                <w:b/>
                <w:bCs/>
              </w:rPr>
              <w:t xml:space="preserve">Should</w:t>
            </w:r>
          </w:p>
        </w:tc>
        <w:tc>
          <w:tcPr/>
          <w:p>
            <w:pPr>
              <w:pStyle w:val="Compact"/>
            </w:pPr>
            <w:r>
              <w:t xml:space="preserve">Tableau de bord de consultation ; chapitre de benchmark STT ; réponse de confirmation au technicien ; signalement des transcriptions douteuses</w:t>
            </w:r>
          </w:p>
        </w:tc>
      </w:tr>
      <w:tr>
        <w:tc>
          <w:tcPr/>
          <w:p>
            <w:pPr>
              <w:pStyle w:val="Compact"/>
            </w:pPr>
            <w:r>
              <w:rPr>
                <w:b/>
                <w:bCs/>
              </w:rPr>
              <w:t xml:space="preserve">Could</w:t>
            </w:r>
          </w:p>
        </w:tc>
        <w:tc>
          <w:tcPr/>
          <w:p>
            <w:pPr>
              <w:pStyle w:val="Compact"/>
            </w:pPr>
            <w:r>
              <w:t xml:space="preserve">Second canal de réception ; deuxième vague de benchmark sur enregistrements réels ; document de migration base de données</w:t>
            </w:r>
          </w:p>
        </w:tc>
      </w:tr>
      <w:tr>
        <w:tc>
          <w:tcPr/>
          <w:p>
            <w:pPr>
              <w:pStyle w:val="Compact"/>
            </w:pPr>
            <w:r>
              <w:rPr>
                <w:b/>
                <w:bCs/>
              </w:rPr>
              <w:t xml:space="preserve">Won’t (ce PFE)</w:t>
            </w:r>
          </w:p>
        </w:tc>
        <w:tc>
          <w:tcPr/>
          <w:p>
            <w:pPr>
              <w:pStyle w:val="Compact"/>
            </w:pPr>
            <w:r>
              <w:t xml:space="preserve">Application de bureau ; multi-entreprises</w:t>
            </w:r>
          </w:p>
        </w:tc>
      </w:tr>
    </w:tbl>
    <w:p>
      <w:pPr>
        <w:pStyle w:val="BodyText"/>
      </w:pPr>
      <w:r>
        <w:rPr>
          <w:b/>
          <w:bCs/>
        </w:rPr>
        <w:t xml:space="preserve">Tableau 1.1 :</w:t>
      </w:r>
      <w:r>
        <w:t xml:space="preserve"> </w:t>
      </w:r>
      <w:r>
        <w:t xml:space="preserve">Priorisation MoSCoW du périmètre fonctionnel.</w:t>
      </w:r>
    </w:p>
    <w:p>
      <w:pPr>
        <w:pStyle w:val="BodyText"/>
      </w:pPr>
      <w:r>
        <w:t xml:space="preserve">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bookmarkEnd w:id="31"/>
    <w:bookmarkEnd w:id="32"/>
    <w:bookmarkStart w:id="36" w:name="conduite-du-projet"/>
    <w:p>
      <w:pPr>
        <w:pStyle w:val="Heading2"/>
      </w:pPr>
      <w:r>
        <w:t xml:space="preserve">1.6 Conduite du projet</w:t>
      </w:r>
    </w:p>
    <w:bookmarkStart w:id="33" w:name="méthodologie-scrum-allégé"/>
    <w:p>
      <w:pPr>
        <w:pStyle w:val="Heading3"/>
      </w:pPr>
      <w:r>
        <w:t xml:space="preserve">1.6.1 Méthodologie : Scrum allégé</w:t>
      </w:r>
    </w:p>
    <w:p>
      <w:pPr>
        <w:pStyle w:val="FirstParagraph"/>
      </w:pPr>
      <w:r>
        <w:t xml:space="preserve">Le projet étant mené par un développeur unique avec un encadrant industriel jouant le rôle de</w:t>
      </w:r>
      <w:r>
        <w:t xml:space="preserve"> </w:t>
      </w:r>
      <w:r>
        <w:rPr>
          <w:i/>
          <w:iCs/>
        </w:rPr>
        <w:t xml:space="preserve">product owner</w:t>
      </w:r>
      <w:r>
        <w:t xml:space="preserve">,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pPr>
        <w:pStyle w:val="BodyText"/>
      </w:pPr>
      <w:r>
        <w:t xml:space="preserve">Le dépôt Git compte</w:t>
      </w:r>
      <w:r>
        <w:t xml:space="preserve"> </w:t>
      </w:r>
      <w:r>
        <w:rPr>
          <w:b/>
          <w:bCs/>
        </w:rPr>
        <w:t xml:space="preserve">207 commits</w:t>
      </w:r>
      <w:r>
        <w:t xml:space="preserve"> </w:t>
      </w:r>
      <w:r>
        <w:t xml:space="preserve">entre le 15 juillet 2026 (</w:t>
      </w:r>
      <w:r>
        <w:rPr>
          <w:rStyle w:val="VerbatimChar"/>
        </w:rPr>
        <w:t xml:space="preserve">feat: week 0 scaffold</w:t>
      </w:r>
      <w:r>
        <w:t xml:space="preserve">) et la date de rédaction, en convention</w:t>
      </w:r>
      <w:r>
        <w:t xml:space="preserve"> </w:t>
      </w:r>
      <w:r>
        <w:rPr>
          <w:i/>
          <w:iCs/>
        </w:rPr>
        <w:t xml:space="preserve">Conventional Commits</w:t>
      </w:r>
      <w:r>
        <w:t xml:space="preserve">, ce qui fournit une trace fine et vérifiable de l’avancement.</w:t>
      </w:r>
    </w:p>
    <w:bookmarkEnd w:id="33"/>
    <w:bookmarkStart w:id="34" w:name="planification"/>
    <w:p>
      <w:pPr>
        <w:pStyle w:val="Heading3"/>
      </w:pPr>
      <w:r>
        <w:t xml:space="preserve">1.6.2 Planification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Période</w:t>
            </w:r>
          </w:p>
        </w:tc>
        <w:tc>
          <w:tcPr/>
          <w:p>
            <w:pPr>
              <w:pStyle w:val="Compact"/>
            </w:pPr>
            <w:r>
              <w:t xml:space="preserve">Objectifs principaux</w:t>
            </w:r>
          </w:p>
        </w:tc>
      </w:tr>
      <w:tr>
        <w:tc>
          <w:tcPr/>
          <w:p>
            <w:pPr>
              <w:pStyle w:val="Compact"/>
            </w:pPr>
            <w:r>
              <w:t xml:space="preserve">Semaine 0 — Cadrage et neutralisation des risques</w:t>
            </w:r>
          </w:p>
        </w:tc>
        <w:tc>
          <w:tcPr/>
          <w:p>
            <w:pPr>
              <w:pStyle w:val="Compact"/>
            </w:pPr>
            <w:r>
              <w:t xml:space="preserve">15 – 19 juillet</w:t>
            </w:r>
          </w:p>
        </w:tc>
        <w:tc>
          <w:tcPr/>
          <w:p>
            <w:pPr>
              <w:pStyle w:val="Compact"/>
            </w:pPr>
            <w:r>
              <w:t xml:space="preserve">Création des comptes, squelette du dépôt, test de bout en bout du maillon le plus risqué, constitution du jeu de test</w:t>
            </w:r>
          </w:p>
        </w:tc>
      </w:tr>
      <w:tr>
        <w:tc>
          <w:tcPr/>
          <w:p>
            <w:pPr>
              <w:pStyle w:val="Compact"/>
            </w:pPr>
            <w:r>
              <w:t xml:space="preserve">Sprint 1 — Cœur IA et benchmark</w:t>
            </w:r>
          </w:p>
        </w:tc>
        <w:tc>
          <w:tcPr/>
          <w:p>
            <w:pPr>
              <w:pStyle w:val="Compact"/>
            </w:pPr>
            <w:r>
              <w:t xml:space="preserve">20 juillet – 1er août</w:t>
            </w:r>
          </w:p>
        </w:tc>
        <w:tc>
          <w:tcPr/>
          <w:p>
            <w:pPr>
              <w:pStyle w:val="Compact"/>
            </w:pPr>
            <w:r>
              <w:t xml:space="preserve">Service FastAPI, interface d’adaptateurs STT, banc d’essai comparatif, extraction structurée et tests unitaires</w:t>
            </w:r>
          </w:p>
        </w:tc>
      </w:tr>
      <w:tr>
        <w:tc>
          <w:tcPr/>
          <w:p>
            <w:pPr>
              <w:pStyle w:val="Compact"/>
            </w:pPr>
            <w:r>
              <w:t xml:space="preserve">Sprint 2 — Chaîne complète et application Web</w:t>
            </w:r>
          </w:p>
        </w:tc>
        <w:tc>
          <w:tcPr/>
          <w:p>
            <w:pPr>
              <w:pStyle w:val="Compact"/>
            </w:pPr>
            <w:r>
              <w:t xml:space="preserve">3 – 14 août</w:t>
            </w:r>
          </w:p>
        </w:tc>
        <w:tc>
          <w:tcPr/>
          <w:p>
            <w:pPr>
              <w:pStyle w:val="Compact"/>
            </w:pPr>
            <w:r>
              <w:t xml:space="preserve">Workflow n8n complet, observabilité PostgreSQL, tableau de bord, gestion des cas d’échec</w:t>
            </w:r>
          </w:p>
        </w:tc>
      </w:tr>
      <w:tr>
        <w:tc>
          <w:tcPr/>
          <w:p>
            <w:pPr>
              <w:pStyle w:val="Compact"/>
            </w:pPr>
            <w:r>
              <w:t xml:space="preserve">Sprint 3 — Pilote, documentation, rapport</w:t>
            </w:r>
          </w:p>
        </w:tc>
        <w:tc>
          <w:tcPr/>
          <w:p>
            <w:pPr>
              <w:pStyle w:val="Compact"/>
            </w:pPr>
            <w:r>
              <w:t xml:space="preserve">17 – 28 août</w:t>
            </w:r>
          </w:p>
        </w:tc>
        <w:tc>
          <w:tcPr/>
          <w:p>
            <w:pPr>
              <w:pStyle w:val="Compact"/>
            </w:pPr>
            <w:r>
              <w:t xml:space="preserve">Déploiement pilote, livrables documentaires, rédaction finale, présentation</w:t>
            </w:r>
          </w:p>
        </w:tc>
      </w:tr>
      <w:tr>
        <w:tc>
          <w:tcPr/>
          <w:p>
            <w:pPr>
              <w:pStyle w:val="Compact"/>
            </w:pPr>
            <w:r>
              <w:t xml:space="preserve">Tampon</w:t>
            </w:r>
          </w:p>
        </w:tc>
        <w:tc>
          <w:tcPr/>
          <w:p>
            <w:pPr>
              <w:pStyle w:val="Compact"/>
            </w:pPr>
            <w:r>
              <w:t xml:space="preserve">28 – 31 août</w:t>
            </w:r>
          </w:p>
        </w:tc>
        <w:tc>
          <w:tcPr/>
          <w:p>
            <w:pPr>
              <w:pStyle w:val="Compact"/>
            </w:pPr>
            <w:r>
              <w:t xml:space="preserve">Finitions, répétition de la soutenance</w:t>
            </w:r>
          </w:p>
        </w:tc>
      </w:tr>
    </w:tbl>
    <w:p>
      <w:pPr>
        <w:pStyle w:val="BodyText"/>
      </w:pPr>
      <w:r>
        <w:rPr>
          <w:b/>
          <w:bCs/>
        </w:rPr>
        <w:t xml:space="preserve">Tableau 1.2 :</w:t>
      </w:r>
      <w:r>
        <w:t xml:space="preserve"> </w:t>
      </w:r>
      <w:r>
        <w:t xml:space="preserve">Planning prévisionnel du projet.</w:t>
      </w:r>
    </w:p>
    <w:bookmarkEnd w:id="34"/>
    <w:bookmarkStart w:id="35" w:name="gestion-des-risques"/>
    <w:p>
      <w:pPr>
        <w:pStyle w:val="Heading3"/>
      </w:pPr>
      <w:r>
        <w:t xml:space="preserve">1.6.3 Gestion des risques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Risque</w:t>
            </w:r>
          </w:p>
        </w:tc>
        <w:tc>
          <w:tcPr/>
          <w:p>
            <w:pPr>
              <w:pStyle w:val="Compact"/>
            </w:pPr>
            <w:r>
              <w:t xml:space="preserve">Impact</w:t>
            </w:r>
          </w:p>
        </w:tc>
        <w:tc>
          <w:tcPr/>
          <w:p>
            <w:pPr>
              <w:pStyle w:val="Compact"/>
            </w:pPr>
            <w:r>
              <w:t xml:space="preserve">Mitigation</w:t>
            </w:r>
          </w:p>
        </w:tc>
      </w:tr>
      <w:tr>
        <w:tc>
          <w:tcPr/>
          <w:p>
            <w:pPr>
              <w:pStyle w:val="Compact"/>
            </w:pPr>
            <w:r>
              <w:t xml:space="preserve">Taux d’erreur de transcription du darija trop élevé sur tous les moteurs</w:t>
            </w:r>
          </w:p>
        </w:tc>
        <w:tc>
          <w:tcPr/>
          <w:p>
            <w:pPr>
              <w:pStyle w:val="Compact"/>
            </w:pPr>
            <w:r>
              <w:t xml:space="preserve">Fort</w:t>
            </w:r>
          </w:p>
        </w:tc>
        <w:tc>
          <w:tcPr/>
          <w:p>
            <w:pPr>
              <w:pStyle w:val="Compact"/>
            </w:pPr>
            <w:r>
              <w:t xml:space="preserve">Banc d’essai sur 13 moteurs ; le modèle de langage corrige le bruit grâce au vocabulaire métier ; confirmation du résumé au technicien</w:t>
            </w:r>
          </w:p>
        </w:tc>
      </w:tr>
      <w:tr>
        <w:tc>
          <w:tcPr/>
          <w:p>
            <w:pPr>
              <w:pStyle w:val="Compact"/>
            </w:pPr>
            <w:r>
              <w:t xml:space="preserve">Friction d’accès au canal de réception (politique de la plateforme)</w:t>
            </w:r>
          </w:p>
        </w:tc>
        <w:tc>
          <w:tcPr/>
          <w:p>
            <w:pPr>
              <w:pStyle w:val="Compact"/>
            </w:pPr>
            <w:r>
              <w:t xml:space="preserve">Fort</w:t>
            </w:r>
          </w:p>
        </w:tc>
        <w:tc>
          <w:tcPr/>
          <w:p>
            <w:pPr>
              <w:pStyle w:val="Compact"/>
            </w:pPr>
            <w:r>
              <w:t xml:space="preserve">Conception indépendante du canal ; Telegram d’abord, WhatsApp ensuite une fois les contraintes Meta levées</w:t>
            </w:r>
          </w:p>
        </w:tc>
      </w:tr>
      <w:tr>
        <w:tc>
          <w:tcPr/>
          <w:p>
            <w:pPr>
              <w:pStyle w:val="Compact"/>
            </w:pPr>
            <w:r>
              <w:t xml:space="preserve">Quotas des offres gratuites</w:t>
            </w:r>
          </w:p>
        </w:tc>
        <w:tc>
          <w:tcPr/>
          <w:p>
            <w:pPr>
              <w:pStyle w:val="Compact"/>
            </w:pPr>
            <w:r>
              <w:t xml:space="preserve">Moyen</w:t>
            </w:r>
          </w:p>
        </w:tc>
        <w:tc>
          <w:tcPr/>
          <w:p>
            <w:pPr>
              <w:pStyle w:val="Compact"/>
            </w:pPr>
            <w:r>
              <w:t xml:space="preserve">Volumétrie très faible ; chaîne de repli alternant les fournisseurs, qui mesurent leurs quotas séparément ; moteur local sur GPU en dernier recours</w:t>
            </w:r>
          </w:p>
        </w:tc>
      </w:tr>
      <w:tr>
        <w:tc>
          <w:tcPr/>
          <w:p>
            <w:pPr>
              <w:pStyle w:val="Compact"/>
            </w:pPr>
            <w:r>
              <w:t xml:space="preserve">Panne d’un service externe (Google Sheets, fournisseur LLM)</w:t>
            </w:r>
          </w:p>
        </w:tc>
        <w:tc>
          <w:tcPr/>
          <w:p>
            <w:pPr>
              <w:pStyle w:val="Compact"/>
            </w:pPr>
            <w:r>
              <w:t xml:space="preserve">Moyen</w:t>
            </w:r>
          </w:p>
        </w:tc>
        <w:tc>
          <w:tcPr/>
          <w:p>
            <w:pPr>
              <w:pStyle w:val="Compact"/>
            </w:pPr>
            <w:r>
              <w:t xml:space="preserve">File de reprise persistante en base ; journal d’événements en PostgreSQL, délibérément hors du Sheet</w:t>
            </w:r>
          </w:p>
        </w:tc>
      </w:tr>
      <w:tr>
        <w:tc>
          <w:tcPr/>
          <w:p>
            <w:pPr>
              <w:pStyle w:val="Compact"/>
            </w:pPr>
            <w:r>
              <w:t xml:space="preserve">Glissement de planning (développeur seul)</w:t>
            </w:r>
          </w:p>
        </w:tc>
        <w:tc>
          <w:tcPr/>
          <w:p>
            <w:pPr>
              <w:pStyle w:val="Compact"/>
            </w:pPr>
            <w:r>
              <w:t xml:space="preserve">Moyen</w:t>
            </w:r>
          </w:p>
        </w:tc>
        <w:tc>
          <w:tcPr/>
          <w:p>
            <w:pPr>
              <w:pStyle w:val="Compact"/>
            </w:pPr>
            <w:r>
              <w:t xml:space="preserve">Ordre de coupe explicite ; le cœur du périmètre</w:t>
            </w:r>
            <w:r>
              <w:t xml:space="preserve"> </w:t>
            </w:r>
            <w:r>
              <w:rPr>
                <w:i/>
                <w:iCs/>
              </w:rPr>
              <w:t xml:space="preserve">Must</w:t>
            </w:r>
            <w:r>
              <w:t xml:space="preserve"> </w:t>
            </w:r>
            <w:r>
              <w:t xml:space="preserve">est protégé</w:t>
            </w:r>
          </w:p>
        </w:tc>
      </w:tr>
    </w:tbl>
    <w:p>
      <w:pPr>
        <w:pStyle w:val="BodyText"/>
      </w:pPr>
      <w:r>
        <w:rPr>
          <w:b/>
          <w:bCs/>
        </w:rPr>
        <w:t xml:space="preserve">Tableau 1.3 :</w:t>
      </w:r>
      <w:r>
        <w:t xml:space="preserve"> </w:t>
      </w:r>
      <w:r>
        <w:t xml:space="preserve">Registre des risques principaux.</w:t>
      </w:r>
    </w:p>
    <w:bookmarkEnd w:id="35"/>
    <w:bookmarkEnd w:id="36"/>
    <w:bookmarkStart w:id="37" w:name="conclusion-du-chapitre"/>
    <w:p>
      <w:pPr>
        <w:pStyle w:val="Heading2"/>
      </w:pPr>
      <w:r>
        <w:t xml:space="preserve">1.7 Conclusion du chapitre</w:t>
      </w:r>
    </w:p>
    <w:p>
      <w:pPr>
        <w:pStyle w:val="FirstParagraph"/>
      </w:pPr>
      <w:r>
        <w:t xml:space="preserve">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bookmarkEnd w:id="37"/>
    <w:bookmarkEnd w:id="38"/>
    <w:bookmarkStart w:id="54" w:name="Xa3be871949d6d48f66a4ff8424f6350a01ded69"/>
    <w:p>
      <w:pPr>
        <w:pStyle w:val="Heading1"/>
      </w:pPr>
      <w:r>
        <w:t xml:space="preserve">Chapitre 2 : État de l’art et étude technique</w:t>
      </w:r>
    </w:p>
    <w:bookmarkStart w:id="39" w:name="introduction-du-chapitre-1"/>
    <w:p>
      <w:pPr>
        <w:pStyle w:val="Heading2"/>
      </w:pPr>
      <w:r>
        <w:t xml:space="preserve">2.1 Introduction du chapitre</w:t>
      </w:r>
    </w:p>
    <w:p>
      <w:pPr>
        <w:pStyle w:val="FirstParagraph"/>
      </w:pPr>
      <w:r>
        <w:t xml:space="preserve">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bookmarkEnd w:id="39"/>
    <w:bookmarkStart w:id="45" w:name="Xb0a003010259059e889bb8133d8de16559e7686"/>
    <w:p>
      <w:pPr>
        <w:pStyle w:val="Heading2"/>
      </w:pPr>
      <w:r>
        <w:t xml:space="preserve">2.2 Reconnaissance vocale de l’arabe dialectal</w:t>
      </w:r>
    </w:p>
    <w:bookmarkStart w:id="40" w:name="le-darija-une-langue-peu-dotée"/>
    <w:p>
      <w:pPr>
        <w:pStyle w:val="Heading3"/>
      </w:pPr>
      <w:r>
        <w:t xml:space="preserve">2.2.1 Le darija, une langue peu dotée</w:t>
      </w:r>
    </w:p>
    <w:p>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w:t>
      </w:r>
      <w:r>
        <w:t xml:space="preserve"> </w:t>
      </w:r>
      <w:r>
        <w:rPr>
          <w:i/>
          <w:iCs/>
        </w:rPr>
        <w:t xml:space="preserve">low-resource</w:t>
      </w:r>
      <w:r>
        <w:t xml:space="preserve">, pour lesquelles les données annotées sont rares [1].</w:t>
      </w:r>
    </w:p>
    <w:p>
      <w:pPr>
        <w:pStyle w:val="BodyText"/>
      </w:pPr>
      <w:r>
        <w:t xml:space="preserve">Une conséquence pratique, centrale pour ce projet, mérite d’être posée dès maintenant : l’écriture du darija n’est pas normalisée. Un même énoncé peut être transcrit en caractères arabes ou en caractères latins (</w:t>
      </w:r>
      <w:r>
        <w:rPr>
          <w:i/>
          <w:iCs/>
        </w:rPr>
        <w:t xml:space="preserve">arabizi</w:t>
      </w:r>
      <w:r>
        <w:t xml:space="preserve">), et les chiffres peuvent apparaître en chiffres arabes, en chiffres indo-arabes ou en toutes lettres (</w:t>
      </w:r>
      <w:r>
        <w:rPr>
          <w:rStyle w:val="VerbatimChar"/>
        </w:rPr>
        <w:t xml:space="preserve">ربعين</w:t>
      </w:r>
      <w:r>
        <w:t xml:space="preserve"> </w:t>
      </w:r>
      <w:r>
        <w:t xml:space="preserve">pour 40). Cette variabilité rend le WER, qui compare des chaînes de mots, particulièrement peu représentatif de la valeur métier réelle — point sur lequel le chapitre 4 revient longuement.</w:t>
      </w:r>
    </w:p>
    <w:bookmarkEnd w:id="40"/>
    <w:bookmarkStart w:id="41" w:name="les-modèles-de-bout-en-bout-whisper"/>
    <w:p>
      <w:pPr>
        <w:pStyle w:val="Heading3"/>
      </w:pPr>
      <w:r>
        <w:t xml:space="preserve">2.2.2 Les modèles de bout en bout : Whisper</w:t>
      </w:r>
    </w:p>
    <w:p>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w:t>
      </w:r>
      <w:r>
        <w:t xml:space="preserve"> </w:t>
      </w:r>
      <w:r>
        <w:rPr>
          <w:rStyle w:val="VerbatimChar"/>
        </w:rPr>
        <w:t xml:space="preserve">large-v3</w:t>
      </w:r>
      <w:r>
        <w:t xml:space="preserve"> </w:t>
      </w:r>
      <w:r>
        <w:t xml:space="preserve">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pPr>
        <w:pStyle w:val="BodyText"/>
      </w:pPr>
      <w:r>
        <w:t xml:space="preserve">Whisper est accessible gratuitement à travers plusieurs fournisseurs d’inférence ; Groq propose une API à très faible latence exposant</w:t>
      </w:r>
      <w:r>
        <w:t xml:space="preserve"> </w:t>
      </w:r>
      <w:r>
        <w:rPr>
          <w:rStyle w:val="VerbatimChar"/>
        </w:rPr>
        <w:t xml:space="preserve">whisper-large-v3</w:t>
      </w:r>
      <w:r>
        <w:t xml:space="preserve"> </w:t>
      </w:r>
      <w:r>
        <w:t xml:space="preserve">avec une offre gratuite adaptée à une volumétrie de prototype [2].</w:t>
      </w:r>
    </w:p>
    <w:bookmarkEnd w:id="41"/>
    <w:bookmarkStart w:id="42" w:name="Xe8bc13c3a6bbb65cf28001f2d13fae710e77e0d"/>
    <w:p>
      <w:pPr>
        <w:pStyle w:val="Heading3"/>
      </w:pPr>
      <w:r>
        <w:t xml:space="preserve">2.2.3 L’architecture concurrente : wav2vec2 et la classification temporelle connexionniste</w:t>
      </w:r>
    </w:p>
    <w:p>
      <w:pPr>
        <w:pStyle w:val="FirstParagraph"/>
      </w:pPr>
      <w:r>
        <w:t xml:space="preserve">Une seconde famille d’architectures a été retenue pour le banc d’essai : wav2vec2, modèle auto-supervisé suivi d’une tête CTC (</w:t>
      </w:r>
      <w:r>
        <w:rPr>
          <w:i/>
          <w:iCs/>
        </w:rPr>
        <w:t xml:space="preserve">Connectionist Temporal Classification</w:t>
      </w:r>
      <w:r>
        <w:t xml:space="preserve">). Contrairement à Whisper, qui est un modèle génératif encodeur-décodeur, wav2vec2-CTC émet une distribution par trame acoustique sans modèle de langage interne. Deux conséquences pour ce projet :</w:t>
      </w:r>
    </w:p>
    <w:p>
      <w:pPr>
        <w:pStyle w:val="Compact"/>
        <w:numPr>
          <w:ilvl w:val="0"/>
          <w:numId w:val="1005"/>
        </w:numPr>
      </w:pPr>
      <w:r>
        <w:rPr>
          <w:b/>
          <w:bCs/>
        </w:rPr>
        <w:t xml:space="preserve">Il ne peut pas boucler.</w:t>
      </w:r>
      <w:r>
        <w:t xml:space="preserve"> </w:t>
      </w:r>
      <w:r>
        <w:t xml:space="preserve">Les répétitions dégénérées observées sur les modèles génératifs (§4) sont structurellement impossibles en CTC.</w:t>
      </w:r>
    </w:p>
    <w:p>
      <w:pPr>
        <w:pStyle w:val="Compact"/>
        <w:numPr>
          <w:ilvl w:val="0"/>
          <w:numId w:val="1005"/>
        </w:numPr>
      </w:pPr>
      <w:r>
        <w:rPr>
          <w:b/>
          <w:bCs/>
        </w:rPr>
        <w:t xml:space="preserve">Sa mesure de confiance n’est pas comparable à celle de Whisper.</w:t>
      </w:r>
      <w:r>
        <w:t xml:space="preserve"> </w:t>
      </w:r>
      <w:r>
        <w:t xml:space="preserve">La confiance CTC est une moyenne de</w:t>
      </w:r>
      <w:r>
        <w:t xml:space="preserve"> </w:t>
      </w:r>
      <w:r>
        <w:rPr>
          <w:i/>
          <w:iCs/>
        </w:rPr>
        <w:t xml:space="preserve">softmax</w:t>
      </w:r>
      <w:r>
        <w:t xml:space="preserve"> </w:t>
      </w:r>
      <w:r>
        <w:t xml:space="preserve">sur les trames émises ; celle de Whisper est</w:t>
      </w:r>
      <w:r>
        <w:t xml:space="preserve"> </w:t>
      </w:r>
      <w:r>
        <w:rPr>
          <w:rStyle w:val="VerbatimChar"/>
        </w:rPr>
        <w:t xml:space="preserve">exp(mean token logprob)</w:t>
      </w:r>
      <w:r>
        <w:t xml:space="preserve">. Les deux vivent dans l’intervalle [0, 1] et mesurent des quantités différentes. Ce piège s’est matérialisé lors du benchmark et est analysé au chapitre 4.</w:t>
      </w:r>
    </w:p>
    <w:bookmarkEnd w:id="42"/>
    <w:bookmarkStart w:id="43" w:name="modèles-affinés-sur-le-darija"/>
    <w:p>
      <w:pPr>
        <w:pStyle w:val="Heading3"/>
      </w:pPr>
      <w:r>
        <w:t xml:space="preserve">2.2.4 Modèles affinés sur le darija</w:t>
      </w:r>
    </w:p>
    <w:p>
      <w:pPr>
        <w:pStyle w:val="FirstParagraph"/>
      </w:pPr>
      <w:r>
        <w:t xml:space="preserve">La communauté Hugging Face publie des affinages (</w:t>
      </w:r>
      <w:r>
        <w:rPr>
          <w:i/>
          <w:iCs/>
        </w:rPr>
        <w:t xml:space="preserve">fine-tunes</w:t>
      </w:r>
      <w:r>
        <w:t xml:space="preserve">)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bookmarkEnd w:id="43"/>
    <w:bookmarkStart w:id="44" w:name="métriques-dévaluation"/>
    <w:p>
      <w:pPr>
        <w:pStyle w:val="Heading3"/>
      </w:pPr>
      <w:r>
        <w:t xml:space="preserve">2.2.5 Métriques d’évaluation</w:t>
      </w:r>
    </w:p>
    <w:p>
      <w:pPr>
        <w:pStyle w:val="FirstParagraph"/>
      </w:pPr>
      <w:r>
        <w:t xml:space="preserve">La qualité de transcription se mesure classiquement par le</w:t>
      </w:r>
      <w:r>
        <w:t xml:space="preserve"> </w:t>
      </w:r>
      <w:r>
        <w:rPr>
          <w:b/>
          <w:bCs/>
        </w:rPr>
        <w:t xml:space="preserve">WER</w:t>
      </w:r>
      <w:r>
        <w:t xml:space="preserve"> </w:t>
      </w:r>
      <w:r>
        <w:t xml:space="preserve">(</w:t>
      </w:r>
      <w:r>
        <w:rPr>
          <w:i/>
          <w:iCs/>
        </w:rPr>
        <w:t xml:space="preserve">Word Error Rate</w:t>
      </w:r>
      <w:r>
        <w:t xml:space="preserve">), proportion de mots insérés, supprimés ou substitués par rapport à une transcription de référence, et par le</w:t>
      </w:r>
      <w:r>
        <w:t xml:space="preserve"> </w:t>
      </w:r>
      <w:r>
        <w:rPr>
          <w:b/>
          <w:bCs/>
        </w:rPr>
        <w:t xml:space="preserve">CER</w:t>
      </w:r>
      <w:r>
        <w:t xml:space="preserve"> </w:t>
      </w:r>
      <w:r>
        <w:t xml:space="preserve">(</w:t>
      </w:r>
      <w:r>
        <w:rPr>
          <w:i/>
          <w:iCs/>
        </w:rPr>
        <w:t xml:space="preserve">Character Error Rate</w:t>
      </w:r>
      <w:r>
        <w:t xml:space="preserve">), plus tolérant aux variations orthographiques.</w:t>
      </w:r>
    </w:p>
    <w:p>
      <w:pPr>
        <w:pStyle w:val="BodyText"/>
      </w:pPr>
      <w:r>
        <w:t xml:space="preserve">Ce projet a délibérément retenu une</w:t>
      </w:r>
      <w:r>
        <w:t xml:space="preserve"> </w:t>
      </w:r>
      <w:r>
        <w:rPr>
          <w:b/>
          <w:bCs/>
        </w:rPr>
        <w:t xml:space="preserve">métrique applicative</w:t>
      </w:r>
      <w:r>
        <w:t xml:space="preserve"> </w:t>
      </w:r>
      <w:r>
        <w:t xml:space="preserve">à la place : la préservation des champs métier — quantités numériques et emprunts techniques français. La justification est développée en §4.5.3, mais son principe tient en une phrase : le tableau de suivi ne consomme ni des mots ni des caractères, il consomme des nombres et des noms de lieux ; un moteur qui écrit</w:t>
      </w:r>
      <w:r>
        <w:t xml:space="preserve"> </w:t>
      </w:r>
      <w:r>
        <w:rPr>
          <w:rStyle w:val="VerbatimChar"/>
        </w:rPr>
        <w:t xml:space="preserve">ربعين</w:t>
      </w:r>
      <w:r>
        <w:t xml:space="preserve"> </w:t>
      </w:r>
      <w:r>
        <w:t xml:space="preserve">là où la référence dit « 40 » est pénalisé par le WER alors qu’il fournit exactement l’information dont le système a besoin, et un moteur qui écrit une phrase fluide en perdant la quantité est récompensé par le WER alors qu’il produit une ligne vide dans le journal.</w:t>
      </w:r>
    </w:p>
    <w:bookmarkEnd w:id="44"/>
    <w:bookmarkEnd w:id="45"/>
    <w:bookmarkStart w:id="49" w:name="Xb9a2307ab007d14c8ee8dfda3fae9d84ea631d0"/>
    <w:p>
      <w:pPr>
        <w:pStyle w:val="Heading2"/>
      </w:pPr>
      <w:r>
        <w:t xml:space="preserve">2.3 Extraction d’information structurée par grands modèles de langage</w:t>
      </w:r>
    </w:p>
    <w:bookmarkStart w:id="46" w:name="de-lextraction-classique-aux-llm"/>
    <w:p>
      <w:pPr>
        <w:pStyle w:val="Heading3"/>
      </w:pPr>
      <w:r>
        <w:t xml:space="preserve">2.3.1 De l’extraction classique aux LLM</w:t>
      </w:r>
    </w:p>
    <w:p>
      <w:pPr>
        <w:pStyle w:val="FirstParagraph"/>
      </w:pPr>
      <w:r>
        <w:t xml:space="preserve">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bookmarkEnd w:id="46"/>
    <w:bookmarkStart w:id="47" w:name="sorties-structurées-et-fiabilité"/>
    <w:p>
      <w:pPr>
        <w:pStyle w:val="Heading3"/>
      </w:pPr>
      <w:r>
        <w:t xml:space="preserve">2.3.2 Sorties structurées et fiabilité</w:t>
      </w:r>
    </w:p>
    <w:p>
      <w:pPr>
        <w:pStyle w:val="FirstParagraph"/>
      </w:pPr>
      <w:r>
        <w:t xml:space="preserve">Le risque principal des LLM est l’hallucination : produire une donnée plausible mais absente de la source. Deux mécanismes le contiennent :</w:t>
      </w:r>
    </w:p>
    <w:p>
      <w:pPr>
        <w:pStyle w:val="Compact"/>
        <w:numPr>
          <w:ilvl w:val="0"/>
          <w:numId w:val="1006"/>
        </w:numPr>
      </w:pPr>
      <w:r>
        <w:rPr>
          <w:b/>
          <w:bCs/>
        </w:rPr>
        <w:t xml:space="preserve">La sortie structurée contrainte</w:t>
      </w:r>
      <w:r>
        <w:t xml:space="preserve"> </w:t>
      </w:r>
      <w:r>
        <w:t xml:space="preserve">: les API récentes permettent d’imposer un schéma JSON au modèle (</w:t>
      </w:r>
      <w:r>
        <w:rPr>
          <w:i/>
          <w:iCs/>
        </w:rPr>
        <w:t xml:space="preserve">structured output</w:t>
      </w:r>
      <w:r>
        <w:t xml:space="preserve"> </w:t>
      </w:r>
      <w:r>
        <w:t xml:space="preserve">de Gemini [3], mode JSON de Groq [2]), garantissant la forme de la réponse.</w:t>
      </w:r>
    </w:p>
    <w:p>
      <w:pPr>
        <w:pStyle w:val="Compact"/>
        <w:numPr>
          <w:ilvl w:val="0"/>
          <w:numId w:val="1006"/>
        </w:numPr>
      </w:pPr>
      <w:r>
        <w:rPr>
          <w:b/>
          <w:bCs/>
        </w:rPr>
        <w:t xml:space="preserve">La validation applicative</w:t>
      </w:r>
      <w:r>
        <w:t xml:space="preserve"> </w:t>
      </w:r>
      <w:r>
        <w:t xml:space="preserve">: côté service, chaque réponse est validée par un schéma Pydantic strict (types, bornes, énumérations) ; l’instruction impose la valeur nulle pour tout champ non mentionné, et la politique du projet interdit toute valeur inventée par défaut.</w:t>
      </w:r>
    </w:p>
    <w:p>
      <w:pPr>
        <w:pStyle w:val="FirstParagraph"/>
      </w:pPr>
      <w:r>
        <w:t xml:space="preserve">Ce projet ajoute un troisième mécanisme, propre à son domaine et décrit au chapitre 3 : une valeur de localisation non reconnue</w:t>
      </w:r>
      <w:r>
        <w:t xml:space="preserve"> </w:t>
      </w:r>
      <w:r>
        <w:rPr>
          <w:b/>
          <w:bCs/>
        </w:rPr>
        <w:t xml:space="preserve">lève une erreur</w:t>
      </w:r>
      <w:r>
        <w:t xml:space="preserve"> </w:t>
      </w:r>
      <w:r>
        <w:t xml:space="preserve">au lieu d’être ignorée, afin que la chaîne de repli réessaie plutôt que d’écrire un étage inventé.</w:t>
      </w:r>
    </w:p>
    <w:bookmarkEnd w:id="47"/>
    <w:bookmarkStart w:id="48" w:name="modèles-candidats"/>
    <w:p>
      <w:pPr>
        <w:pStyle w:val="Heading3"/>
      </w:pPr>
      <w:r>
        <w:t xml:space="preserve">2.3.3 Modèles candidats</w:t>
      </w:r>
    </w:p>
    <w:p>
      <w:pPr>
        <w:pStyle w:val="FirstParagraph"/>
      </w:pPr>
      <w:r>
        <w:t xml:space="preserve">Sous contrainte d’offre gratuite, deux fournisseurs se distinguent :</w:t>
      </w:r>
      <w:r>
        <w:t xml:space="preserve"> </w:t>
      </w:r>
      <w:r>
        <w:rPr>
          <w:b/>
          <w:bCs/>
        </w:rPr>
        <w:t xml:space="preserve">Gemini</w:t>
      </w:r>
      <w:r>
        <w:t xml:space="preserve"> </w:t>
      </w:r>
      <w:r>
        <w:t xml:space="preserve">(Google AI Studio), doté d’une sortie structurée native et d’une forte qualité rédactionnelle en français pour la reformulation, et</w:t>
      </w:r>
      <w:r>
        <w:t xml:space="preserve"> </w:t>
      </w:r>
      <w:r>
        <w:rPr>
          <w:b/>
          <w:bCs/>
        </w:rPr>
        <w:t xml:space="preserve">Groq</w:t>
      </w:r>
      <w:r>
        <w:t xml:space="preserve">, qui sert des modèles ouverts en mode JSON avec une latence très faible. Plutôt que d’en choisir un seul, le projet les organise en</w:t>
      </w:r>
      <w:r>
        <w:t xml:space="preserve"> </w:t>
      </w:r>
      <w:r>
        <w:rPr>
          <w:b/>
          <w:bCs/>
        </w:rPr>
        <w:t xml:space="preserve">chaîne de repli</w:t>
      </w:r>
      <w:r>
        <w:t xml:space="preserve"> </w:t>
      </w:r>
      <w:r>
        <w:t xml:space="preserve">alternant délibérément les fournisseurs — Gemini et Groq mesurant leurs quotas gratuits séparément, l’alternance double la capacité effective — la défaillance de tous étant remontée comme une erreur explicite plutôt que masquée.</w:t>
      </w:r>
    </w:p>
    <w:bookmarkEnd w:id="48"/>
    <w:bookmarkEnd w:id="49"/>
    <w:bookmarkStart w:id="50" w:name="plateformes-dorchestration"/>
    <w:p>
      <w:pPr>
        <w:pStyle w:val="Heading2"/>
      </w:pPr>
      <w:r>
        <w:t xml:space="preserve">2.4 Plateformes d’orchestration</w:t>
      </w:r>
    </w:p>
    <w:p>
      <w:pPr>
        <w:pStyle w:val="FirstParagraph"/>
      </w:pPr>
      <w:r>
        <w:t xml:space="preserve">Le cahier des charges recommande n8n comme outil d’automatisation. L’étude comparative confirme ce choix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Critère</w:t>
            </w:r>
          </w:p>
        </w:tc>
        <w:tc>
          <w:tcPr/>
          <w:p>
            <w:pPr>
              <w:pStyle w:val="Compact"/>
            </w:pPr>
            <w:r>
              <w:t xml:space="preserve">n8n</w:t>
            </w:r>
          </w:p>
        </w:tc>
        <w:tc>
          <w:tcPr/>
          <w:p>
            <w:pPr>
              <w:pStyle w:val="Compact"/>
            </w:pPr>
            <w:r>
              <w:t xml:space="preserve">Zapier / Make</w:t>
            </w:r>
          </w:p>
        </w:tc>
        <w:tc>
          <w:tcPr/>
          <w:p>
            <w:pPr>
              <w:pStyle w:val="Compact"/>
            </w:pPr>
            <w:r>
              <w:t xml:space="preserve">Code sur mesure</w:t>
            </w:r>
          </w:p>
        </w:tc>
      </w:tr>
      <w:tr>
        <w:tc>
          <w:tcPr/>
          <w:p>
            <w:pPr>
              <w:pStyle w:val="Compact"/>
            </w:pPr>
            <w:r>
              <w:t xml:space="preserve">Coût</w:t>
            </w:r>
          </w:p>
        </w:tc>
        <w:tc>
          <w:tcPr/>
          <w:p>
            <w:pPr>
              <w:pStyle w:val="Compact"/>
            </w:pPr>
            <w:r>
              <w:t xml:space="preserve">Gratuit (auto-hébergé, licence fair-code)</w:t>
            </w:r>
          </w:p>
        </w:tc>
        <w:tc>
          <w:tcPr/>
          <w:p>
            <w:pPr>
              <w:pStyle w:val="Compact"/>
            </w:pPr>
            <w:r>
              <w:t xml:space="preserve">Quotas gratuits restrictifs</w:t>
            </w:r>
          </w:p>
        </w:tc>
        <w:tc>
          <w:tcPr/>
          <w:p>
            <w:pPr>
              <w:pStyle w:val="Compact"/>
            </w:pPr>
            <w:r>
              <w:t xml:space="preserve">Gratuit</w:t>
            </w:r>
          </w:p>
        </w:tc>
      </w:tr>
      <w:tr>
        <w:tc>
          <w:tcPr/>
          <w:p>
            <w:pPr>
              <w:pStyle w:val="Compact"/>
            </w:pPr>
            <w:r>
              <w:t xml:space="preserve">Hébergement</w:t>
            </w:r>
          </w:p>
        </w:tc>
        <w:tc>
          <w:tcPr/>
          <w:p>
            <w:pPr>
              <w:pStyle w:val="Compact"/>
            </w:pPr>
            <w:r>
              <w:t xml:space="preserve">Docker local ou serveur</w:t>
            </w:r>
          </w:p>
        </w:tc>
        <w:tc>
          <w:tcPr/>
          <w:p>
            <w:pPr>
              <w:pStyle w:val="Compact"/>
            </w:pPr>
            <w:r>
              <w:t xml:space="preserve">SaaS uniquement</w:t>
            </w:r>
          </w:p>
        </w:tc>
        <w:tc>
          <w:tcPr/>
          <w:p>
            <w:pPr>
              <w:pStyle w:val="Compact"/>
            </w:pPr>
            <w:r>
              <w:t xml:space="preserve">Au choix</w:t>
            </w:r>
          </w:p>
        </w:tc>
      </w:tr>
      <w:tr>
        <w:tc>
          <w:tcPr/>
          <w:p>
            <w:pPr>
              <w:pStyle w:val="Compact"/>
            </w:pPr>
            <w:r>
              <w:t xml:space="preserve">Intégrations (messageries, Sheets, e-mail)</w:t>
            </w:r>
          </w:p>
        </w:tc>
        <w:tc>
          <w:tcPr/>
          <w:p>
            <w:pPr>
              <w:pStyle w:val="Compact"/>
            </w:pPr>
            <w:r>
              <w:t xml:space="preserve">Natives</w:t>
            </w:r>
          </w:p>
        </w:tc>
        <w:tc>
          <w:tcPr/>
          <w:p>
            <w:pPr>
              <w:pStyle w:val="Compact"/>
            </w:pPr>
            <w:r>
              <w:t xml:space="preserve">Natives</w:t>
            </w:r>
          </w:p>
        </w:tc>
        <w:tc>
          <w:tcPr/>
          <w:p>
            <w:pPr>
              <w:pStyle w:val="Compact"/>
            </w:pPr>
            <w:r>
              <w:t xml:space="preserve">À développer</w:t>
            </w:r>
          </w:p>
        </w:tc>
      </w:tr>
      <w:tr>
        <w:tc>
          <w:tcPr/>
          <w:p>
            <w:pPr>
              <w:pStyle w:val="Compact"/>
            </w:pPr>
            <w:r>
              <w:t xml:space="preserve">Logique personnalisée</w:t>
            </w:r>
          </w:p>
        </w:tc>
        <w:tc>
          <w:tcPr/>
          <w:p>
            <w:pPr>
              <w:pStyle w:val="Compact"/>
            </w:pPr>
            <w:r>
              <w:t xml:space="preserve">Nœuds de code JavaScript</w:t>
            </w:r>
          </w:p>
        </w:tc>
        <w:tc>
          <w:tcPr/>
          <w:p>
            <w:pPr>
              <w:pStyle w:val="Compact"/>
            </w:pPr>
            <w:r>
              <w:t xml:space="preserve">Limitée</w:t>
            </w:r>
          </w:p>
        </w:tc>
        <w:tc>
          <w:tcPr/>
          <w:p>
            <w:pPr>
              <w:pStyle w:val="Compact"/>
            </w:pPr>
            <w:r>
              <w:t xml:space="preserve">Totale</w:t>
            </w:r>
          </w:p>
        </w:tc>
      </w:tr>
      <w:tr>
        <w:tc>
          <w:tcPr/>
          <w:p>
            <w:pPr>
              <w:pStyle w:val="Compact"/>
            </w:pPr>
            <w:r>
              <w:t xml:space="preserve">Valeur pédagogique / maintenance</w:t>
            </w:r>
          </w:p>
        </w:tc>
        <w:tc>
          <w:tcPr/>
          <w:p>
            <w:pPr>
              <w:pStyle w:val="Compact"/>
            </w:pPr>
            <w:r>
              <w:t xml:space="preserve">Workflows visuels documentables</w:t>
            </w:r>
          </w:p>
        </w:tc>
        <w:tc>
          <w:tcPr/>
          <w:p>
            <w:pPr>
              <w:pStyle w:val="Compact"/>
            </w:pPr>
            <w:r>
              <w:t xml:space="preserve">Boîte noire</w:t>
            </w:r>
          </w:p>
        </w:tc>
        <w:tc>
          <w:tcPr/>
          <w:p>
            <w:pPr>
              <w:pStyle w:val="Compact"/>
            </w:pPr>
            <w:r>
              <w:t xml:space="preserve">Coût de maintenance élevé</w:t>
            </w:r>
          </w:p>
        </w:tc>
      </w:tr>
    </w:tbl>
    <w:p>
      <w:pPr>
        <w:pStyle w:val="BodyText"/>
      </w:pPr>
      <w:r>
        <w:rPr>
          <w:b/>
          <w:bCs/>
        </w:rPr>
        <w:t xml:space="preserve">Tableau 2.1 :</w:t>
      </w:r>
      <w:r>
        <w:t xml:space="preserve"> </w:t>
      </w:r>
      <w:r>
        <w:t xml:space="preserve">Comparaison des solutions d’orchestration.</w:t>
      </w:r>
    </w:p>
    <w:p>
      <w:pPr>
        <w:pStyle w:val="BodyText"/>
      </w:pPr>
      <w:r>
        <w:t xml:space="preserve">n8n auto-hébergé en Docker combine gratuité, intégrations prêtes à l’emploi et possibilité d’insérer du code JavaScript. Le choix architectural du projet — détaillé au chapitre 3 — est toutefois</w:t>
      </w:r>
      <w:r>
        <w:t xml:space="preserve"> </w:t>
      </w:r>
      <w:r>
        <w:rPr>
          <w:b/>
          <w:bCs/>
        </w:rPr>
        <w:t xml:space="preserve">hybride</w:t>
      </w:r>
      <w:r>
        <w:t xml:space="preserve"> </w:t>
      </w:r>
      <w:r>
        <w:t xml:space="preserve">: n8n orchestre les intégrations, mais le cœur métier est un microservice codé sur mesure, testable et versionné.</w:t>
      </w:r>
    </w:p>
    <w:p>
      <w:pPr>
        <w:pStyle w:val="BodyText"/>
      </w:pPr>
      <w:r>
        <w:t xml:space="preserve">Le chapitre 4 documente la limite pratique qui a fixé la frontière entre les deux : une logique qui exige un</w:t>
      </w:r>
      <w:r>
        <w:t xml:space="preserve"> </w:t>
      </w:r>
      <w:r>
        <w:rPr>
          <w:i/>
          <w:iCs/>
        </w:rPr>
        <w:t xml:space="preserve">read-modify-write</w:t>
      </w:r>
      <w:r>
        <w:t xml:space="preserve"> </w:t>
      </w:r>
      <w:r>
        <w:t xml:space="preserve">— lire la ligne du jour, y fusionner de nouvelles quantités, réconcilier un stock — n’est pas exprimable dans un nœud conditionnel. C’est cette contrainte, et non une préférence esthétique, qui a fait migrer l’écriture du journal de n8n vers le service Python.</w:t>
      </w:r>
    </w:p>
    <w:bookmarkEnd w:id="50"/>
    <w:bookmarkStart w:id="51" w:name="canal-de-réception-étude-comparative"/>
    <w:p>
      <w:pPr>
        <w:pStyle w:val="Heading2"/>
      </w:pPr>
      <w:r>
        <w:t xml:space="preserve">2.5 Canal de réception : étude comparative</w:t>
      </w:r>
    </w:p>
    <w:p>
      <w:pPr>
        <w:pStyle w:val="FirstParagraph"/>
      </w:pPr>
      <w:r>
        <w:t xml:space="preserve">Le cahier des charges cite WhatsApp Business API « ou passerelle équivalente ». L’étude pratique des deux principaux candidats a structuré le calendrier du projet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WhatsApp Cloud API (Meta)</w:t>
            </w:r>
          </w:p>
        </w:tc>
        <w:tc>
          <w:tcPr/>
          <w:p>
            <w:pPr>
              <w:pStyle w:val="Compact"/>
            </w:pPr>
            <w:r>
              <w:t xml:space="preserve">Telegram Bot API</w:t>
            </w:r>
          </w:p>
        </w:tc>
      </w:tr>
      <w:tr>
        <w:tc>
          <w:tcPr/>
          <w:p>
            <w:pPr>
              <w:pStyle w:val="Compact"/>
            </w:pPr>
            <w:r>
              <w:t xml:space="preserve">Processus d’accès</w:t>
            </w:r>
          </w:p>
        </w:tc>
        <w:tc>
          <w:tcPr/>
          <w:p>
            <w:pPr>
              <w:pStyle w:val="Compact"/>
            </w:pPr>
            <w:r>
              <w:t xml:space="preserve">Compte développeur Meta, application publiée, validation d’entreprise</w:t>
            </w:r>
          </w:p>
        </w:tc>
        <w:tc>
          <w:tcPr/>
          <w:p>
            <w:pPr>
              <w:pStyle w:val="Compact"/>
            </w:pPr>
            <w:r>
              <w:t xml:space="preserve">Création d’un bot en une minute (BotFather)</w:t>
            </w:r>
          </w:p>
        </w:tc>
      </w:tr>
      <w:tr>
        <w:tc>
          <w:tcPr/>
          <w:p>
            <w:pPr>
              <w:pStyle w:val="Compact"/>
            </w:pPr>
            <w:r>
              <w:t xml:space="preserve">Jeton d’accès</w:t>
            </w:r>
          </w:p>
        </w:tc>
        <w:tc>
          <w:tcPr/>
          <w:p>
            <w:pPr>
              <w:pStyle w:val="Compact"/>
            </w:pPr>
            <w:r>
              <w:t xml:space="preserve">Expire toutes les 24 h en mode test ; permanent via un</w:t>
            </w:r>
            <w:r>
              <w:t xml:space="preserve"> </w:t>
            </w:r>
            <w:r>
              <w:rPr>
                <w:i/>
                <w:iCs/>
              </w:rPr>
              <w:t xml:space="preserve">System User</w:t>
            </w:r>
          </w:p>
        </w:tc>
        <w:tc>
          <w:tcPr/>
          <w:p>
            <w:pPr>
              <w:pStyle w:val="Compact"/>
            </w:pPr>
            <w:r>
              <w:t xml:space="preserve">Permanent</w:t>
            </w:r>
          </w:p>
        </w:tc>
      </w:tr>
      <w:tr>
        <w:tc>
          <w:tcPr/>
          <w:p>
            <w:pPr>
              <w:pStyle w:val="Compact"/>
            </w:pPr>
            <w:r>
              <w:t xml:space="preserve">Destinataires (mode test)</w:t>
            </w:r>
          </w:p>
        </w:tc>
        <w:tc>
          <w:tcPr/>
          <w:p>
            <w:pPr>
              <w:pStyle w:val="Compact"/>
            </w:pPr>
            <w:r>
              <w:t xml:space="preserve">Liste blanche limitée à 5 numéros</w:t>
            </w:r>
          </w:p>
        </w:tc>
        <w:tc>
          <w:tcPr/>
          <w:p>
            <w:pPr>
              <w:pStyle w:val="Compact"/>
            </w:pPr>
            <w:r>
              <w:t xml:space="preserve">Illimité</w:t>
            </w:r>
          </w:p>
        </w:tc>
      </w:tr>
      <w:tr>
        <w:tc>
          <w:tcPr/>
          <w:p>
            <w:pPr>
              <w:pStyle w:val="Compact"/>
            </w:pPr>
            <w:r>
              <w:t xml:space="preserve">Réception des messages</w:t>
            </w:r>
          </w:p>
        </w:tc>
        <w:tc>
          <w:tcPr/>
          <w:p>
            <w:pPr>
              <w:pStyle w:val="Compact"/>
            </w:pPr>
            <w:r>
              <w:t xml:space="preserve">Webhook obligatoire (URL publique HTTPS + poignée de main de vérification)</w:t>
            </w:r>
          </w:p>
        </w:tc>
        <w:tc>
          <w:tcPr/>
          <w:p>
            <w:pPr>
              <w:pStyle w:val="Compact"/>
            </w:pPr>
            <w:r>
              <w:t xml:space="preserve">Webhook</w:t>
            </w:r>
            <w:r>
              <w:t xml:space="preserve"> </w:t>
            </w:r>
            <w:r>
              <w:rPr>
                <w:b/>
                <w:bCs/>
              </w:rPr>
              <w:t xml:space="preserve">ou</w:t>
            </w:r>
            <w:r>
              <w:t xml:space="preserve"> </w:t>
            </w:r>
            <w:r>
              <w:t xml:space="preserve">interrogation périodique (long polling)</w:t>
            </w:r>
          </w:p>
        </w:tc>
      </w:tr>
      <w:tr>
        <w:tc>
          <w:tcPr/>
          <w:p>
            <w:pPr>
              <w:pStyle w:val="Compact"/>
            </w:pPr>
            <w:r>
              <w:t xml:space="preserve">Coût</w:t>
            </w:r>
          </w:p>
        </w:tc>
        <w:tc>
          <w:tcPr/>
          <w:p>
            <w:pPr>
              <w:pStyle w:val="Compact"/>
            </w:pPr>
            <w:r>
              <w:t xml:space="preserve">Gratuit en test, conversations facturées en production</w:t>
            </w:r>
          </w:p>
        </w:tc>
        <w:tc>
          <w:tcPr/>
          <w:p>
            <w:pPr>
              <w:pStyle w:val="Compact"/>
            </w:pPr>
            <w:r>
              <w:t xml:space="preserve">Gratuit</w:t>
            </w:r>
          </w:p>
        </w:tc>
      </w:tr>
      <w:tr>
        <w:tc>
          <w:tcPr/>
          <w:p>
            <w:pPr>
              <w:pStyle w:val="Compact"/>
            </w:pPr>
            <w:r>
              <w:t xml:space="preserve">Adoption par le public cible</w:t>
            </w:r>
          </w:p>
        </w:tc>
        <w:tc>
          <w:tcPr/>
          <w:p>
            <w:pPr>
              <w:pStyle w:val="Compact"/>
            </w:pPr>
            <w:r>
              <w:t xml:space="preserve">Très forte au Maroc</w:t>
            </w:r>
          </w:p>
        </w:tc>
        <w:tc>
          <w:tcPr/>
          <w:p>
            <w:pPr>
              <w:pStyle w:val="Compact"/>
            </w:pPr>
            <w:r>
              <w:t xml:space="preserve">Moyenne</w:t>
            </w:r>
          </w:p>
        </w:tc>
      </w:tr>
    </w:tbl>
    <w:p>
      <w:pPr>
        <w:pStyle w:val="BodyText"/>
      </w:pPr>
      <w:r>
        <w:rPr>
          <w:b/>
          <w:bCs/>
        </w:rPr>
        <w:t xml:space="preserve">Tableau 2.2 :</w:t>
      </w:r>
      <w:r>
        <w:t xml:space="preserve"> </w:t>
      </w:r>
      <w:r>
        <w:t xml:space="preserve">Comparaison des canaux de réception.</w:t>
      </w:r>
    </w:p>
    <w:p>
      <w:pPr>
        <w:pStyle w:val="BodyText"/>
      </w:pPr>
      <w:r>
        <w:rPr>
          <w:b/>
          <w:bCs/>
        </w:rPr>
        <w:t xml:space="preserve">Décision et évolution.</w:t>
      </w:r>
      <w:r>
        <w:t xml:space="preserve"> </w:t>
      </w:r>
      <w:r>
        <w:t xml:space="preserve">Telegram a été retenu en premier pour le développement, précisément parce qu’il n’impose aucune approbation et autorise le</w:t>
      </w:r>
      <w:r>
        <w:t xml:space="preserve"> </w:t>
      </w:r>
      <w:r>
        <w:rPr>
          <w:i/>
          <w:iCs/>
        </w:rPr>
        <w:t xml:space="preserve">polling</w:t>
      </w:r>
      <w:r>
        <w:t xml:space="preserve"> </w:t>
      </w:r>
      <w:r>
        <w:t xml:space="preserve">— donc aucune exposition publique du poste de développement. WhatsApp, indispensable à terme du fait de son adoption au Maroc, a été mis en service dans un second temps une fois les obstacles Meta levés (jeton</w:t>
      </w:r>
      <w:r>
        <w:t xml:space="preserve"> </w:t>
      </w:r>
      <w:r>
        <w:rPr>
          <w:i/>
          <w:iCs/>
        </w:rPr>
        <w:t xml:space="preserve">System User</w:t>
      </w:r>
      <w:r>
        <w:t xml:space="preserve"> </w:t>
      </w:r>
      <w:r>
        <w:t xml:space="preserve">sans expiration, application publiée, souscription</w:t>
      </w:r>
      <w:r>
        <w:t xml:space="preserve"> </w:t>
      </w:r>
      <w:r>
        <w:rPr>
          <w:rStyle w:val="VerbatimChar"/>
        </w:rPr>
        <w:t xml:space="preserve">subscribed_apps</w:t>
      </w:r>
      <w:r>
        <w:t xml:space="preserve"> </w:t>
      </w:r>
      <w:r>
        <w:t xml:space="preserve">du WABA).</w:t>
      </w:r>
      <w:r>
        <w:t xml:space="preserve"> </w:t>
      </w:r>
      <w:r>
        <w:rPr>
          <w:b/>
          <w:bCs/>
        </w:rPr>
        <w:t xml:space="preserve">Les deux canaux sont aujourd’hui en production simultanément</w:t>
      </w:r>
      <w:r>
        <w:t xml:space="preserve">, servis par un seul workflow et un seul service.</w:t>
      </w:r>
    </w:p>
    <w:p>
      <w:pPr>
        <w:pStyle w:val="BodyText"/>
      </w:pPr>
      <w:r>
        <w:t xml:space="preserve">Cette asymétrie a une conséquence de diagnostic qu’il faut garder à l’esprit : Telegram</w:t>
      </w:r>
      <w:r>
        <w:t xml:space="preserve"> </w:t>
      </w:r>
      <w:r>
        <w:rPr>
          <w:i/>
          <w:iCs/>
        </w:rPr>
        <w:t xml:space="preserve">interroge</w:t>
      </w:r>
      <w:r>
        <w:t xml:space="preserve"> </w:t>
      </w:r>
      <w:r>
        <w:t xml:space="preserve">(connexions sortantes, aucun tunnel nécessaire) tandis que WhatsApp est</w:t>
      </w:r>
      <w:r>
        <w:t xml:space="preserve"> </w:t>
      </w:r>
      <w:r>
        <w:rPr>
          <w:i/>
          <w:iCs/>
        </w:rPr>
        <w:t xml:space="preserve">poussé</w:t>
      </w:r>
      <w:r>
        <w:t xml:space="preserve"> </w:t>
      </w:r>
      <w:r>
        <w:t xml:space="preserve">par webhook et exige une URL publique HTTPS. Par conséquent, « Telegram répond une erreur mais WhatsApp reste muet » ne décrit pas une panne mais deux : une réponse d’erreur prouve que le message a atteint la chaîne ; le silence prouve qu’il n’y est jamais arrivé.</w:t>
      </w:r>
    </w:p>
    <w:bookmarkEnd w:id="51"/>
    <w:bookmarkStart w:id="52" w:name="synthèse-des-choix-technologiques"/>
    <w:p>
      <w:pPr>
        <w:pStyle w:val="Heading2"/>
      </w:pPr>
      <w:r>
        <w:t xml:space="preserve">2.6 Synthèse des choix technologiques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Besoin</w:t>
            </w:r>
          </w:p>
        </w:tc>
        <w:tc>
          <w:tcPr/>
          <w:p>
            <w:pPr>
              <w:pStyle w:val="Compact"/>
            </w:pPr>
            <w:r>
              <w:t xml:space="preserve">Choix</w:t>
            </w:r>
          </w:p>
        </w:tc>
        <w:tc>
          <w:tcPr/>
          <w:p>
            <w:pPr>
              <w:pStyle w:val="Compact"/>
            </w:pPr>
            <w:r>
              <w:t xml:space="preserve">Justification résumée</w:t>
            </w:r>
          </w:p>
        </w:tc>
      </w:tr>
      <w:tr>
        <w:tc>
          <w:tcPr/>
          <w:p>
            <w:pPr>
              <w:pStyle w:val="Compact"/>
            </w:pPr>
            <w:r>
              <w:t xml:space="preserve">Canal de réception</w:t>
            </w:r>
          </w:p>
        </w:tc>
        <w:tc>
          <w:tcPr/>
          <w:p>
            <w:pPr>
              <w:pStyle w:val="Compact"/>
            </w:pPr>
            <w:r>
              <w:t xml:space="preserve">Telegram Bot API</w:t>
            </w:r>
            <w:r>
              <w:t xml:space="preserve"> </w:t>
            </w:r>
            <w:r>
              <w:rPr>
                <w:b/>
                <w:bCs/>
              </w:rPr>
              <w:t xml:space="preserve">et</w:t>
            </w:r>
            <w:r>
              <w:t xml:space="preserve"> </w:t>
            </w:r>
            <w:r>
              <w:t xml:space="preserve">WhatsApp Cloud API</w:t>
            </w:r>
          </w:p>
        </w:tc>
        <w:tc>
          <w:tcPr/>
          <w:p>
            <w:pPr>
              <w:pStyle w:val="Compact"/>
            </w:pPr>
            <w:r>
              <w:t xml:space="preserve">Gratuit et sans approbation pour le premier ; adoption réelle du public cible pour le second</w:t>
            </w:r>
          </w:p>
        </w:tc>
      </w:tr>
      <w:tr>
        <w:tc>
          <w:tcPr/>
          <w:p>
            <w:pPr>
              <w:pStyle w:val="Compact"/>
            </w:pPr>
            <w:r>
              <w:t xml:space="preserve">Orchestration</w:t>
            </w:r>
          </w:p>
        </w:tc>
        <w:tc>
          <w:tcPr/>
          <w:p>
            <w:pPr>
              <w:pStyle w:val="Compact"/>
            </w:pPr>
            <w:r>
              <w:t xml:space="preserve">n8n (Docker, auto-hébergé)</w:t>
            </w:r>
          </w:p>
        </w:tc>
        <w:tc>
          <w:tcPr/>
          <w:p>
            <w:pPr>
              <w:pStyle w:val="Compact"/>
            </w:pPr>
            <w:r>
              <w:t xml:space="preserve">Recommandé par le cahier des charges, gratuit, intégrations natives</w:t>
            </w:r>
          </w:p>
        </w:tc>
      </w:tr>
      <w:tr>
        <w:tc>
          <w:tcPr/>
          <w:p>
            <w:pPr>
              <w:pStyle w:val="Compact"/>
            </w:pPr>
            <w:r>
              <w:t xml:space="preserve">Transcription</w:t>
            </w:r>
          </w:p>
        </w:tc>
        <w:tc>
          <w:tcPr/>
          <w:p>
            <w:pPr>
              <w:pStyle w:val="Compact"/>
            </w:pPr>
            <w:r>
              <w:t xml:space="preserve">Chaîne</w:t>
            </w:r>
            <w:r>
              <w:t xml:space="preserve"> </w:t>
            </w:r>
            <w:r>
              <w:rPr>
                <w:rStyle w:val="VerbatimChar"/>
              </w:rPr>
              <w:t xml:space="preserve">gemini → local → groq</w:t>
            </w:r>
          </w:p>
        </w:tc>
        <w:tc>
          <w:tcPr/>
          <w:p>
            <w:pPr>
              <w:pStyle w:val="Compact"/>
            </w:pPr>
            <w:r>
              <w:t xml:space="preserve">Ordre fixé par accuracy mesurée (chapitre 4), non par latence</w:t>
            </w:r>
          </w:p>
        </w:tc>
      </w:tr>
      <w:tr>
        <w:tc>
          <w:tcPr/>
          <w:p>
            <w:pPr>
              <w:pStyle w:val="Compact"/>
            </w:pPr>
            <w:r>
              <w:t xml:space="preserve">Extraction / reformulation</w:t>
            </w:r>
          </w:p>
        </w:tc>
        <w:tc>
          <w:tcPr/>
          <w:p>
            <w:pPr>
              <w:pStyle w:val="Compact"/>
            </w:pPr>
            <w:r>
              <w:t xml:space="preserve">Chaîne de repli alternant Gemini et Groq</w:t>
            </w:r>
          </w:p>
        </w:tc>
        <w:tc>
          <w:tcPr/>
          <w:p>
            <w:pPr>
              <w:pStyle w:val="Compact"/>
            </w:pPr>
            <w:r>
              <w:t xml:space="preserve">Sortie structurée native ; quotas gratuits mesurés séparément par fournisseur</w:t>
            </w:r>
          </w:p>
        </w:tc>
      </w:tr>
      <w:tr>
        <w:tc>
          <w:tcPr/>
          <w:p>
            <w:pPr>
              <w:pStyle w:val="Compact"/>
            </w:pPr>
            <w:r>
              <w:t xml:space="preserve">Service métier</w:t>
            </w:r>
          </w:p>
        </w:tc>
        <w:tc>
          <w:tcPr/>
          <w:p>
            <w:pPr>
              <w:pStyle w:val="Compact"/>
            </w:pPr>
            <w:r>
              <w:t xml:space="preserve">Python / FastAPI</w:t>
            </w:r>
          </w:p>
        </w:tc>
        <w:tc>
          <w:tcPr/>
          <w:p>
            <w:pPr>
              <w:pStyle w:val="Compact"/>
            </w:pPr>
            <w:r>
              <w:t xml:space="preserve">Écosystème IA, validation Pydantic, tests, documentation OpenAPI automatique</w:t>
            </w:r>
          </w:p>
        </w:tc>
      </w:tr>
      <w:tr>
        <w:tc>
          <w:tcPr/>
          <w:p>
            <w:pPr>
              <w:pStyle w:val="Compact"/>
            </w:pPr>
            <w:r>
              <w:t xml:space="preserve">Interface Web</w:t>
            </w:r>
          </w:p>
        </w:tc>
        <w:tc>
          <w:tcPr/>
          <w:p>
            <w:pPr>
              <w:pStyle w:val="Compact"/>
            </w:pPr>
            <w:r>
              <w:t xml:space="preserve">React 19 + TypeScript + Vite + Tailwind v4</w:t>
            </w:r>
          </w:p>
        </w:tc>
        <w:tc>
          <w:tcPr/>
          <w:p>
            <w:pPr>
              <w:pStyle w:val="Compact"/>
            </w:pPr>
            <w:r>
              <w:t xml:space="preserve">Standard industriel ; rendu statique servi par la même origine que l’API</w:t>
            </w:r>
          </w:p>
        </w:tc>
      </w:tr>
      <w:tr>
        <w:tc>
          <w:tcPr/>
          <w:p>
            <w:pPr>
              <w:pStyle w:val="Compact"/>
            </w:pPr>
            <w:r>
              <w:t xml:space="preserve">Stockage métier</w:t>
            </w:r>
          </w:p>
        </w:tc>
        <w:tc>
          <w:tcPr/>
          <w:p>
            <w:pPr>
              <w:pStyle w:val="Compact"/>
            </w:pPr>
            <w:r>
              <w:t xml:space="preserve">Google Sheets</w:t>
            </w:r>
          </w:p>
        </w:tc>
        <w:tc>
          <w:tcPr/>
          <w:p>
            <w:pPr>
              <w:pStyle w:val="Compact"/>
            </w:pPr>
            <w:r>
              <w:t xml:space="preserve">Imposé par le cahier des charges ; c’est le fichier que le directeur lit déjà</w:t>
            </w:r>
          </w:p>
        </w:tc>
      </w:tr>
      <w:tr>
        <w:tc>
          <w:tcPr/>
          <w:p>
            <w:pPr>
              <w:pStyle w:val="Compact"/>
            </w:pPr>
            <w:r>
              <w:t xml:space="preserve">Stockage technique</w:t>
            </w:r>
          </w:p>
        </w:tc>
        <w:tc>
          <w:tcPr/>
          <w:p>
            <w:pPr>
              <w:pStyle w:val="Compact"/>
            </w:pPr>
            <w:r>
              <w:t xml:space="preserve">PostgreSQL</w:t>
            </w:r>
          </w:p>
        </w:tc>
        <w:tc>
          <w:tcPr/>
          <w:p>
            <w:pPr>
              <w:pStyle w:val="Compact"/>
            </w:pPr>
            <w:r>
              <w:t xml:space="preserve">Journal d’événements, idempotence, sessions, file de reprise — délibérément hors du Sheet</w:t>
            </w:r>
          </w:p>
        </w:tc>
      </w:tr>
    </w:tbl>
    <w:p>
      <w:pPr>
        <w:pStyle w:val="BodyText"/>
      </w:pPr>
      <w:r>
        <w:rPr>
          <w:b/>
          <w:bCs/>
        </w:rPr>
        <w:t xml:space="preserve">Tableau 2.3 :</w:t>
      </w:r>
      <w:r>
        <w:t xml:space="preserve"> </w:t>
      </w:r>
      <w:r>
        <w:t xml:space="preserve">Récapitulatif des choix technologiques.</w:t>
      </w:r>
    </w:p>
    <w:bookmarkEnd w:id="52"/>
    <w:bookmarkStart w:id="53" w:name="conclusion-du-chapitre-1"/>
    <w:p>
      <w:pPr>
        <w:pStyle w:val="Heading2"/>
      </w:pPr>
      <w:r>
        <w:t xml:space="preserve">2.7 Conclusion du chapitre</w:t>
      </w:r>
    </w:p>
    <w:p>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w:t>
      </w:r>
      <w:r>
        <w:t xml:space="preserve"> </w:t>
      </w:r>
      <w:r>
        <w:rPr>
          <w:i/>
          <w:iCs/>
        </w:rPr>
        <w:t xml:space="preserve">fine-tunes</w:t>
      </w:r>
      <w:r>
        <w:t xml:space="preserve">, et l’inadéquation du WER à un système dont la valeur tient aux nombres. Le chapitre suivant traduit ces choix en une conception détaillée.</w:t>
      </w:r>
    </w:p>
    <w:bookmarkEnd w:id="53"/>
    <w:bookmarkEnd w:id="54"/>
    <w:bookmarkStart w:id="80" w:name="chapitre-3-conception-de-la-solution"/>
    <w:p>
      <w:pPr>
        <w:pStyle w:val="Heading1"/>
      </w:pPr>
      <w:r>
        <w:t xml:space="preserve">Chapitre 3 : Conception de la solution</w:t>
      </w:r>
    </w:p>
    <w:bookmarkStart w:id="55" w:name="introduction-du-chapitre-2"/>
    <w:p>
      <w:pPr>
        <w:pStyle w:val="Heading2"/>
      </w:pPr>
      <w:r>
        <w:t xml:space="preserve">3.1 Introduction du chapitre</w:t>
      </w:r>
    </w:p>
    <w:p>
      <w:pPr>
        <w:pStyle w:val="FirstParagraph"/>
      </w:pPr>
      <w:r>
        <w:t xml:space="preserve">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bookmarkEnd w:id="55"/>
    <w:bookmarkStart w:id="60" w:name="architecture-générale"/>
    <w:p>
      <w:pPr>
        <w:pStyle w:val="Heading2"/>
      </w:pPr>
      <w:r>
        <w:t xml:space="preserve">3.2 Architecture générale</w:t>
      </w:r>
    </w:p>
    <w:bookmarkStart w:id="56" w:name="le-choix-dune-architecture-hybride"/>
    <w:p>
      <w:pPr>
        <w:pStyle w:val="Heading3"/>
      </w:pPr>
      <w:r>
        <w:t xml:space="preserve">3.2.1 Le choix d’une architecture hybride</w:t>
      </w:r>
    </w:p>
    <w:p>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w:t>
      </w:r>
      <w:r>
        <w:t xml:space="preserve"> </w:t>
      </w:r>
      <w:r>
        <w:rPr>
          <w:b/>
          <w:bCs/>
        </w:rPr>
        <w:t xml:space="preserve">hybride</w:t>
      </w:r>
      <w:r>
        <w:t xml:space="preserve"> </w:t>
      </w:r>
      <w:r>
        <w:t xml:space="preserve">et répartit les responsabilités selon la valeur ajoutée de chaque outil :</w:t>
      </w:r>
    </w:p>
    <w:p>
      <w:pPr>
        <w:pStyle w:val="Compact"/>
        <w:numPr>
          <w:ilvl w:val="0"/>
          <w:numId w:val="1007"/>
        </w:numPr>
      </w:pPr>
      <w:r>
        <w:rPr>
          <w:b/>
          <w:bCs/>
        </w:rPr>
        <w:t xml:space="preserve">n8n (orchestration)</w:t>
      </w:r>
      <w:r>
        <w:t xml:space="preserve"> </w:t>
      </w:r>
      <w:r>
        <w:t xml:space="preserve">: réception des messages Telegram et WhatsApp, vérification du webhook Meta, déduplication, téléchargement des médias, appel du service, réponses au technicien, journalisation d’étape.</w:t>
      </w:r>
    </w:p>
    <w:p>
      <w:pPr>
        <w:pStyle w:val="Compact"/>
        <w:numPr>
          <w:ilvl w:val="0"/>
          <w:numId w:val="1007"/>
        </w:numPr>
      </w:pPr>
      <w:r>
        <w:rPr>
          <w:b/>
          <w:bCs/>
        </w:rPr>
        <w:t xml:space="preserve">Service applicatif (FastAPI, sur mesure)</w:t>
      </w:r>
      <w:r>
        <w:t xml:space="preserve"> </w:t>
      </w:r>
      <w:r>
        <w:t xml:space="preserve">: transcription, extraction structurée, reformulation, tenue du journal de chantier, ordonnancement des tâches périodiques, authentification, service du tableau de bord — le cœur, versionné, testé et documenté.</w:t>
      </w:r>
    </w:p>
    <w:p>
      <w:pPr>
        <w:pStyle w:val="Compact"/>
        <w:numPr>
          <w:ilvl w:val="0"/>
          <w:numId w:val="1007"/>
        </w:numPr>
      </w:pPr>
      <w:r>
        <w:rPr>
          <w:b/>
          <w:bCs/>
        </w:rPr>
        <w:t xml:space="preserve">Tableau de bord (React)</w:t>
      </w:r>
      <w:r>
        <w:t xml:space="preserve"> </w:t>
      </w:r>
      <w:r>
        <w:t xml:space="preserve">: consultation, correction, administration de l’organigramme et des comptes, supervision de l’ordonnanceur et des journaux.</w:t>
      </w:r>
    </w:p>
    <w:p>
      <w:pPr>
        <w:pStyle w:val="Compact"/>
        <w:numPr>
          <w:ilvl w:val="0"/>
          <w:numId w:val="1007"/>
        </w:numPr>
      </w:pPr>
      <w:r>
        <w:rPr>
          <w:b/>
          <w:bCs/>
        </w:rPr>
        <w:t xml:space="preserve">PostgreSQL</w:t>
      </w:r>
      <w:r>
        <w:t xml:space="preserve"> </w:t>
      </w:r>
      <w:r>
        <w:t xml:space="preserve">: journal d’événements, idempotence, sessions, file de reprise, organigramme, chantiers.</w:t>
      </w:r>
    </w:p>
    <w:p>
      <w:pPr>
        <w:pStyle w:val="Compact"/>
        <w:numPr>
          <w:ilvl w:val="0"/>
          <w:numId w:val="1007"/>
        </w:numPr>
      </w:pPr>
      <w:r>
        <w:rPr>
          <w:b/>
          <w:bCs/>
        </w:rPr>
        <w:t xml:space="preserve">Google Sheets</w:t>
      </w:r>
      <w:r>
        <w:t xml:space="preserve"> </w:t>
      </w:r>
      <w:r>
        <w:t xml:space="preserve">: le registre métier permanent — le fichier que le directeur lit déjà.</w:t>
      </w:r>
    </w:p>
    <w:p>
      <w:pPr>
        <w:pStyle w:val="FirstParagraph"/>
      </w:pPr>
      <w:r>
        <w:rPr>
          <w:b/>
          <w:bCs/>
        </w:rPr>
        <w:t xml:space="preserve">Figure 3.1 :</w:t>
      </w:r>
      <w:r>
        <w:t xml:space="preserve"> </w:t>
      </w:r>
      <w:r>
        <w:t xml:space="preserve">Architecture générale de la solution.</w:t>
      </w:r>
      <w:r>
        <w:t xml:space="preserve"> </w:t>
      </w:r>
      <w:r>
        <w:rPr>
          <w:i/>
          <w:iCs/>
        </w:rPr>
        <w:t xml:space="preserve">[FIGURE À INSÉRER — schéma : Technicien → Telegram / WhatsApp → n8n → Service FastAPI → (Google Sheets + PostgreSQL) → notifications ; tableau de bord → Service.]</w:t>
      </w:r>
    </w:p>
    <w:bookmarkEnd w:id="56"/>
    <w:bookmarkStart w:id="57" w:name="frontière-entre-orchestration-et-code"/>
    <w:p>
      <w:pPr>
        <w:pStyle w:val="Heading3"/>
      </w:pPr>
      <w:r>
        <w:t xml:space="preserve">3.2.2 Frontière entre orchestration et code</w:t>
      </w:r>
    </w:p>
    <w:p>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w:t>
      </w:r>
      <w:r>
        <w:t xml:space="preserve"> </w:t>
      </w:r>
      <w:r>
        <w:rPr>
          <w:i/>
          <w:iCs/>
        </w:rPr>
        <w:t xml:space="preserve">read-modify-write</w:t>
      </w:r>
      <w:r>
        <w:t xml:space="preserve"> </w:t>
      </w:r>
      <w:r>
        <w:t xml:space="preserve">— lire la ligne existante du jour, y fusionner les nouvelles quantités, réconcilier le stock — qu’un nœud conditionnel ne sait pas exprimer. La correspondance entre les champs extraits et les colonnes du Sheet, jusque-là écrite en expressions n8n non testables, est devenue du code Python couvert par des tests.</w:t>
      </w:r>
    </w:p>
    <w:p>
      <w:pPr>
        <w:pStyle w:val="BodyText"/>
      </w:pPr>
      <w:r>
        <w:rPr>
          <w:b/>
          <w:bCs/>
        </w:rPr>
        <w:t xml:space="preserve">Règle retenue :</w:t>
      </w:r>
      <w:r>
        <w:t xml:space="preserve"> </w:t>
      </w:r>
      <w:r>
        <w:t xml:space="preserve">ce qui est</w:t>
      </w:r>
      <w:r>
        <w:t xml:space="preserve"> </w:t>
      </w:r>
      <w:r>
        <w:rPr>
          <w:i/>
          <w:iCs/>
        </w:rPr>
        <w:t xml:space="preserve">intégration</w:t>
      </w:r>
      <w:r>
        <w:t xml:space="preserve"> </w:t>
      </w:r>
      <w:r>
        <w:t xml:space="preserve">reste dans n8n ; ce qui est</w:t>
      </w:r>
      <w:r>
        <w:t xml:space="preserve"> </w:t>
      </w:r>
      <w:r>
        <w:rPr>
          <w:i/>
          <w:iCs/>
        </w:rPr>
        <w:t xml:space="preserve">décision</w:t>
      </w:r>
      <w:r>
        <w:t xml:space="preserve"> </w:t>
      </w:r>
      <w:r>
        <w:t xml:space="preserve">passe dans le service.</w:t>
      </w:r>
    </w:p>
    <w:bookmarkEnd w:id="57"/>
    <w:bookmarkStart w:id="58" w:name="flux-nominal"/>
    <w:p>
      <w:pPr>
        <w:pStyle w:val="Heading3"/>
      </w:pPr>
      <w:r>
        <w:t xml:space="preserve">3.2.3 Flux nominal</w:t>
      </w:r>
    </w:p>
    <w:p>
      <w:pPr>
        <w:pStyle w:val="Compact"/>
        <w:numPr>
          <w:ilvl w:val="0"/>
          <w:numId w:val="1008"/>
        </w:numPr>
      </w:pPr>
      <w:r>
        <w:t xml:space="preserve">Le technicien envoie une note vocale, une photo ou un texte au bot, sur Telegram ou WhatsApp.</w:t>
      </w:r>
    </w:p>
    <w:p>
      <w:pPr>
        <w:pStyle w:val="Compact"/>
        <w:numPr>
          <w:ilvl w:val="0"/>
          <w:numId w:val="1008"/>
        </w:numPr>
      </w:pPr>
      <w:r>
        <w:t xml:space="preserve">Le workflow n8n détecte le message,</w:t>
      </w:r>
      <w:r>
        <w:t xml:space="preserve"> </w:t>
      </w:r>
      <w:r>
        <w:rPr>
          <w:b/>
          <w:bCs/>
        </w:rPr>
        <w:t xml:space="preserve">réclame</w:t>
      </w:r>
      <w:r>
        <w:t xml:space="preserve"> </w:t>
      </w:r>
      <w:r>
        <w:t xml:space="preserve">son identifiant auprès du service (déduplication : WhatsApp re-livre un webhook non acquitté), identifie l’expéditeur dans l’organigramme et vérifie son autorisation.</w:t>
      </w:r>
    </w:p>
    <w:p>
      <w:pPr>
        <w:pStyle w:val="Compact"/>
        <w:numPr>
          <w:ilvl w:val="0"/>
          <w:numId w:val="1008"/>
        </w:numPr>
      </w:pPr>
      <w:r>
        <w:t xml:space="preserve">Le média est téléchargé et transmis au service (</w:t>
      </w:r>
      <w:r>
        <w:rPr>
          <w:rStyle w:val="VerbatimChar"/>
        </w:rPr>
        <w:t xml:space="preserve">POST /process</w:t>
      </w:r>
      <w:r>
        <w:t xml:space="preserve">, multipart).</w:t>
      </w:r>
    </w:p>
    <w:p>
      <w:pPr>
        <w:pStyle w:val="Compact"/>
        <w:numPr>
          <w:ilvl w:val="0"/>
          <w:numId w:val="1008"/>
        </w:numPr>
      </w:pPr>
      <w:r>
        <w:t xml:space="preserve">Le service transcrit, extrait les champs, produit le résumé français et renvoie un JSON structuré assorti d’avertissements de qualité.</w:t>
      </w:r>
    </w:p>
    <w:p>
      <w:pPr>
        <w:pStyle w:val="Compact"/>
        <w:numPr>
          <w:ilvl w:val="0"/>
          <w:numId w:val="1008"/>
        </w:numPr>
      </w:pPr>
      <w:r>
        <w:rPr>
          <w:b/>
          <w:bCs/>
        </w:rPr>
        <w:t xml:space="preserve">n8n répond au technicien</w:t>
      </w:r>
      <w:r>
        <w:t xml:space="preserve"> </w:t>
      </w:r>
      <w:r>
        <w:t xml:space="preserve">avec son résumé.</w:t>
      </w:r>
    </w:p>
    <w:p>
      <w:pPr>
        <w:pStyle w:val="Compact"/>
        <w:numPr>
          <w:ilvl w:val="0"/>
          <w:numId w:val="1008"/>
        </w:numPr>
      </w:pPr>
      <w:r>
        <w:rPr>
          <w:b/>
          <w:bCs/>
        </w:rPr>
        <w:t xml:space="preserve">Ensuite seulement</w:t>
      </w:r>
      <w:r>
        <w:t xml:space="preserve">, n8n appelle</w:t>
      </w:r>
      <w:r>
        <w:t xml:space="preserve"> </w:t>
      </w:r>
      <w:r>
        <w:rPr>
          <w:rStyle w:val="VerbatimChar"/>
        </w:rPr>
        <w:t xml:space="preserve">POST /journal</w:t>
      </w:r>
      <w:r>
        <w:t xml:space="preserve">, qui fusionne la ligne dans l’onglet du chantier et met à jour le miroir plat.</w:t>
      </w:r>
    </w:p>
    <w:p>
      <w:pPr>
        <w:pStyle w:val="Compact"/>
        <w:numPr>
          <w:ilvl w:val="0"/>
          <w:numId w:val="1008"/>
        </w:numPr>
      </w:pPr>
      <w:r>
        <w:t xml:space="preserve">Les responsables sont notifiés.</w:t>
      </w:r>
    </w:p>
    <w:p>
      <w:pPr>
        <w:pStyle w:val="FirstParagraph"/>
      </w:pPr>
      <w:r>
        <w:t xml:space="preserve">L’ordre des étapes 5 et 6 est un invariant de conception, développé en §3.5.2.</w:t>
      </w:r>
    </w:p>
    <w:bookmarkEnd w:id="58"/>
    <w:bookmarkStart w:id="59" w:name="diagrammes-uml"/>
    <w:p>
      <w:pPr>
        <w:pStyle w:val="Heading3"/>
      </w:pPr>
      <w:r>
        <w:t xml:space="preserve">3.2.4 Diagrammes UML</w:t>
      </w:r>
    </w:p>
    <w:p>
      <w:pPr>
        <w:pStyle w:val="FirstParagraph"/>
      </w:pPr>
      <w:r>
        <w:rPr>
          <w:b/>
          <w:bCs/>
        </w:rPr>
        <w:t xml:space="preserve">Figure 3.2 :</w:t>
      </w:r>
      <w:r>
        <w:t xml:space="preserve"> </w:t>
      </w:r>
      <w:r>
        <w:t xml:space="preserve">Diagramme de cas d’utilisation.</w:t>
      </w:r>
      <w:r>
        <w:t xml:space="preserve"> </w:t>
      </w:r>
      <w:r>
        <w:rPr>
          <w:i/>
          <w:iCs/>
        </w:rPr>
        <w:t xml:space="preserve">[FIGURE À INSÉRER — acteurs : Technicien (envoyer note vocale ou photo, recevoir confirmation, commandes /rapport, /modifier, /supprimer) ; Chef de chantier (compléter les colonnes de pilotage, consulter) ; Directeur (organigramme, comptes, chantiers, bordereau, ordonnanceur) ; Système (tâches planifiées).]</w:t>
      </w:r>
    </w:p>
    <w:p>
      <w:pPr>
        <w:pStyle w:val="BodyText"/>
      </w:pPr>
      <w:r>
        <w:rPr>
          <w:b/>
          <w:bCs/>
        </w:rPr>
        <w:t xml:space="preserve">Figure 3.3 :</w:t>
      </w:r>
      <w:r>
        <w:t xml:space="preserve"> </w:t>
      </w:r>
      <w:r>
        <w:t xml:space="preserve">Diagramme de séquence du traitement d’une note vocale.</w:t>
      </w:r>
      <w:r>
        <w:t xml:space="preserve"> </w:t>
      </w:r>
      <w:r>
        <w:rPr>
          <w:i/>
          <w:iCs/>
        </w:rPr>
        <w:t xml:space="preserve">[FIGURE À INSÉRER — Technicien → canal → n8n → /process → moteur STT → chaîne d’extraction → réponse → technicien, puis /journal → Sheets, avec la branche d’échec vers la file de reprise.]</w:t>
      </w:r>
    </w:p>
    <w:bookmarkEnd w:id="59"/>
    <w:bookmarkEnd w:id="60"/>
    <w:bookmarkStart w:id="64" w:name="modèle-de-données"/>
    <w:p>
      <w:pPr>
        <w:pStyle w:val="Heading2"/>
      </w:pPr>
      <w:r>
        <w:t xml:space="preserve">3.3 Modèle de données</w:t>
      </w:r>
    </w:p>
    <w:bookmarkStart w:id="61" w:name="le-rapport-structuré-contrat-central"/>
    <w:p>
      <w:pPr>
        <w:pStyle w:val="Heading3"/>
      </w:pPr>
      <w:r>
        <w:t xml:space="preserve">3.3.1 Le rapport structuré, contrat central</w:t>
      </w:r>
    </w:p>
    <w:p>
      <w:pPr>
        <w:pStyle w:val="FirstParagraph"/>
      </w:pPr>
      <w:r>
        <w:t xml:space="preserve">Le schéma</w:t>
      </w:r>
      <w:r>
        <w:t xml:space="preserve"> </w:t>
      </w:r>
      <w:r>
        <w:rPr>
          <w:rStyle w:val="VerbatimChar"/>
        </w:rPr>
        <w:t xml:space="preserve">ExtractedReport</w:t>
      </w:r>
      <w:r>
        <w:t xml:space="preserve"> </w:t>
      </w:r>
      <w:r>
        <w:t xml:space="preserve">est le contrat entre le service, n8n et le journal. Il a été</w:t>
      </w:r>
      <w:r>
        <w:t xml:space="preserve"> </w:t>
      </w:r>
      <w:r>
        <w:rPr>
          <w:b/>
          <w:bCs/>
        </w:rPr>
        <w:t xml:space="preserve">reconstruit le 5 août 2026 à partir du fichier de suivi réel du directeur</w:t>
      </w:r>
      <w:r>
        <w:t xml:space="preserve">, en remplacement d’un schéma générique initial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cables_prepares_m</w:t>
            </w:r>
          </w:p>
        </w:tc>
        <w:tc>
          <w:tcPr/>
          <w:p>
            <w:pPr>
              <w:pStyle w:val="Compact"/>
            </w:pPr>
            <w:r>
              <w:t xml:space="preserve">décimal ≥ 0, optionnel</w:t>
            </w:r>
          </w:p>
        </w:tc>
        <w:tc>
          <w:tcPr/>
          <w:p>
            <w:pPr>
              <w:pStyle w:val="Compact"/>
            </w:pPr>
            <w:r>
              <w:t xml:space="preserve">Mètres de câble cuivre préparés (tirés et mesurés)</w:t>
            </w:r>
          </w:p>
        </w:tc>
      </w:tr>
      <w:tr>
        <w:tc>
          <w:tcPr/>
          <w:p>
            <w:pPr>
              <w:pStyle w:val="Compact"/>
            </w:pPr>
            <w:r>
              <w:rPr>
                <w:rStyle w:val="VerbatimChar"/>
              </w:rPr>
              <w:t xml:space="preserve">cables_installes_m</w:t>
            </w:r>
          </w:p>
        </w:tc>
        <w:tc>
          <w:tcPr/>
          <w:p>
            <w:pPr>
              <w:pStyle w:val="Compact"/>
            </w:pPr>
            <w:r>
              <w:t xml:space="preserve">décimal ≥ 0, optionnel</w:t>
            </w:r>
          </w:p>
        </w:tc>
        <w:tc>
          <w:tcPr/>
          <w:p>
            <w:pPr>
              <w:pStyle w:val="Compact"/>
            </w:pPr>
            <w:r>
              <w:t xml:space="preserve">Mètres de câble cuivre installés et raccordés</w:t>
            </w:r>
          </w:p>
        </w:tc>
      </w:tr>
      <w:tr>
        <w:tc>
          <w:tcPr/>
          <w:p>
            <w:pPr>
              <w:pStyle w:val="Compact"/>
            </w:pPr>
            <w:r>
              <w:rPr>
                <w:rStyle w:val="VerbatimChar"/>
              </w:rPr>
              <w:t xml:space="preserve">goulotte_m</w:t>
            </w:r>
          </w:p>
        </w:tc>
        <w:tc>
          <w:tcPr/>
          <w:p>
            <w:pPr>
              <w:pStyle w:val="Compact"/>
            </w:pPr>
            <w:r>
              <w:t xml:space="preserve">décimal ≥ 0, optionnel</w:t>
            </w:r>
          </w:p>
        </w:tc>
        <w:tc>
          <w:tcPr/>
          <w:p>
            <w:pPr>
              <w:pStyle w:val="Compact"/>
            </w:pPr>
            <w:r>
              <w:t xml:space="preserve">Mètres de goulotte posés</w:t>
            </w:r>
          </w:p>
        </w:tc>
      </w:tr>
      <w:tr>
        <w:tc>
          <w:tcPr/>
          <w:p>
            <w:pPr>
              <w:pStyle w:val="Compact"/>
            </w:pPr>
            <w:r>
              <w:rPr>
                <w:rStyle w:val="VerbatimChar"/>
              </w:rPr>
              <w:t xml:space="preserve">prises_connectees</w:t>
            </w:r>
          </w:p>
        </w:tc>
        <w:tc>
          <w:tcPr/>
          <w:p>
            <w:pPr>
              <w:pStyle w:val="Compact"/>
            </w:pPr>
            <w:r>
              <w:t xml:space="preserve">entier ≥ 0, optionnel</w:t>
            </w:r>
          </w:p>
        </w:tc>
        <w:tc>
          <w:tcPr/>
          <w:p>
            <w:pPr>
              <w:pStyle w:val="Compact"/>
            </w:pPr>
            <w:r>
              <w:t xml:space="preserve">Prises RJ45 raccordées côté bureau</w:t>
            </w:r>
          </w:p>
        </w:tc>
      </w:tr>
      <w:tr>
        <w:tc>
          <w:tcPr/>
          <w:p>
            <w:pPr>
              <w:pStyle w:val="Compact"/>
            </w:pPr>
            <w:r>
              <w:rPr>
                <w:rStyle w:val="VerbatimChar"/>
              </w:rPr>
              <w:t xml:space="preserve">panneaux_prises_brassees</w:t>
            </w:r>
          </w:p>
        </w:tc>
        <w:tc>
          <w:tcPr/>
          <w:p>
            <w:pPr>
              <w:pStyle w:val="Compact"/>
            </w:pPr>
            <w:r>
              <w:t xml:space="preserve">entier ≥ 0, optionnel</w:t>
            </w:r>
          </w:p>
        </w:tc>
        <w:tc>
          <w:tcPr/>
          <w:p>
            <w:pPr>
              <w:pStyle w:val="Compact"/>
            </w:pPr>
            <w:r>
              <w:t xml:space="preserve">Prises raccordées côté panneau de brassage</w:t>
            </w:r>
          </w:p>
        </w:tc>
      </w:tr>
      <w:tr>
        <w:tc>
          <w:tcPr/>
          <w:p>
            <w:pPr>
              <w:pStyle w:val="Compact"/>
            </w:pPr>
            <w:r>
              <w:rPr>
                <w:rStyle w:val="VerbatimChar"/>
              </w:rPr>
              <w:t xml:space="preserve">prises_testees</w:t>
            </w:r>
          </w:p>
        </w:tc>
        <w:tc>
          <w:tcPr/>
          <w:p>
            <w:pPr>
              <w:pStyle w:val="Compact"/>
            </w:pPr>
            <w:r>
              <w:t xml:space="preserve">entier ≥ 0, optionnel</w:t>
            </w:r>
          </w:p>
        </w:tc>
        <w:tc>
          <w:tcPr/>
          <w:p>
            <w:pPr>
              <w:pStyle w:val="Compact"/>
            </w:pPr>
            <w:r>
              <w:t xml:space="preserve">Prises testées et étiquetées</w:t>
            </w:r>
          </w:p>
        </w:tc>
      </w:tr>
      <w:tr>
        <w:tc>
          <w:tcPr/>
          <w:p>
            <w:pPr>
              <w:pStyle w:val="Compact"/>
            </w:pPr>
            <w:r>
              <w:rPr>
                <w:rStyle w:val="VerbatimChar"/>
              </w:rPr>
              <w:t xml:space="preserve">fibre_m</w:t>
            </w:r>
          </w:p>
        </w:tc>
        <w:tc>
          <w:tcPr/>
          <w:p>
            <w:pPr>
              <w:pStyle w:val="Compact"/>
            </w:pPr>
            <w:r>
              <w:t xml:space="preserve">décimal ≥ 0, optionnel</w:t>
            </w:r>
          </w:p>
        </w:tc>
        <w:tc>
          <w:tcPr/>
          <w:p>
            <w:pPr>
              <w:pStyle w:val="Compact"/>
            </w:pPr>
            <w:r>
              <w:t xml:space="preserve">Mètres de câble fibre optique posés</w:t>
            </w:r>
          </w:p>
        </w:tc>
      </w:tr>
      <w:tr>
        <w:tc>
          <w:tcPr/>
          <w:p>
            <w:pPr>
              <w:pStyle w:val="Compact"/>
            </w:pPr>
            <w:r>
              <w:rPr>
                <w:rStyle w:val="VerbatimChar"/>
              </w:rPr>
              <w:t xml:space="preserve">interconnexions</w:t>
            </w:r>
          </w:p>
        </w:tc>
        <w:tc>
          <w:tcPr/>
          <w:p>
            <w:pPr>
              <w:pStyle w:val="Compact"/>
            </w:pPr>
            <w:r>
              <w:t xml:space="preserve">entier ≥ 0, optionnel</w:t>
            </w:r>
          </w:p>
        </w:tc>
        <w:tc>
          <w:tcPr/>
          <w:p>
            <w:pPr>
              <w:pStyle w:val="Compact"/>
            </w:pPr>
            <w:r>
              <w:t xml:space="preserve">Interconnexions installées entre locaux</w:t>
            </w:r>
          </w:p>
        </w:tc>
      </w:tr>
      <w:tr>
        <w:tc>
          <w:tcPr/>
          <w:p>
            <w:pPr>
              <w:pStyle w:val="Compact"/>
            </w:pPr>
            <w:r>
              <w:rPr>
                <w:rStyle w:val="VerbatimChar"/>
              </w:rPr>
              <w:t xml:space="preserve">connexions_optiques_brins</w:t>
            </w:r>
          </w:p>
        </w:tc>
        <w:tc>
          <w:tcPr/>
          <w:p>
            <w:pPr>
              <w:pStyle w:val="Compact"/>
            </w:pPr>
            <w:r>
              <w:t xml:space="preserve">entier ≥ 0, optionnel</w:t>
            </w:r>
          </w:p>
        </w:tc>
        <w:tc>
          <w:tcPr/>
          <w:p>
            <w:pPr>
              <w:pStyle w:val="Compact"/>
            </w:pPr>
            <w:r>
              <w:t xml:space="preserve">Brins de fibre fusionnés ou connectés</w:t>
            </w:r>
          </w:p>
        </w:tc>
      </w:tr>
      <w:tr>
        <w:tc>
          <w:tcPr/>
          <w:p>
            <w:pPr>
              <w:pStyle w:val="Compact"/>
            </w:pPr>
            <w:r>
              <w:rPr>
                <w:rStyle w:val="VerbatimChar"/>
              </w:rPr>
              <w:t xml:space="preserve">etages</w:t>
            </w:r>
          </w:p>
        </w:tc>
        <w:tc>
          <w:tcPr/>
          <w:p>
            <w:pPr>
              <w:pStyle w:val="Compact"/>
            </w:pPr>
            <w:r>
              <w:t xml:space="preserve">liste énumérée, optionnel</w:t>
            </w:r>
          </w:p>
        </w:tc>
        <w:tc>
          <w:tcPr/>
          <w:p>
            <w:pPr>
              <w:pStyle w:val="Compact"/>
            </w:pPr>
            <w:r>
              <w:t xml:space="preserve">RDC, E1 à E4</w:t>
            </w:r>
          </w:p>
        </w:tc>
      </w:tr>
      <w:tr>
        <w:tc>
          <w:tcPr/>
          <w:p>
            <w:pPr>
              <w:pStyle w:val="Compact"/>
            </w:pPr>
            <w:r>
              <w:rPr>
                <w:rStyle w:val="VerbatimChar"/>
              </w:rPr>
              <w:t xml:space="preserve">ailes</w:t>
            </w:r>
          </w:p>
        </w:tc>
        <w:tc>
          <w:tcPr/>
          <w:p>
            <w:pPr>
              <w:pStyle w:val="Compact"/>
            </w:pPr>
            <w:r>
              <w:t xml:space="preserve">liste énumérée, optionnel</w:t>
            </w:r>
          </w:p>
        </w:tc>
        <w:tc>
          <w:tcPr/>
          <w:p>
            <w:pPr>
              <w:pStyle w:val="Compact"/>
            </w:pPr>
            <w:r>
              <w:t xml:space="preserve">Droite, Gauche</w:t>
            </w:r>
          </w:p>
        </w:tc>
      </w:tr>
      <w:tr>
        <w:tc>
          <w:tcPr/>
          <w:p>
            <w:pPr>
              <w:pStyle w:val="Compact"/>
            </w:pPr>
            <w:r>
              <w:rPr>
                <w:rStyle w:val="VerbatimChar"/>
              </w:rPr>
              <w:t xml:space="preserve">locaux_techniques</w:t>
            </w:r>
          </w:p>
        </w:tc>
        <w:tc>
          <w:tcPr/>
          <w:p>
            <w:pPr>
              <w:pStyle w:val="Compact"/>
            </w:pPr>
            <w:r>
              <w:t xml:space="preserve">liste énumérée, optionnel</w:t>
            </w:r>
          </w:p>
        </w:tc>
        <w:tc>
          <w:tcPr/>
          <w:p>
            <w:pPr>
              <w:pStyle w:val="Compact"/>
            </w:pPr>
            <w:r>
              <w:t xml:space="preserve">RG, SR1 à SR10</w:t>
            </w:r>
          </w:p>
        </w:tc>
      </w:tr>
      <w:tr>
        <w:tc>
          <w:tcPr/>
          <w:p>
            <w:pPr>
              <w:pStyle w:val="Compact"/>
            </w:pPr>
            <w:r>
              <w:rPr>
                <w:rStyle w:val="VerbatimChar"/>
              </w:rPr>
              <w:t xml:space="preserve">stock_cable_m</w:t>
            </w:r>
          </w:p>
        </w:tc>
        <w:tc>
          <w:tcPr/>
          <w:p>
            <w:pPr>
              <w:pStyle w:val="Compact"/>
            </w:pPr>
            <w:r>
              <w:t xml:space="preserve">décimal ≥ 0, optionnel</w:t>
            </w:r>
          </w:p>
        </w:tc>
        <w:tc>
          <w:tcPr/>
          <w:p>
            <w:pPr>
              <w:pStyle w:val="Compact"/>
            </w:pPr>
            <w:r>
              <w:t xml:space="preserve">Câble restant en stock sur site</w:t>
            </w:r>
          </w:p>
        </w:tc>
      </w:tr>
      <w:tr>
        <w:tc>
          <w:tcPr/>
          <w:p>
            <w:pPr>
              <w:pStyle w:val="Compact"/>
            </w:pPr>
            <w:r>
              <w:rPr>
                <w:rStyle w:val="VerbatimChar"/>
              </w:rPr>
              <w:t xml:space="preserve">stock_goulotte_m</w:t>
            </w:r>
          </w:p>
        </w:tc>
        <w:tc>
          <w:tcPr/>
          <w:p>
            <w:pPr>
              <w:pStyle w:val="Compact"/>
            </w:pPr>
            <w:r>
              <w:t xml:space="preserve">décimal ≥ 0, optionnel</w:t>
            </w:r>
          </w:p>
        </w:tc>
        <w:tc>
          <w:tcPr/>
          <w:p>
            <w:pPr>
              <w:pStyle w:val="Compact"/>
            </w:pPr>
            <w:r>
              <w:t xml:space="preserve">Goulotte restante en stock</w:t>
            </w:r>
          </w:p>
        </w:tc>
      </w:tr>
      <w:tr>
        <w:tc>
          <w:tcPr/>
          <w:p>
            <w:pPr>
              <w:pStyle w:val="Compact"/>
            </w:pPr>
            <w:r>
              <w:rPr>
                <w:rStyle w:val="VerbatimChar"/>
              </w:rPr>
              <w:t xml:space="preserve">stock_fibre_m</w:t>
            </w:r>
          </w:p>
        </w:tc>
        <w:tc>
          <w:tcPr/>
          <w:p>
            <w:pPr>
              <w:pStyle w:val="Compact"/>
            </w:pPr>
            <w:r>
              <w:t xml:space="preserve">décimal ≥ 0, optionnel</w:t>
            </w:r>
          </w:p>
        </w:tc>
        <w:tc>
          <w:tcPr/>
          <w:p>
            <w:pPr>
              <w:pStyle w:val="Compact"/>
            </w:pPr>
            <w:r>
              <w:t xml:space="preserve">Fibre restante en stock</w:t>
            </w:r>
          </w:p>
        </w:tc>
      </w:tr>
      <w:tr>
        <w:tc>
          <w:tcPr/>
          <w:p>
            <w:pPr>
              <w:pStyle w:val="Compact"/>
            </w:pPr>
            <w:r>
              <w:rPr>
                <w:rStyle w:val="VerbatimChar"/>
              </w:rPr>
              <w:t xml:space="preserve">remarques</w:t>
            </w:r>
          </w:p>
        </w:tc>
        <w:tc>
          <w:tcPr/>
          <w:p>
            <w:pPr>
              <w:pStyle w:val="Compact"/>
            </w:pPr>
            <w:r>
              <w:t xml:space="preserve">texte, optionnel</w:t>
            </w:r>
          </w:p>
        </w:tc>
        <w:tc>
          <w:tcPr/>
          <w:p>
            <w:pPr>
              <w:pStyle w:val="Compact"/>
            </w:pPr>
            <w:r>
              <w:t xml:space="preserve">Problèmes, blocages, matériel manquant</w:t>
            </w:r>
          </w:p>
        </w:tc>
      </w:tr>
      <w:tr>
        <w:tc>
          <w:tcPr/>
          <w:p>
            <w:pPr>
              <w:pStyle w:val="Compact"/>
            </w:pPr>
            <w:r>
              <w:rPr>
                <w:rStyle w:val="VerbatimChar"/>
              </w:rPr>
              <w:t xml:space="preserve">resume</w:t>
            </w:r>
          </w:p>
        </w:tc>
        <w:tc>
          <w:tcPr/>
          <w:p>
            <w:pPr>
              <w:pStyle w:val="Compact"/>
            </w:pPr>
            <w:r>
              <w:t xml:space="preserve">texte,</w:t>
            </w:r>
            <w:r>
              <w:t xml:space="preserve"> </w:t>
            </w:r>
            <w:r>
              <w:rPr>
                <w:b/>
                <w:bCs/>
              </w:rPr>
              <w:t xml:space="preserve">obligatoire</w:t>
            </w:r>
          </w:p>
        </w:tc>
        <w:tc>
          <w:tcPr/>
          <w:p>
            <w:pPr>
              <w:pStyle w:val="Compact"/>
            </w:pPr>
            <w:r>
              <w:t xml:space="preserve">Résumé professionnel en français (2 à 4 phrases)</w:t>
            </w:r>
          </w:p>
        </w:tc>
      </w:tr>
    </w:tbl>
    <w:p>
      <w:pPr>
        <w:pStyle w:val="BodyText"/>
      </w:pPr>
      <w:r>
        <w:rPr>
          <w:b/>
          <w:bCs/>
        </w:rPr>
        <w:t xml:space="preserve">Tableau 3.1 :</w:t>
      </w:r>
      <w:r>
        <w:t xml:space="preserve"> </w:t>
      </w:r>
      <w:r>
        <w:t xml:space="preserve">Schéma du rapport extrait (</w:t>
      </w:r>
      <w:r>
        <w:rPr>
          <w:rStyle w:val="VerbatimChar"/>
        </w:rPr>
        <w:t xml:space="preserve">ExtractedReport</w:t>
      </w:r>
      <w:r>
        <w:t xml:space="preserve">).</w:t>
      </w:r>
    </w:p>
    <w:p>
      <w:pPr>
        <w:pStyle w:val="BodyText"/>
      </w:pPr>
      <w:r>
        <w:t xml:space="preserve">Trois décisions de modélisation méritent d’être justifiées.</w:t>
      </w:r>
    </w:p>
    <w:p>
      <w:pPr>
        <w:pStyle w:val="BodyText"/>
      </w:pPr>
      <w:r>
        <w:rPr>
          <w:b/>
          <w:bCs/>
        </w:rPr>
        <w:t xml:space="preserve">Trois compteurs de prises, pas un.</w:t>
      </w:r>
      <w:r>
        <w:t xml:space="preserve"> </w:t>
      </w:r>
      <w:r>
        <w:t xml:space="preserve">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pPr>
        <w:pStyle w:val="BodyText"/>
      </w:pPr>
      <w:r>
        <w:rPr>
          <w:rStyle w:val="VerbatimChar"/>
          <w:b/>
          <w:bCs/>
        </w:rPr>
        <w:t xml:space="preserve">chantier</w:t>
      </w:r>
      <w:r>
        <w:rPr>
          <w:b/>
          <w:bCs/>
        </w:rPr>
        <w:t xml:space="preserve"> </w:t>
      </w:r>
      <w:r>
        <w:rPr>
          <w:b/>
          <w:bCs/>
        </w:rPr>
        <w:t xml:space="preserve">n’est délibérément pas un champ du modèle.</w:t>
      </w:r>
      <w:r>
        <w:t xml:space="preserve"> </w:t>
      </w:r>
      <w:r>
        <w:t xml:space="preserve">Le routage vient de l’organigramme — un chef porte un chantier, ses techniciens en héritent — et non de ce que le modèle a cru entendre. Le chantier est estampillé sur la ligne par le service, puis figé, de sorte qu’une réaffectation ultérieure ne réécrit jamais l’histoire.</w:t>
      </w:r>
    </w:p>
    <w:p>
      <w:pPr>
        <w:pStyle w:val="BodyText"/>
      </w:pPr>
      <w:r>
        <w:rPr>
          <w:b/>
          <w:bCs/>
        </w:rPr>
        <w:t xml:space="preserve">Les colonnes de pilotage sont exclues.</w:t>
      </w:r>
      <w:r>
        <w:t xml:space="preserve"> </w:t>
      </w:r>
      <w:r>
        <w:t xml:space="preserve">Équipe, heures, jours-homme, ordre du jour et taux de réalisation sont planifiés avant la journée ou jugés après elle. Un technicien ne les dicte pas ; le chef les saisit dans le tableau de bord, et une fusion ne les touche jamais.</w:t>
      </w:r>
    </w:p>
    <w:bookmarkEnd w:id="61"/>
    <w:bookmarkStart w:id="62" w:name="politique-aucune-donnée-inventée"/>
    <w:p>
      <w:pPr>
        <w:pStyle w:val="Heading3"/>
      </w:pPr>
      <w:r>
        <w:t xml:space="preserve">3.3.2 Politique « aucune donnée inventée »</w:t>
      </w:r>
    </w:p>
    <w:p>
      <w:pPr>
        <w:pStyle w:val="FirstParagraph"/>
      </w:pPr>
      <w:r>
        <w:t xml:space="preserve">Tous les champs métier sont optionnels et valent nul par défaut. L’instruction impose explicitement la valeur nulle pour toute information absente ; la validation Pydantic rejette les valeurs hors bornes. Trois mécanismes complètent cette politique :</w:t>
      </w:r>
    </w:p>
    <w:p>
      <w:pPr>
        <w:pStyle w:val="Compact"/>
        <w:numPr>
          <w:ilvl w:val="0"/>
          <w:numId w:val="1009"/>
        </w:numPr>
      </w:pPr>
      <w:r>
        <w:rPr>
          <w:b/>
          <w:bCs/>
        </w:rPr>
        <w:t xml:space="preserve">Normalisation avant typage</w:t>
      </w:r>
      <w:r>
        <w:t xml:space="preserve"> </w:t>
      </w:r>
      <w:r>
        <w:t xml:space="preserve">: les modèles en mode JSON émettent parfois la</w:t>
      </w:r>
      <w:r>
        <w:t xml:space="preserve"> </w:t>
      </w:r>
      <w:r>
        <w:rPr>
          <w:i/>
          <w:iCs/>
        </w:rPr>
        <w:t xml:space="preserve">chaîne</w:t>
      </w:r>
      <w:r>
        <w:t xml:space="preserve"> </w:t>
      </w:r>
      <w:r>
        <w:rPr>
          <w:rStyle w:val="VerbatimChar"/>
        </w:rPr>
        <w:t xml:space="preserve">"null"</w:t>
      </w:r>
      <w:r>
        <w:t xml:space="preserve"> </w:t>
      </w:r>
      <w:r>
        <w:t xml:space="preserve">; un validateur la ramène à la valeur nulle avant le typage strict.</w:t>
      </w:r>
    </w:p>
    <w:p>
      <w:pPr>
        <w:pStyle w:val="Compact"/>
        <w:numPr>
          <w:ilvl w:val="0"/>
          <w:numId w:val="1009"/>
        </w:numPr>
      </w:pPr>
      <w:r>
        <w:rPr>
          <w:b/>
          <w:bCs/>
        </w:rPr>
        <w:t xml:space="preserve">Normalisation des formes, pas des faits</w:t>
      </w:r>
      <w:r>
        <w:t xml:space="preserve"> </w:t>
      </w:r>
      <w:r>
        <w:t xml:space="preserve">:</w:t>
      </w:r>
      <w:r>
        <w:t xml:space="preserve"> </w:t>
      </w:r>
      <w:r>
        <w:rPr>
          <w:rStyle w:val="VerbatimChar"/>
        </w:rPr>
        <w:t xml:space="preserve">rdc</w:t>
      </w:r>
      <w:r>
        <w:t xml:space="preserve">,</w:t>
      </w:r>
      <w:r>
        <w:t xml:space="preserve"> </w:t>
      </w:r>
      <w:r>
        <w:rPr>
          <w:rStyle w:val="VerbatimChar"/>
        </w:rPr>
        <w:t xml:space="preserve">1er étage</w:t>
      </w:r>
      <w:r>
        <w:t xml:space="preserve">,</w:t>
      </w:r>
      <w:r>
        <w:t xml:space="preserve"> </w:t>
      </w:r>
      <w:r>
        <w:rPr>
          <w:rStyle w:val="VerbatimChar"/>
        </w:rPr>
        <w:t xml:space="preserve">SR 4</w:t>
      </w:r>
      <w:r>
        <w:t xml:space="preserve"> </w:t>
      </w:r>
      <w:r>
        <w:t xml:space="preserve">sont des erreurs de forme, pas de contenu ; une table d’alias les normalise. Mais une localisation</w:t>
      </w:r>
      <w:r>
        <w:t xml:space="preserve"> </w:t>
      </w:r>
      <w:r>
        <w:rPr>
          <w:b/>
          <w:bCs/>
        </w:rPr>
        <w:t xml:space="preserve">non reconnue lève une erreur</w:t>
      </w:r>
      <w:r>
        <w:t xml:space="preserve"> </w:t>
      </w:r>
      <w:r>
        <w:t xml:space="preserve">au lieu d’être ignorée : la chaîne de repli réessaie, plutôt que d’écrire un étage inventé.</w:t>
      </w:r>
    </w:p>
    <w:p>
      <w:pPr>
        <w:pStyle w:val="Compact"/>
        <w:numPr>
          <w:ilvl w:val="0"/>
          <w:numId w:val="1009"/>
        </w:numPr>
      </w:pPr>
      <w:r>
        <w:rPr>
          <w:rStyle w:val="VerbatimChar"/>
          <w:b/>
          <w:bCs/>
        </w:rPr>
        <w:t xml:space="preserve">has_data()</w:t>
      </w:r>
      <w:r>
        <w:t xml:space="preserve"> </w:t>
      </w:r>
      <w:r>
        <w:t xml:space="preserve">: « salam » s’extrait parfaitement — tous les champs nuls et un</w:t>
      </w:r>
      <w:r>
        <w:t xml:space="preserve"> </w:t>
      </w:r>
      <w:r>
        <w:rPr>
          <w:rStyle w:val="VerbatimChar"/>
        </w:rPr>
        <w:t xml:space="preserve">resume</w:t>
      </w:r>
      <w:r>
        <w:t xml:space="preserve"> </w:t>
      </w:r>
      <w:r>
        <w:t xml:space="preserve">poli — et un code 200 devient alors indiscernable d’un vrai rapport.</w:t>
      </w:r>
      <w:r>
        <w:t xml:space="preserve"> </w:t>
      </w:r>
      <w:r>
        <w:rPr>
          <w:rStyle w:val="VerbatimChar"/>
        </w:rPr>
        <w:t xml:space="preserve">has_data()</w:t>
      </w:r>
      <w:r>
        <w:t xml:space="preserve"> </w:t>
      </w:r>
      <w:r>
        <w:t xml:space="preserve">ignore délibérément</w:t>
      </w:r>
      <w:r>
        <w:t xml:space="preserve"> </w:t>
      </w:r>
      <w:r>
        <w:rPr>
          <w:rStyle w:val="VerbatimChar"/>
        </w:rPr>
        <w:t xml:space="preserve">resume</w:t>
      </w:r>
      <w:r>
        <w:t xml:space="preserve">, le seul champ que le modèle remplit toujours et qui ne peut donc pas distinguer les deux cas. Il compte en revanche les remarques, la localisation et le stock : une journée sans mètres mais avec un blocage (« arrêtés 1h30 sur instruction »)</w:t>
      </w:r>
      <w:r>
        <w:t xml:space="preserve"> </w:t>
      </w:r>
      <w:r>
        <w:rPr>
          <w:b/>
          <w:bCs/>
        </w:rPr>
        <w:t xml:space="preserve">est</w:t>
      </w:r>
      <w:r>
        <w:t xml:space="preserve"> </w:t>
      </w:r>
      <w:r>
        <w:t xml:space="preserve">le rapport dont le directeur a le plus besoin.</w:t>
      </w:r>
    </w:p>
    <w:bookmarkEnd w:id="62"/>
    <w:bookmarkStart w:id="63" w:name="X56b59e6caaef4ec090c8ab4414c1b56fc1fa726"/>
    <w:p>
      <w:pPr>
        <w:pStyle w:val="Heading3"/>
      </w:pPr>
      <w:r>
        <w:t xml:space="preserve">3.3.3 Le modèle relationnel : une personne, plusieurs canaux</w:t>
      </w:r>
    </w:p>
    <w:p>
      <w:pPr>
        <w:pStyle w:val="FirstParagraph"/>
      </w:pPr>
      <w:r>
        <w:t xml:space="preserve">Le stockage technique repose sur PostgreSQL. Sa décision structurante date du 1er août 2026 : la table</w:t>
      </w:r>
      <w:r>
        <w:t xml:space="preserve"> </w:t>
      </w:r>
      <w:r>
        <w:rPr>
          <w:rStyle w:val="VerbatimChar"/>
        </w:rPr>
        <w:t xml:space="preserve">users</w:t>
      </w:r>
      <w:r>
        <w:t xml:space="preserve"> </w:t>
      </w:r>
      <w:r>
        <w:t xml:space="preserve">a été</w:t>
      </w:r>
      <w:r>
        <w:t xml:space="preserve"> </w:t>
      </w:r>
      <w:r>
        <w:rPr>
          <w:b/>
          <w:bCs/>
        </w:rPr>
        <w:t xml:space="preserve">fusionnée dans</w:t>
      </w:r>
      <w:r>
        <w:rPr>
          <w:b/>
          <w:bCs/>
        </w:rPr>
        <w:t xml:space="preserve"> </w:t>
      </w:r>
      <w:r>
        <w:rPr>
          <w:rStyle w:val="VerbatimChar"/>
          <w:b/>
          <w:bCs/>
        </w:rPr>
        <w:t xml:space="preserve">persons</w:t>
      </w:r>
      <w:r>
        <w:rPr>
          <w:b/>
          <w:bCs/>
        </w:rPr>
        <w:t xml:space="preserve"> </w:t>
      </w:r>
      <w:r>
        <w:rPr>
          <w:b/>
          <w:bCs/>
        </w:rPr>
        <w:t xml:space="preserve">puis supprimée</w:t>
      </w:r>
      <w:r>
        <w:t xml:space="preserve">.</w:t>
      </w:r>
    </w:p>
    <w:p>
      <w:pPr>
        <w:pStyle w:val="BodyText"/>
      </w:pPr>
      <w:r>
        <w:t xml:space="preserve">L’argument initial du découpage était le cycle de vie (« un technicien ne se connecte jamais »), qui est un argument sur les</w:t>
      </w:r>
      <w:r>
        <w:t xml:space="preserve"> </w:t>
      </w:r>
      <w:r>
        <w:rPr>
          <w:i/>
          <w:iCs/>
        </w:rPr>
        <w:t xml:space="preserve">identifiants de connexion</w:t>
      </w:r>
      <w:r>
        <w:t xml:space="preserve">, non sur l’</w:t>
      </w:r>
      <w:r>
        <w:rPr>
          <w:i/>
          <w:iCs/>
        </w:rPr>
        <w:t xml:space="preserve">identité</w:t>
      </w:r>
      <w:r>
        <w:t xml:space="preserve">. Deux tables pour un même humain faisaient d’un chef qui envoie aussi des notes vocales deux lignes sans relation — donc deux cases sur l’organigramme. Le modèle retenu est :</w:t>
      </w:r>
    </w:p>
    <w:p>
      <w:pPr>
        <w:pStyle w:val="Compact"/>
        <w:numPr>
          <w:ilvl w:val="0"/>
          <w:numId w:val="1010"/>
        </w:numPr>
      </w:pPr>
      <w:r>
        <w:rPr>
          <w:rStyle w:val="VerbatimChar"/>
          <w:b/>
          <w:bCs/>
        </w:rPr>
        <w:t xml:space="preserve">persons</w:t>
      </w:r>
      <w:r>
        <w:t xml:space="preserve"> </w:t>
      </w:r>
      <w:r>
        <w:t xml:space="preserve">: l’humain (nom, rôle,</w:t>
      </w:r>
      <w:r>
        <w:t xml:space="preserve"> </w:t>
      </w:r>
      <w:r>
        <w:rPr>
          <w:rStyle w:val="VerbatimChar"/>
        </w:rPr>
        <w:t xml:space="preserve">manager_id</w:t>
      </w:r>
      <w:r>
        <w:t xml:space="preserve">, chantier, profil</w:t>
      </w:r>
      <w:r>
        <w:t xml:space="preserve"> </w:t>
      </w:r>
      <w:r>
        <w:rPr>
          <w:b/>
          <w:bCs/>
        </w:rPr>
        <w:t xml:space="preserve">et identifiants de connexion</w:t>
      </w:r>
      <w:r>
        <w:t xml:space="preserve">).</w:t>
      </w:r>
    </w:p>
    <w:p>
      <w:pPr>
        <w:pStyle w:val="Compact"/>
        <w:numPr>
          <w:ilvl w:val="0"/>
          <w:numId w:val="1010"/>
        </w:numPr>
      </w:pPr>
      <w:r>
        <w:rPr>
          <w:rStyle w:val="VerbatimChar"/>
          <w:b/>
          <w:bCs/>
        </w:rPr>
        <w:t xml:space="preserve">technicians</w:t>
      </w:r>
      <w:r>
        <w:t xml:space="preserve"> </w:t>
      </w:r>
      <w:r>
        <w:t xml:space="preserve">: ses identités de canal (</w:t>
      </w:r>
      <w:r>
        <w:rPr>
          <w:rStyle w:val="VerbatimChar"/>
        </w:rPr>
        <w:t xml:space="preserve">channel</w:t>
      </w:r>
      <w:r>
        <w:t xml:space="preserve">,</w:t>
      </w:r>
      <w:r>
        <w:t xml:space="preserve"> </w:t>
      </w:r>
      <w:r>
        <w:rPr>
          <w:rStyle w:val="VerbatimChar"/>
        </w:rPr>
        <w:t xml:space="preserve">external_id</w:t>
      </w:r>
      <w:r>
        <w:t xml:space="preserve">,</w:t>
      </w:r>
      <w:r>
        <w:t xml:space="preserve"> </w:t>
      </w:r>
      <w:r>
        <w:rPr>
          <w:rStyle w:val="VerbatimChar"/>
        </w:rPr>
        <w:t xml:space="preserve">active</w:t>
      </w:r>
      <w:r>
        <w:t xml:space="preserve">), plusieurs par personne.</w:t>
      </w:r>
    </w:p>
    <w:p>
      <w:pPr>
        <w:pStyle w:val="FirstParagraph"/>
      </w:pPr>
      <w:r>
        <w:t xml:space="preserve">Conséquence directe :</w:t>
      </w:r>
      <w:r>
        <w:t xml:space="preserve"> </w:t>
      </w:r>
      <w:r>
        <w:rPr>
          <w:rStyle w:val="VerbatimChar"/>
          <w:b/>
          <w:bCs/>
        </w:rPr>
        <w:t xml:space="preserve">password_hash IS NOT NULL</w:t>
      </w:r>
      <w:r>
        <w:rPr>
          <w:b/>
          <w:bCs/>
        </w:rPr>
        <w:t xml:space="preserve"> </w:t>
      </w:r>
      <w:r>
        <w:rPr>
          <w:b/>
          <w:bCs/>
        </w:rPr>
        <w:t xml:space="preserve">constitue à lui seul la définition d’« un compte »</w:t>
      </w:r>
      <w:r>
        <w:t xml:space="preserve">. La suppression d’un compte efface les identifiants sans supprimer la ligne — un</w:t>
      </w:r>
      <w:r>
        <w:t xml:space="preserve"> </w:t>
      </w:r>
      <w:r>
        <w:rPr>
          <w:rStyle w:val="VerbatimChar"/>
        </w:rPr>
        <w:t xml:space="preserve">DELETE</w:t>
      </w:r>
      <w:r>
        <w:t xml:space="preserve"> </w:t>
      </w:r>
      <w:r>
        <w:t xml:space="preserve">emporterait en cascade la personne, ses canaux et son profil.</w:t>
      </w:r>
    </w:p>
    <w:p>
      <w:pPr>
        <w:pStyle w:val="BodyText"/>
      </w:pPr>
      <w:r>
        <w:t xml:space="preserve">Les autres tables sont</w:t>
      </w:r>
      <w:r>
        <w:t xml:space="preserve"> </w:t>
      </w:r>
      <w:r>
        <w:rPr>
          <w:rStyle w:val="VerbatimChar"/>
        </w:rPr>
        <w:t xml:space="preserve">pipeline_logs</w:t>
      </w:r>
      <w:r>
        <w:t xml:space="preserve"> </w:t>
      </w:r>
      <w:r>
        <w:t xml:space="preserve">(journal d’étapes),</w:t>
      </w:r>
      <w:r>
        <w:t xml:space="preserve"> </w:t>
      </w:r>
      <w:r>
        <w:rPr>
          <w:rStyle w:val="VerbatimChar"/>
        </w:rPr>
        <w:t xml:space="preserve">processed_messages</w:t>
      </w:r>
      <w:r>
        <w:t xml:space="preserve"> </w:t>
      </w:r>
      <w:r>
        <w:t xml:space="preserve">(idempotence),</w:t>
      </w:r>
      <w:r>
        <w:t xml:space="preserve"> </w:t>
      </w:r>
      <w:r>
        <w:rPr>
          <w:rStyle w:val="VerbatimChar"/>
        </w:rPr>
        <w:t xml:space="preserve">failed_writes</w:t>
      </w:r>
      <w:r>
        <w:t xml:space="preserve"> </w:t>
      </w:r>
      <w:r>
        <w:t xml:space="preserve">(file de reprise),</w:t>
      </w:r>
      <w:r>
        <w:t xml:space="preserve"> </w:t>
      </w:r>
      <w:r>
        <w:rPr>
          <w:rStyle w:val="VerbatimChar"/>
        </w:rPr>
        <w:t xml:space="preserve">sessions</w:t>
      </w:r>
      <w:r>
        <w:t xml:space="preserve">,</w:t>
      </w:r>
      <w:r>
        <w:t xml:space="preserve"> </w:t>
      </w:r>
      <w:r>
        <w:rPr>
          <w:rStyle w:val="VerbatimChar"/>
        </w:rPr>
        <w:t xml:space="preserve">user_actions</w:t>
      </w:r>
      <w:r>
        <w:t xml:space="preserve">,</w:t>
      </w:r>
      <w:r>
        <w:t xml:space="preserve"> </w:t>
      </w:r>
      <w:r>
        <w:rPr>
          <w:rStyle w:val="VerbatimChar"/>
        </w:rPr>
        <w:t xml:space="preserve">page_visits</w:t>
      </w:r>
      <w:r>
        <w:t xml:space="preserve">,</w:t>
      </w:r>
      <w:r>
        <w:t xml:space="preserve"> </w:t>
      </w:r>
      <w:r>
        <w:rPr>
          <w:rStyle w:val="VerbatimChar"/>
        </w:rPr>
        <w:t xml:space="preserve">service_samples</w:t>
      </w:r>
      <w:r>
        <w:t xml:space="preserve"> </w:t>
      </w:r>
      <w:r>
        <w:t xml:space="preserve">(historique de disponibilité),</w:t>
      </w:r>
      <w:r>
        <w:t xml:space="preserve"> </w:t>
      </w:r>
      <w:r>
        <w:rPr>
          <w:rStyle w:val="VerbatimChar"/>
        </w:rPr>
        <w:t xml:space="preserve">app_settings</w:t>
      </w:r>
      <w:r>
        <w:t xml:space="preserve">,</w:t>
      </w:r>
      <w:r>
        <w:t xml:space="preserve"> </w:t>
      </w:r>
      <w:r>
        <w:rPr>
          <w:rStyle w:val="VerbatimChar"/>
        </w:rPr>
        <w:t xml:space="preserve">chantiers</w:t>
      </w:r>
      <w:r>
        <w:t xml:space="preserve"> </w:t>
      </w:r>
      <w:r>
        <w:t xml:space="preserve">et</w:t>
      </w:r>
      <w:r>
        <w:t xml:space="preserve"> </w:t>
      </w:r>
      <w:r>
        <w:rPr>
          <w:rStyle w:val="VerbatimChar"/>
        </w:rPr>
        <w:t xml:space="preserve">articles</w:t>
      </w:r>
      <w:r>
        <w:t xml:space="preserve">.</w:t>
      </w:r>
    </w:p>
    <w:p>
      <w:pPr>
        <w:pStyle w:val="BodyText"/>
      </w:pPr>
      <w:r>
        <w:rPr>
          <w:b/>
          <w:bCs/>
        </w:rPr>
        <w:t xml:space="preserve">Figure 3.4 :</w:t>
      </w:r>
      <w:r>
        <w:t xml:space="preserve"> </w:t>
      </w:r>
      <w:r>
        <w:t xml:space="preserve">Modèle relationnel PostgreSQL.</w:t>
      </w:r>
      <w:r>
        <w:t xml:space="preserve"> </w:t>
      </w:r>
      <w:r>
        <w:rPr>
          <w:i/>
          <w:iCs/>
        </w:rPr>
        <w:t xml:space="preserve">[FIGURE À INSÉRER — schéma entité-association,</w:t>
      </w:r>
      <w:r>
        <w:rPr>
          <w:i/>
          <w:iCs/>
        </w:rPr>
        <w:t xml:space="preserve"> </w:t>
      </w:r>
      <w:r>
        <w:rPr>
          <w:rStyle w:val="VerbatimChar"/>
          <w:i/>
          <w:iCs/>
        </w:rPr>
        <w:t xml:space="preserve">persons</w:t>
      </w:r>
      <w:r>
        <w:rPr>
          <w:i/>
          <w:iCs/>
        </w:rPr>
        <w:t xml:space="preserve"> </w:t>
      </w:r>
      <w:r>
        <w:rPr>
          <w:i/>
          <w:iCs/>
        </w:rPr>
        <w:t xml:space="preserve">au centre.]</w:t>
      </w:r>
    </w:p>
    <w:bookmarkEnd w:id="63"/>
    <w:bookmarkEnd w:id="64"/>
    <w:bookmarkStart w:id="73" w:name="conception-du-service-applicatif"/>
    <w:p>
      <w:pPr>
        <w:pStyle w:val="Heading2"/>
      </w:pPr>
      <w:r>
        <w:t xml:space="preserve">3.4 Conception du service applicatif</w:t>
      </w:r>
    </w:p>
    <w:bookmarkStart w:id="65" w:name="interface-unique"/>
    <w:p>
      <w:pPr>
        <w:pStyle w:val="Heading3"/>
      </w:pPr>
      <w:r>
        <w:t xml:space="preserve">3.4.1 Interface unique</w:t>
      </w:r>
    </w:p>
    <w:p>
      <w:pPr>
        <w:pStyle w:val="FirstParagraph"/>
      </w:pPr>
      <w:r>
        <w:t xml:space="preserve">Le service expose</w:t>
      </w:r>
      <w:r>
        <w:t xml:space="preserve"> </w:t>
      </w:r>
      <w:r>
        <w:rPr>
          <w:rStyle w:val="VerbatimChar"/>
        </w:rPr>
        <w:t xml:space="preserve">POST /process</w:t>
      </w:r>
      <w:r>
        <w:t xml:space="preserve">, acceptant</w:t>
      </w:r>
      <w:r>
        <w:t xml:space="preserve"> </w:t>
      </w:r>
      <w:r>
        <w:rPr>
          <w:b/>
          <w:bCs/>
        </w:rPr>
        <w:t xml:space="preserve">exactement une</w:t>
      </w:r>
      <w:r>
        <w:t xml:space="preserve"> </w:t>
      </w:r>
      <w:r>
        <w:t xml:space="preserve">de trois entrées :</w:t>
      </w:r>
      <w:r>
        <w:t xml:space="preserve"> </w:t>
      </w:r>
      <w:r>
        <w:rPr>
          <w:rStyle w:val="VerbatimChar"/>
        </w:rPr>
        <w:t xml:space="preserve">audio</w:t>
      </w:r>
      <w:r>
        <w:t xml:space="preserve">,</w:t>
      </w:r>
      <w:r>
        <w:t xml:space="preserve"> </w:t>
      </w:r>
      <w:r>
        <w:rPr>
          <w:rStyle w:val="VerbatimChar"/>
        </w:rPr>
        <w:t xml:space="preserve">image</w:t>
      </w:r>
      <w:r>
        <w:t xml:space="preserve"> </w:t>
      </w:r>
      <w:r>
        <w:t xml:space="preserve">ou</w:t>
      </w:r>
      <w:r>
        <w:t xml:space="preserve"> </w:t>
      </w:r>
      <w:r>
        <w:rPr>
          <w:rStyle w:val="VerbatimChar"/>
        </w:rPr>
        <w:t xml:space="preserve">text</w:t>
      </w:r>
      <w:r>
        <w:t xml:space="preserve"> </w:t>
      </w:r>
      <w:r>
        <w:t xml:space="preserve">— toute autre combinaison est un 422. L’aiguillage par type d’entrée est fait par n8n, jamais à l’intérieur du service. Les trois modes convergent vers le même pipeline d’extraction, ce qui rend la solution indépendante du canal.</w:t>
      </w:r>
    </w:p>
    <w:p>
      <w:pPr>
        <w:pStyle w:val="BodyText"/>
      </w:pPr>
      <w:r>
        <w:t xml:space="preserve">Le service compte</w:t>
      </w:r>
      <w:r>
        <w:t xml:space="preserve"> </w:t>
      </w:r>
      <w:r>
        <w:rPr>
          <w:b/>
          <w:bCs/>
        </w:rPr>
        <w:t xml:space="preserve">66 routes</w:t>
      </w:r>
      <w:r>
        <w:t xml:space="preserve"> </w:t>
      </w:r>
      <w:r>
        <w:t xml:space="preserve">et</w:t>
      </w:r>
      <w:r>
        <w:t xml:space="preserve"> </w:t>
      </w:r>
      <w:r>
        <w:rPr>
          <w:b/>
          <w:bCs/>
        </w:rPr>
        <w:t xml:space="preserve">8 489 lignes</w:t>
      </w:r>
      <w:r>
        <w:t xml:space="preserve"> </w:t>
      </w:r>
      <w:r>
        <w:t xml:space="preserve">de Python, organisées en modules :</w:t>
      </w:r>
      <w:r>
        <w:t xml:space="preserve"> </w:t>
      </w:r>
      <w:r>
        <w:rPr>
          <w:rStyle w:val="VerbatimChar"/>
        </w:rPr>
        <w:t xml:space="preserve">main.py</w:t>
      </w:r>
      <w:r>
        <w:t xml:space="preserve"> </w:t>
      </w:r>
      <w:r>
        <w:t xml:space="preserve">(routes),</w:t>
      </w:r>
      <w:r>
        <w:t xml:space="preserve"> </w:t>
      </w:r>
      <w:r>
        <w:rPr>
          <w:rStyle w:val="VerbatimChar"/>
        </w:rPr>
        <w:t xml:space="preserve">extraction.py</w:t>
      </w:r>
      <w:r>
        <w:t xml:space="preserve">,</w:t>
      </w:r>
      <w:r>
        <w:t xml:space="preserve"> </w:t>
      </w:r>
      <w:r>
        <w:rPr>
          <w:rStyle w:val="VerbatimChar"/>
        </w:rPr>
        <w:t xml:space="preserve">journal.py</w:t>
      </w:r>
      <w:r>
        <w:t xml:space="preserve">,</w:t>
      </w:r>
      <w:r>
        <w:t xml:space="preserve"> </w:t>
      </w:r>
      <w:r>
        <w:rPr>
          <w:rStyle w:val="VerbatimChar"/>
        </w:rPr>
        <w:t xml:space="preserve">sheets.py</w:t>
      </w:r>
      <w:r>
        <w:t xml:space="preserve">,</w:t>
      </w:r>
      <w:r>
        <w:t xml:space="preserve"> </w:t>
      </w:r>
      <w:r>
        <w:rPr>
          <w:rStyle w:val="VerbatimChar"/>
        </w:rPr>
        <w:t xml:space="preserve">logs.py</w:t>
      </w:r>
      <w:r>
        <w:t xml:space="preserve">,</w:t>
      </w:r>
      <w:r>
        <w:t xml:space="preserve"> </w:t>
      </w:r>
      <w:r>
        <w:rPr>
          <w:rStyle w:val="VerbatimChar"/>
        </w:rPr>
        <w:t xml:space="preserve">auth.py</w:t>
      </w:r>
      <w:r>
        <w:t xml:space="preserve">,</w:t>
      </w:r>
      <w:r>
        <w:t xml:space="preserve"> </w:t>
      </w:r>
      <w:r>
        <w:rPr>
          <w:rStyle w:val="VerbatimChar"/>
        </w:rPr>
        <w:t xml:space="preserve">jobs.py</w:t>
      </w:r>
      <w:r>
        <w:t xml:space="preserve">,</w:t>
      </w:r>
      <w:r>
        <w:t xml:space="preserve"> </w:t>
      </w:r>
      <w:r>
        <w:rPr>
          <w:rStyle w:val="VerbatimChar"/>
        </w:rPr>
        <w:t xml:space="preserve">memory.py</w:t>
      </w:r>
      <w:r>
        <w:t xml:space="preserve">,</w:t>
      </w:r>
      <w:r>
        <w:t xml:space="preserve"> </w:t>
      </w:r>
      <w:r>
        <w:rPr>
          <w:rStyle w:val="VerbatimChar"/>
        </w:rPr>
        <w:t xml:space="preserve">mailer.py</w:t>
      </w:r>
      <w:r>
        <w:t xml:space="preserve">,</w:t>
      </w:r>
      <w:r>
        <w:t xml:space="preserve"> </w:t>
      </w:r>
      <w:r>
        <w:rPr>
          <w:rStyle w:val="VerbatimChar"/>
        </w:rPr>
        <w:t xml:space="preserve">reply.py</w:t>
      </w:r>
      <w:r>
        <w:t xml:space="preserve">,</w:t>
      </w:r>
      <w:r>
        <w:t xml:space="preserve"> </w:t>
      </w:r>
      <w:r>
        <w:rPr>
          <w:rStyle w:val="VerbatimChar"/>
        </w:rPr>
        <w:t xml:space="preserve">daily_report.py</w:t>
      </w:r>
      <w:r>
        <w:t xml:space="preserve">,</w:t>
      </w:r>
      <w:r>
        <w:t xml:space="preserve"> </w:t>
      </w:r>
      <w:r>
        <w:rPr>
          <w:rStyle w:val="VerbatimChar"/>
        </w:rPr>
        <w:t xml:space="preserve">imagegen.py</w:t>
      </w:r>
      <w:r>
        <w:t xml:space="preserve">,</w:t>
      </w:r>
      <w:r>
        <w:t xml:space="preserve"> </w:t>
      </w:r>
      <w:r>
        <w:rPr>
          <w:rStyle w:val="VerbatimChar"/>
        </w:rPr>
        <w:t xml:space="preserve">prompt_loader.py</w:t>
      </w:r>
      <w:r>
        <w:t xml:space="preserve">,</w:t>
      </w:r>
      <w:r>
        <w:t xml:space="preserve"> </w:t>
      </w:r>
      <w:r>
        <w:rPr>
          <w:rStyle w:val="VerbatimChar"/>
        </w:rPr>
        <w:t xml:space="preserve">schemas.py</w:t>
      </w:r>
      <w:r>
        <w:t xml:space="preserve">,</w:t>
      </w:r>
      <w:r>
        <w:t xml:space="preserve"> </w:t>
      </w:r>
      <w:r>
        <w:rPr>
          <w:rStyle w:val="VerbatimChar"/>
        </w:rPr>
        <w:t xml:space="preserve">config.py</w:t>
      </w:r>
      <w:r>
        <w:t xml:space="preserve">.</w:t>
      </w:r>
    </w:p>
    <w:bookmarkEnd w:id="65"/>
    <w:bookmarkStart w:id="66" w:name="patron-stratégie-pour-la-transcription"/>
    <w:p>
      <w:pPr>
        <w:pStyle w:val="Heading3"/>
      </w:pPr>
      <w:r>
        <w:t xml:space="preserve">3.4.2 Patron Stratégie pour la transcription</w:t>
      </w:r>
    </w:p>
    <w:p>
      <w:pPr>
        <w:pStyle w:val="FirstParagraph"/>
      </w:pPr>
      <w:r>
        <w:t xml:space="preserve">Le choix du moteur étant arbitré par un banc d’essai, la conception rend les moteurs interchangeables. Le patron</w:t>
      </w:r>
      <w:r>
        <w:t xml:space="preserve"> </w:t>
      </w:r>
      <w:r>
        <w:rPr>
          <w:b/>
          <w:bCs/>
        </w:rPr>
        <w:t xml:space="preserve">Stratégie</w:t>
      </w:r>
      <w:r>
        <w:t xml:space="preserve"> </w:t>
      </w:r>
      <w:r>
        <w:t xml:space="preserve">est appliqué : une classe abstraite</w:t>
      </w:r>
      <w:r>
        <w:t xml:space="preserve"> </w:t>
      </w:r>
      <w:r>
        <w:rPr>
          <w:rStyle w:val="VerbatimChar"/>
        </w:rPr>
        <w:t xml:space="preserve">TranscriptionProvider</w:t>
      </w:r>
      <w:r>
        <w:t xml:space="preserve"> </w:t>
      </w:r>
      <w:r>
        <w:t xml:space="preserve">définit le contrat, et chaque moteur est un adaptateur concret enregistré dans un registre par un décorateur</w:t>
      </w:r>
      <w:r>
        <w:t xml:space="preserve"> </w:t>
      </w:r>
      <w:r>
        <w:rPr>
          <w:rStyle w:val="VerbatimChar"/>
        </w:rPr>
        <w:t xml:space="preserve">@register("nom")</w:t>
      </w:r>
      <w:r>
        <w:t xml:space="preserve">. Les adaptateurs sont importés en bas de</w:t>
      </w:r>
      <w:r>
        <w:t xml:space="preserve"> </w:t>
      </w:r>
      <w:r>
        <w:rPr>
          <w:rStyle w:val="VerbatimChar"/>
        </w:rPr>
        <w:t xml:space="preserve">providers/__init__.py</w:t>
      </w:r>
      <w:r>
        <w:t xml:space="preserve"> </w:t>
      </w:r>
      <w:r>
        <w:t xml:space="preserve">pour déclencher leur enregistrement.</w:t>
      </w:r>
    </w:p>
    <w:p>
      <w:pPr>
        <w:pStyle w:val="BodyText"/>
      </w:pPr>
      <w:r>
        <w:t xml:space="preserve">Trois moteurs sont implémentés :</w:t>
      </w:r>
      <w:r>
        <w:t xml:space="preserve"> </w:t>
      </w:r>
      <w:r>
        <w:rPr>
          <w:rStyle w:val="VerbatimChar"/>
        </w:rPr>
        <w:t xml:space="preserve">groq</w:t>
      </w:r>
      <w:r>
        <w:t xml:space="preserve"> </w:t>
      </w:r>
      <w:r>
        <w:t xml:space="preserve">(Whisper large-v3 par API),</w:t>
      </w:r>
      <w:r>
        <w:t xml:space="preserve"> </w:t>
      </w:r>
      <w:r>
        <w:rPr>
          <w:rStyle w:val="VerbatimChar"/>
        </w:rPr>
        <w:t xml:space="preserve">gemini</w:t>
      </w:r>
      <w:r>
        <w:t xml:space="preserve"> </w:t>
      </w:r>
      <w:r>
        <w:t xml:space="preserve">(modèle multimodal natif) et</w:t>
      </w:r>
      <w:r>
        <w:t xml:space="preserve"> </w:t>
      </w:r>
      <w:r>
        <w:rPr>
          <w:rStyle w:val="VerbatimChar"/>
        </w:rPr>
        <w:t xml:space="preserve">local</w:t>
      </w:r>
      <w:r>
        <w:t xml:space="preserve"> </w:t>
      </w:r>
      <w:r>
        <w:t xml:space="preserve">(client HTTP vers un service GPU dédié).</w:t>
      </w:r>
    </w:p>
    <w:p>
      <w:pPr>
        <w:pStyle w:val="BodyText"/>
      </w:pPr>
      <w:r>
        <w:rPr>
          <w:b/>
          <w:bCs/>
        </w:rPr>
        <w:t xml:space="preserve">Figure 3.5 :</w:t>
      </w:r>
      <w:r>
        <w:t xml:space="preserve"> </w:t>
      </w:r>
      <w:r>
        <w:t xml:space="preserve">Diagramme de classes du service.</w:t>
      </w:r>
      <w:r>
        <w:t xml:space="preserve"> </w:t>
      </w:r>
      <w:r>
        <w:rPr>
          <w:i/>
          <w:iCs/>
        </w:rPr>
        <w:t xml:space="preserve">[FIGURE À INSÉRER —</w:t>
      </w:r>
      <w:r>
        <w:rPr>
          <w:i/>
          <w:iCs/>
        </w:rPr>
        <w:t xml:space="preserve"> </w:t>
      </w:r>
      <w:r>
        <w:rPr>
          <w:rStyle w:val="VerbatimChar"/>
          <w:i/>
          <w:iCs/>
        </w:rPr>
        <w:t xml:space="preserve">TranscriptionProvider</w:t>
      </w:r>
      <w:r>
        <w:rPr>
          <w:i/>
          <w:iCs/>
        </w:rPr>
        <w:t xml:space="preserve"> </w:t>
      </w:r>
      <w:r>
        <w:rPr>
          <w:i/>
          <w:iCs/>
        </w:rPr>
        <w:t xml:space="preserve">(abstraite) et ses trois adaptateurs concrets ; registre ;</w:t>
      </w:r>
      <w:r>
        <w:rPr>
          <w:i/>
          <w:iCs/>
        </w:rPr>
        <w:t xml:space="preserve"> </w:t>
      </w:r>
      <w:r>
        <w:rPr>
          <w:rStyle w:val="VerbatimChar"/>
          <w:i/>
          <w:iCs/>
        </w:rPr>
        <w:t xml:space="preserve">ExtractedReport</w:t>
      </w:r>
      <w:r>
        <w:rPr>
          <w:i/>
          <w:iCs/>
        </w:rPr>
        <w:t xml:space="preserve"> </w:t>
      </w:r>
      <w:r>
        <w:rPr>
          <w:i/>
          <w:iCs/>
        </w:rPr>
        <w:t xml:space="preserve">;</w:t>
      </w:r>
      <w:r>
        <w:rPr>
          <w:i/>
          <w:iCs/>
        </w:rPr>
        <w:t xml:space="preserve"> </w:t>
      </w:r>
      <w:r>
        <w:rPr>
          <w:rStyle w:val="VerbatimChar"/>
          <w:i/>
          <w:iCs/>
        </w:rPr>
        <w:t xml:space="preserve">ProcessResponse</w:t>
      </w:r>
      <w:r>
        <w:rPr>
          <w:i/>
          <w:iCs/>
        </w:rPr>
        <w:t xml:space="preserve">.]</w:t>
      </w:r>
    </w:p>
    <w:bookmarkEnd w:id="66"/>
    <w:bookmarkStart w:id="67" w:name="chaînes-de-repli"/>
    <w:p>
      <w:pPr>
        <w:pStyle w:val="Heading3"/>
      </w:pPr>
      <w:r>
        <w:t xml:space="preserve">3.4.3 Chaînes de repli</w:t>
      </w:r>
    </w:p>
    <w:p>
      <w:pPr>
        <w:pStyle w:val="FirstParagraph"/>
      </w:pPr>
      <w:r>
        <w:t xml:space="preserve">Le service exploite</w:t>
      </w:r>
      <w:r>
        <w:t xml:space="preserve"> </w:t>
      </w:r>
      <w:r>
        <w:rPr>
          <w:b/>
          <w:bCs/>
        </w:rPr>
        <w:t xml:space="preserve">quatre</w:t>
      </w:r>
      <w:r>
        <w:t xml:space="preserve"> </w:t>
      </w:r>
      <w:r>
        <w:t xml:space="preserve">chaînes ordonnées</w:t>
      </w:r>
      <w:r>
        <w:t xml:space="preserve"> </w:t>
      </w:r>
      <w:r>
        <w:rPr>
          <w:rStyle w:val="VerbatimChar"/>
        </w:rPr>
        <w:t xml:space="preserve">fournisseur:modèle</w:t>
      </w:r>
      <w:r>
        <w:t xml:space="preserve">, une par forme d’entrée :</w:t>
      </w:r>
      <w:r>
        <w:t xml:space="preserve"> </w:t>
      </w:r>
      <w:r>
        <w:rPr>
          <w:rStyle w:val="VerbatimChar"/>
        </w:rPr>
        <w:t xml:space="preserve">extraction_text_chain</w:t>
      </w:r>
      <w:r>
        <w:t xml:space="preserve">,</w:t>
      </w:r>
      <w:r>
        <w:t xml:space="preserve"> </w:t>
      </w:r>
      <w:r>
        <w:rPr>
          <w:rStyle w:val="VerbatimChar"/>
        </w:rPr>
        <w:t xml:space="preserve">extraction_image_chain</w:t>
      </w:r>
      <w:r>
        <w:t xml:space="preserve">,</w:t>
      </w:r>
      <w:r>
        <w:t xml:space="preserve"> </w:t>
      </w:r>
      <w:r>
        <w:rPr>
          <w:rStyle w:val="VerbatimChar"/>
        </w:rPr>
        <w:t xml:space="preserve">image_generation_chain</w:t>
      </w:r>
      <w:r>
        <w:t xml:space="preserve"> </w:t>
      </w:r>
      <w:r>
        <w:t xml:space="preserve">et</w:t>
      </w:r>
      <w:r>
        <w:t xml:space="preserve"> </w:t>
      </w:r>
      <w:r>
        <w:rPr>
          <w:rStyle w:val="VerbatimChar"/>
        </w:rPr>
        <w:t xml:space="preserve">profile_chain</w:t>
      </w:r>
      <w:r>
        <w:t xml:space="preserve">, auxquelles s’ajoute la chaîne STT. Chaque chaîne est essayée de gauche à droite, retourne quel modèle a répondu, et l’échec de toutes lève une</w:t>
      </w:r>
      <w:r>
        <w:t xml:space="preserve"> </w:t>
      </w:r>
      <w:r>
        <w:rPr>
          <w:rStyle w:val="VerbatimChar"/>
        </w:rPr>
        <w:t xml:space="preserve">ExtractionError</w:t>
      </w:r>
      <w:r>
        <w:t xml:space="preserve"> </w:t>
      </w:r>
      <w:r>
        <w:t xml:space="preserve">combinée détaillant chaque cause —</w:t>
      </w:r>
      <w:r>
        <w:t xml:space="preserve"> </w:t>
      </w:r>
      <w:r>
        <w:rPr>
          <w:b/>
          <w:bCs/>
        </w:rPr>
        <w:t xml:space="preserve">jamais de repli silencieux</w:t>
      </w:r>
      <w:r>
        <w:t xml:space="preserve">.</w:t>
      </w:r>
    </w:p>
    <w:p>
      <w:pPr>
        <w:pStyle w:val="BodyText"/>
      </w:pPr>
      <w:r>
        <w:t xml:space="preserve">La chaîne texte</w:t>
      </w:r>
      <w:r>
        <w:t xml:space="preserve"> </w:t>
      </w:r>
      <w:r>
        <w:rPr>
          <w:b/>
          <w:bCs/>
        </w:rPr>
        <w:t xml:space="preserve">alterne délibérément les fournisseurs</w:t>
      </w:r>
      <w:r>
        <w:t xml:space="preserve">, Gemini et Groq mesurant leurs quotas gratuits séparément ; la chaîne image est exclusivement Google, le catalogue gratuit de Groq ne comportant aucun modèle de vision.</w:t>
      </w:r>
    </w:p>
    <w:bookmarkEnd w:id="67"/>
    <w:bookmarkStart w:id="68" w:name="contrat-derreurs"/>
    <w:p>
      <w:pPr>
        <w:pStyle w:val="Heading3"/>
      </w:pPr>
      <w:r>
        <w:t xml:space="preserve">3.4.4 Contrat d’erreurs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Code HTTP</w:t>
            </w:r>
          </w:p>
        </w:tc>
        <w:tc>
          <w:tcPr/>
          <w:p>
            <w:pPr>
              <w:pStyle w:val="Compact"/>
            </w:pPr>
            <w:r>
              <w:t xml:space="preserve">Comportement attendu de n8n</w:t>
            </w:r>
          </w:p>
        </w:tc>
      </w:tr>
      <w:tr>
        <w:tc>
          <w:tcPr/>
          <w:p>
            <w:pPr>
              <w:pStyle w:val="Compact"/>
            </w:pPr>
            <w:r>
              <w:t xml:space="preserve">Entrée invalide (ni audio, ni image, ni texte ; fournisseur inconnu)</w:t>
            </w:r>
          </w:p>
        </w:tc>
        <w:tc>
          <w:tcPr/>
          <w:p>
            <w:pPr>
              <w:pStyle w:val="Compact"/>
            </w:pPr>
            <w:r>
              <w:t xml:space="preserve">422</w:t>
            </w:r>
          </w:p>
        </w:tc>
        <w:tc>
          <w:tcPr/>
          <w:p>
            <w:pPr>
              <w:pStyle w:val="Compact"/>
            </w:pPr>
            <w:r>
              <w:t xml:space="preserve">Erreur de configuration à corriger</w:t>
            </w:r>
          </w:p>
        </w:tc>
      </w:tr>
      <w:tr>
        <w:tc>
          <w:tcPr/>
          <w:p>
            <w:pPr>
              <w:pStyle w:val="Compact"/>
            </w:pPr>
            <w:r>
              <w:t xml:space="preserve">Défaillance d’un moteur (</w:t>
            </w:r>
            <w:r>
              <w:rPr>
                <w:rStyle w:val="VerbatimChar"/>
              </w:rPr>
              <w:t xml:space="preserve">TranscriptionError</w:t>
            </w:r>
            <w:r>
              <w:t xml:space="preserve">,</w:t>
            </w:r>
            <w:r>
              <w:t xml:space="preserve"> </w:t>
            </w:r>
            <w:r>
              <w:rPr>
                <w:rStyle w:val="VerbatimChar"/>
              </w:rPr>
              <w:t xml:space="preserve">ExtractionError</w:t>
            </w:r>
            <w:r>
              <w:t xml:space="preserve">)</w:t>
            </w:r>
          </w:p>
        </w:tc>
        <w:tc>
          <w:tcPr/>
          <w:p>
            <w:pPr>
              <w:pStyle w:val="Compact"/>
            </w:pPr>
            <w:r>
              <w:t xml:space="preserve">502</w:t>
            </w:r>
          </w:p>
        </w:tc>
        <w:tc>
          <w:tcPr/>
          <w:p>
            <w:pPr>
              <w:pStyle w:val="Compact"/>
            </w:pPr>
            <w:r>
              <w:t xml:space="preserve">Marquage de la ligne en anomalie, notification</w:t>
            </w:r>
          </w:p>
        </w:tc>
      </w:tr>
      <w:tr>
        <w:tc>
          <w:tcPr/>
          <w:p>
            <w:pPr>
              <w:pStyle w:val="Compact"/>
            </w:pPr>
            <w:r>
              <w:t xml:space="preserve">Échec de transport de la réponse au technicien</w:t>
            </w:r>
          </w:p>
        </w:tc>
        <w:tc>
          <w:tcPr/>
          <w:p>
            <w:pPr>
              <w:pStyle w:val="Compact"/>
            </w:pPr>
            <w:r>
              <w:t xml:space="preserve">502</w:t>
            </w:r>
          </w:p>
        </w:tc>
        <w:tc>
          <w:tcPr/>
          <w:p>
            <w:pPr>
              <w:pStyle w:val="Compact"/>
            </w:pPr>
            <w:r>
              <w:t xml:space="preserve">Distinguer une panne externe d’un défaut du service</w:t>
            </w:r>
          </w:p>
        </w:tc>
      </w:tr>
      <w:tr>
        <w:tc>
          <w:tcPr/>
          <w:p>
            <w:pPr>
              <w:pStyle w:val="Compact"/>
            </w:pPr>
            <w:r>
              <w:t xml:space="preserve">Transcription anormalement courte (moins de 10 caractères)</w:t>
            </w:r>
          </w:p>
        </w:tc>
        <w:tc>
          <w:tcPr/>
          <w:p>
            <w:pPr>
              <w:pStyle w:val="Compact"/>
            </w:pPr>
            <w:r>
              <w:t xml:space="preserve">200 +</w:t>
            </w:r>
            <w:r>
              <w:t xml:space="preserve"> </w:t>
            </w:r>
            <w:r>
              <w:rPr>
                <w:rStyle w:val="VerbatimChar"/>
              </w:rPr>
              <w:t xml:space="preserve">short_transcription</w:t>
            </w:r>
          </w:p>
        </w:tc>
        <w:tc>
          <w:tcPr/>
          <w:p>
            <w:pPr>
              <w:pStyle w:val="Compact"/>
            </w:pPr>
            <w:r>
              <w:t xml:space="preserve">Ligne enregistrée mais signalée</w:t>
            </w:r>
          </w:p>
        </w:tc>
      </w:tr>
      <w:tr>
        <w:tc>
          <w:tcPr/>
          <w:p>
            <w:pPr>
              <w:pStyle w:val="Compact"/>
            </w:pPr>
            <w:r>
              <w:t xml:space="preserve">Message sans contenu exploitable</w:t>
            </w:r>
          </w:p>
        </w:tc>
        <w:tc>
          <w:tcPr/>
          <w:p>
            <w:pPr>
              <w:pStyle w:val="Compact"/>
            </w:pPr>
            <w:r>
              <w:t xml:space="preserve">200 +</w:t>
            </w:r>
            <w:r>
              <w:t xml:space="preserve"> </w:t>
            </w:r>
            <w:r>
              <w:rPr>
                <w:rStyle w:val="VerbatimChar"/>
              </w:rPr>
              <w:t xml:space="preserve">no_report_content</w:t>
            </w:r>
          </w:p>
        </w:tc>
        <w:tc>
          <w:tcPr/>
          <w:p>
            <w:pPr>
              <w:pStyle w:val="Compact"/>
            </w:pPr>
            <w:r>
              <w:t xml:space="preserve">Réponse au technicien,</w:t>
            </w:r>
            <w:r>
              <w:t xml:space="preserve"> </w:t>
            </w:r>
            <w:r>
              <w:rPr>
                <w:b/>
                <w:bCs/>
              </w:rPr>
              <w:t xml:space="preserve">pas</w:t>
            </w:r>
            <w:r>
              <w:t xml:space="preserve"> </w:t>
            </w:r>
            <w:r>
              <w:t xml:space="preserve">d’écriture dans le journal</w:t>
            </w:r>
          </w:p>
        </w:tc>
      </w:tr>
    </w:tbl>
    <w:p>
      <w:pPr>
        <w:pStyle w:val="BodyText"/>
      </w:pPr>
      <w:r>
        <w:rPr>
          <w:b/>
          <w:bCs/>
        </w:rPr>
        <w:t xml:space="preserve">Tableau 3.2 :</w:t>
      </w:r>
      <w:r>
        <w:t xml:space="preserve"> </w:t>
      </w:r>
      <w:r>
        <w:t xml:space="preserve">Contrat d’erreurs du service.</w:t>
      </w:r>
    </w:p>
    <w:p>
      <w:pPr>
        <w:pStyle w:val="BodyText"/>
      </w:pPr>
      <w:r>
        <w:t xml:space="preserve">La distinction 422/502 sépare les erreurs de l’appelant des défaillances des moteurs externes ; l’avertissement plutôt que l’erreur illustre le principe : un signal de qualité douteuse est un avertissement structuré, ni une erreur bloquante ni un silence.</w:t>
      </w:r>
    </w:p>
    <w:bookmarkEnd w:id="68"/>
    <w:bookmarkStart w:id="69" w:name="les-instructions-comme-contenu-versionné"/>
    <w:p>
      <w:pPr>
        <w:pStyle w:val="Heading3"/>
      </w:pPr>
      <w:r>
        <w:t xml:space="preserve">3.4.5 Les instructions comme contenu versionné</w:t>
      </w:r>
    </w:p>
    <w:p>
      <w:pPr>
        <w:pStyle w:val="FirstParagraph"/>
      </w:pPr>
      <w:r>
        <w:t xml:space="preserve">Les instructions destinées aux modèles vivent dans</w:t>
      </w:r>
      <w:r>
        <w:t xml:space="preserve"> </w:t>
      </w:r>
      <w:r>
        <w:rPr>
          <w:rStyle w:val="VerbatimChar"/>
        </w:rPr>
        <w:t xml:space="preserve">api/app/prompts/</w:t>
      </w:r>
      <w:r>
        <w:t xml:space="preserve"> </w:t>
      </w:r>
      <w:r>
        <w:t xml:space="preserve">en</w:t>
      </w:r>
      <w:r>
        <w:t xml:space="preserve"> </w:t>
      </w:r>
      <w:r>
        <w:rPr>
          <w:b/>
          <w:bCs/>
        </w:rPr>
        <w:t xml:space="preserve">Markdown versionné</w:t>
      </w:r>
      <w:r>
        <w:t xml:space="preserve">, non en littéraux Python : un changement d’instruction est un changement de contenu et doit être visible en revue. Six fichiers :</w:t>
      </w:r>
      <w:r>
        <w:t xml:space="preserve"> </w:t>
      </w:r>
      <w:r>
        <w:rPr>
          <w:rStyle w:val="VerbatimChar"/>
        </w:rPr>
        <w:t xml:space="preserve">00-soul.md</w:t>
      </w:r>
      <w:r>
        <w:t xml:space="preserve">,</w:t>
      </w:r>
      <w:r>
        <w:t xml:space="preserve"> </w:t>
      </w:r>
      <w:r>
        <w:rPr>
          <w:rStyle w:val="VerbatimChar"/>
        </w:rPr>
        <w:t xml:space="preserve">extraction-text.md</w:t>
      </w:r>
      <w:r>
        <w:t xml:space="preserve">,</w:t>
      </w:r>
      <w:r>
        <w:t xml:space="preserve"> </w:t>
      </w:r>
      <w:r>
        <w:rPr>
          <w:rStyle w:val="VerbatimChar"/>
        </w:rPr>
        <w:t xml:space="preserve">extraction-image.md</w:t>
      </w:r>
      <w:r>
        <w:t xml:space="preserve">,</w:t>
      </w:r>
      <w:r>
        <w:t xml:space="preserve"> </w:t>
      </w:r>
      <w:r>
        <w:rPr>
          <w:rStyle w:val="VerbatimChar"/>
        </w:rPr>
        <w:t xml:space="preserve">image-generation.md</w:t>
      </w:r>
      <w:r>
        <w:t xml:space="preserve">,</w:t>
      </w:r>
      <w:r>
        <w:t xml:space="preserve"> </w:t>
      </w:r>
      <w:r>
        <w:rPr>
          <w:rStyle w:val="VerbatimChar"/>
        </w:rPr>
        <w:t xml:space="preserve">profile.md</w:t>
      </w:r>
      <w:r>
        <w:t xml:space="preserve">,</w:t>
      </w:r>
      <w:r>
        <w:t xml:space="preserve"> </w:t>
      </w:r>
      <w:r>
        <w:rPr>
          <w:rStyle w:val="VerbatimChar"/>
        </w:rPr>
        <w:t xml:space="preserve">stt-vocabulary.md</w:t>
      </w:r>
      <w:r>
        <w:t xml:space="preserve">.</w:t>
      </w:r>
    </w:p>
    <w:p>
      <w:pPr>
        <w:pStyle w:val="BodyText"/>
      </w:pPr>
      <w:r>
        <w:rPr>
          <w:rStyle w:val="VerbatimChar"/>
        </w:rPr>
        <w:t xml:space="preserve">00-soul.md</w:t>
      </w:r>
      <w:r>
        <w:t xml:space="preserve"> </w:t>
      </w:r>
      <w:r>
        <w:t xml:space="preserve">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pPr>
        <w:pStyle w:val="BodyText"/>
      </w:pPr>
      <w:r>
        <w:rPr>
          <w:rStyle w:val="VerbatimChar"/>
        </w:rPr>
        <w:t xml:space="preserve">stt-vocabulary.md</w:t>
      </w:r>
      <w:r>
        <w:t xml:space="preserve"> </w:t>
      </w:r>
      <w:r>
        <w:t xml:space="preserve">est la seule exception et ne reçoit</w:t>
      </w:r>
      <w:r>
        <w:t xml:space="preserve"> </w:t>
      </w:r>
      <w:r>
        <w:rPr>
          <w:b/>
          <w:bCs/>
        </w:rPr>
        <w:t xml:space="preserve">pas</w:t>
      </w:r>
      <w:r>
        <w:t xml:space="preserve"> </w:t>
      </w:r>
      <w:r>
        <w:t xml:space="preserve">l’âme : Whisper interprète son paramètre</w:t>
      </w:r>
      <w:r>
        <w:t xml:space="preserve"> </w:t>
      </w:r>
      <w:r>
        <w:rPr>
          <w:rStyle w:val="VerbatimChar"/>
        </w:rPr>
        <w:t xml:space="preserve">prompt</w:t>
      </w:r>
      <w:r>
        <w:t xml:space="preserve"> </w:t>
      </w:r>
      <w:r>
        <w:t xml:space="preserve">comme la transcription</w:t>
      </w:r>
      <w:r>
        <w:t xml:space="preserve"> </w:t>
      </w:r>
      <w:r>
        <w:rPr>
          <w:i/>
          <w:iCs/>
        </w:rPr>
        <w:t xml:space="preserve">précédant</w:t>
      </w:r>
      <w:r>
        <w:t xml:space="preserve"> </w:t>
      </w:r>
      <w:r>
        <w:t xml:space="preserve">le clip, et non comme des consignes ; l’âme serait recopiée dans la transcription. Le chapitre 4 montre que cette subtilité a des conséquences bien plus graves encore en local.</w:t>
      </w:r>
    </w:p>
    <w:bookmarkEnd w:id="69"/>
    <w:bookmarkStart w:id="70" w:name="Xc63a18103aaa13fb6a9d9c02fd4cfbcdc88d1d3"/>
    <w:p>
      <w:pPr>
        <w:pStyle w:val="Heading3"/>
      </w:pPr>
      <w:r>
        <w:t xml:space="preserve">3.4.6 Le profil du technicien : un cinquième modèle</w:t>
      </w:r>
    </w:p>
    <w:p>
      <w:pPr>
        <w:pStyle w:val="FirstParagraph"/>
      </w:pPr>
      <w:r>
        <w:t xml:space="preserve">Un paragraphe en français par technicien est rédigé chaque nuit à 03:00 à partir de ses propres rapports passés, stocké dans</w:t>
      </w:r>
      <w:r>
        <w:t xml:space="preserve"> </w:t>
      </w:r>
      <w:r>
        <w:rPr>
          <w:rStyle w:val="VerbatimChar"/>
        </w:rPr>
        <w:t xml:space="preserve">persons.profile</w:t>
      </w:r>
      <w:r>
        <w:t xml:space="preserve"> </w:t>
      </w:r>
      <w:r>
        <w:t xml:space="preserve">et injecté comme contexte étiqueté dans l’instruction d’extraction.</w:t>
      </w:r>
    </w:p>
    <w:p>
      <w:pPr>
        <w:pStyle w:val="BodyText"/>
      </w:pPr>
      <w:r>
        <w:t xml:space="preserve">Trois décisions le rendent sûr. Il n’existe</w:t>
      </w:r>
      <w:r>
        <w:t xml:space="preserve"> </w:t>
      </w:r>
      <w:r>
        <w:rPr>
          <w:b/>
          <w:bCs/>
        </w:rPr>
        <w:t xml:space="preserve">aucune table de faits mémorisés</w:t>
      </w:r>
      <w:r>
        <w:t xml:space="preserve"> </w:t>
      </w:r>
      <w:r>
        <w:t xml:space="preserve">: le Sheet est déjà le registre permanent, et un second magasin qui en dériverait serait un cache sans chemin critique pour le justifier. Il ne s’exécute</w:t>
      </w:r>
      <w:r>
        <w:t xml:space="preserve"> </w:t>
      </w:r>
      <w:r>
        <w:rPr>
          <w:b/>
          <w:bCs/>
        </w:rPr>
        <w:t xml:space="preserve">jamais sur le chemin de réponse</w:t>
      </w:r>
      <w:r>
        <w:t xml:space="preserve"> </w:t>
      </w:r>
      <w:r>
        <w:t xml:space="preserve">: un technicien qui attend son résumé ne doit pas en plus attendre qu’on range son profil. Enfin, l’instruction</w:t>
      </w:r>
      <w:r>
        <w:t xml:space="preserve"> </w:t>
      </w:r>
      <w:r>
        <w:rPr>
          <w:b/>
          <w:bCs/>
        </w:rPr>
        <w:t xml:space="preserve">interdit les nombres</w:t>
      </w:r>
      <w:r>
        <w:t xml:space="preserve"> </w:t>
      </w:r>
      <w:r>
        <w:t xml:space="preserve">et le bloc d’injection présente le texte comme informatif et prohibé comme source de valeurs — sans quoi « intervient surtout sur Sidi Maarouf » est à un pas de remplir</w:t>
      </w:r>
      <w:r>
        <w:t xml:space="preserve"> </w:t>
      </w:r>
      <w:r>
        <w:rPr>
          <w:rStyle w:val="VerbatimChar"/>
        </w:rPr>
        <w:t xml:space="preserve">chantier</w:t>
      </w:r>
      <w:r>
        <w:t xml:space="preserve"> </w:t>
      </w:r>
      <w:r>
        <w:t xml:space="preserve">sur un message qui n’a jamais nommé de site.</w:t>
      </w:r>
    </w:p>
    <w:bookmarkEnd w:id="70"/>
    <w:bookmarkStart w:id="71" w:name="le-journal-de-chantier"/>
    <w:p>
      <w:pPr>
        <w:pStyle w:val="Heading3"/>
      </w:pPr>
      <w:r>
        <w:t xml:space="preserve">3.4.7 Le journal de chantier</w:t>
      </w:r>
    </w:p>
    <w:p>
      <w:pPr>
        <w:pStyle w:val="FirstParagraph"/>
      </w:pPr>
      <w:r>
        <w:rPr>
          <w:rStyle w:val="VerbatimChar"/>
        </w:rPr>
        <w:t xml:space="preserve">journal.py</w:t>
      </w:r>
      <w:r>
        <w:t xml:space="preserve"> </w:t>
      </w:r>
      <w:r>
        <w:t xml:space="preserve">tient</w:t>
      </w:r>
      <w:r>
        <w:t xml:space="preserve"> </w:t>
      </w:r>
      <w:r>
        <w:rPr>
          <w:b/>
          <w:bCs/>
        </w:rPr>
        <w:t xml:space="preserve">une ligne par (date, technicien)</w:t>
      </w:r>
      <w:r>
        <w:t xml:space="preserve"> </w:t>
      </w:r>
      <w:r>
        <w:t xml:space="preserve">dans l’onglet du chantier concerné, à l’image du fichier du directeur. Deux règles en assurent la justesse.</w:t>
      </w:r>
    </w:p>
    <w:p>
      <w:pPr>
        <w:pStyle w:val="BodyText"/>
      </w:pPr>
      <w:r>
        <w:rPr>
          <w:b/>
          <w:bCs/>
        </w:rPr>
        <w:t xml:space="preserve">Accumulation.</w:t>
      </w:r>
      <w:r>
        <w:t xml:space="preserve"> </w:t>
      </w:r>
      <w:r>
        <w:t xml:space="preserve">Un second message le même jour est</w:t>
      </w:r>
      <w:r>
        <w:t xml:space="preserve"> </w:t>
      </w:r>
      <w:r>
        <w:rPr>
          <w:b/>
          <w:bCs/>
        </w:rPr>
        <w:t xml:space="preserve">fusionné</w:t>
      </w:r>
      <w:r>
        <w:t xml:space="preserve"> </w:t>
      </w:r>
      <w:r>
        <w:t xml:space="preserve">dans la ligne existante : les nombres s’additionnent, les localisations s’unissent, la prose s’ajoute, le stock est remplacé. Une seconde ligne doublerait les jours-homme et fausserait la ligne de totaux — le seul chiffre que le directeur lit vraiment. Les colonnes de pilotage ne sont jamais touchées par une fusion.</w:t>
      </w:r>
    </w:p>
    <w:p>
      <w:pPr>
        <w:pStyle w:val="BodyText"/>
      </w:pPr>
      <w:r>
        <w:rPr>
          <w:b/>
          <w:bCs/>
        </w:rPr>
        <w:t xml:space="preserve">Réconciliation de stock.</w:t>
      </w:r>
      <w:r>
        <w:t xml:space="preserve"> </w:t>
      </w:r>
      <w:r>
        <w:t xml:space="preserve">La valeur de référence est</w:t>
      </w:r>
      <w:r>
        <w:t xml:space="preserve"> </w:t>
      </w:r>
      <w:r>
        <w:rPr>
          <w:i/>
          <w:iCs/>
        </w:rPr>
        <w:t xml:space="preserve">dernier stock connu moins quantité installée</w:t>
      </w:r>
      <w:r>
        <w:t xml:space="preserve"> </w:t>
      </w:r>
      <w:r>
        <w:t xml:space="preserve">; un chiffre rapporté par le technicien l’emporte toujours et devient la nouvelle référence ; un écart émet un avertissement</w:t>
      </w:r>
      <w:r>
        <w:t xml:space="preserve"> </w:t>
      </w:r>
      <w:r>
        <w:rPr>
          <w:rStyle w:val="VerbatimChar"/>
        </w:rPr>
        <w:t xml:space="preserve">stock_ecart</w:t>
      </w:r>
      <w:r>
        <w:t xml:space="preserve"> </w:t>
      </w:r>
      <w:r>
        <w:t xml:space="preserve">chiffré</w:t>
      </w:r>
      <w:r>
        <w:t xml:space="preserve"> </w:t>
      </w:r>
      <w:r>
        <w:rPr>
          <w:b/>
          <w:bCs/>
        </w:rPr>
        <w:t xml:space="preserve">au lieu de choisir silencieusement</w:t>
      </w:r>
      <w:r>
        <w:t xml:space="preserve"> </w:t>
      </w:r>
      <w:r>
        <w:t xml:space="preserve">— car une livraison et une perte sont arithmétiquement identiques, et seul un humain peut les distinguer.</w:t>
      </w:r>
    </w:p>
    <w:p>
      <w:pPr>
        <w:pStyle w:val="BodyText"/>
      </w:pPr>
      <w:r>
        <w:t xml:space="preserve">Les dates sont normalisées, le même jour arrivant tantôt au format ISO, tantôt en</w:t>
      </w:r>
      <w:r>
        <w:t xml:space="preserve"> </w:t>
      </w:r>
      <w:r>
        <w:rPr>
          <w:rStyle w:val="VerbatimChar"/>
        </w:rPr>
        <w:t xml:space="preserve">05/08/2026</w:t>
      </w:r>
      <w:r>
        <w:t xml:space="preserve">, tantôt sous forme de numéro de série</w:t>
      </w:r>
      <w:r>
        <w:t xml:space="preserve"> </w:t>
      </w:r>
      <w:r>
        <w:rPr>
          <w:rStyle w:val="VerbatimChar"/>
        </w:rPr>
        <w:t xml:space="preserve">46174</w:t>
      </w:r>
      <w:r>
        <w:t xml:space="preserve"> </w:t>
      </w:r>
      <w:r>
        <w:t xml:space="preserve">; une date illisible provoque un</w:t>
      </w:r>
      <w:r>
        <w:t xml:space="preserve"> </w:t>
      </w:r>
      <w:r>
        <w:rPr>
          <w:b/>
          <w:bCs/>
        </w:rPr>
        <w:t xml:space="preserve">ajout</w:t>
      </w:r>
      <w:r>
        <w:t xml:space="preserve"> </w:t>
      </w:r>
      <w:r>
        <w:t xml:space="preserve">(visible) plutôt qu’une fusion dans la mauvaise ligne (invisible).</w:t>
      </w:r>
    </w:p>
    <w:bookmarkEnd w:id="71"/>
    <w:bookmarkStart w:id="72" w:name="les-tâches-planifiées"/>
    <w:p>
      <w:pPr>
        <w:pStyle w:val="Heading3"/>
      </w:pPr>
      <w:r>
        <w:t xml:space="preserve">3.4.8 Les tâches planifiées</w:t>
      </w:r>
    </w:p>
    <w:p>
      <w:pPr>
        <w:pStyle w:val="FirstParagraph"/>
      </w:pPr>
      <w:r>
        <w:rPr>
          <w:rStyle w:val="VerbatimChar"/>
        </w:rPr>
        <w:t xml:space="preserve">jobs.py</w:t>
      </w:r>
      <w:r>
        <w:t xml:space="preserve"> </w:t>
      </w:r>
      <w:r>
        <w:t xml:space="preserve">implémente un ordonnanceur : un fil d’exécution, un battement de 30 s, cinq tâches — vidange de la file de reprise (5 min), purge des journaux (03:00), reconstruction des profils (03:00), rapport quotidien par e-mail (lundi-samedi) et rapport hebdomadaire.</w:t>
      </w:r>
    </w:p>
    <w:p>
      <w:pPr>
        <w:pStyle w:val="BodyText"/>
      </w:pPr>
      <w:r>
        <w:t xml:space="preserve">Ces tâches étaient des nœuds</w:t>
      </w:r>
      <w:r>
        <w:t xml:space="preserve"> </w:t>
      </w:r>
      <w:r>
        <w:rPr>
          <w:i/>
          <w:iCs/>
        </w:rPr>
        <w:t xml:space="preserve">cron</w:t>
      </w:r>
      <w:r>
        <w:t xml:space="preserve"> </w:t>
      </w:r>
      <w:r>
        <w:t xml:space="preserve">n8n ; elles ont migré dans le service parce qu’un nœud cron ne peut ni montrer à un opérateur ce qu’il a produit, ni lui permettre de forcer une réexécution — ce que la page</w:t>
      </w:r>
      <w:r>
        <w:t xml:space="preserve"> </w:t>
      </w:r>
      <w:r>
        <w:rPr>
          <w:b/>
          <w:bCs/>
        </w:rPr>
        <w:t xml:space="preserve">Automatisation</w:t>
      </w:r>
      <w:r>
        <w:t xml:space="preserve"> </w:t>
      </w:r>
      <w:r>
        <w:t xml:space="preserve">du tableau de bord fait.</w:t>
      </w:r>
    </w:p>
    <w:p>
      <w:pPr>
        <w:pStyle w:val="BodyText"/>
      </w:pPr>
      <w:r>
        <w:t xml:space="preserve">Un invariant :</w:t>
      </w:r>
      <w:r>
        <w:t xml:space="preserve"> </w:t>
      </w:r>
      <w:r>
        <w:rPr>
          <w:b/>
          <w:bCs/>
        </w:rPr>
        <w:t xml:space="preserve">une tâche ne remonte jamais d’exception dans la boucle</w:t>
      </w:r>
      <w:r>
        <w:t xml:space="preserve">. Les échecs sont enregistrés comme résultats, car un fil qui meurt à 03:00 emporte les quatre autres et personne ne s’en aperçoit avant de trouver le Sheet vide.</w:t>
      </w:r>
    </w:p>
    <w:bookmarkEnd w:id="72"/>
    <w:bookmarkEnd w:id="73"/>
    <w:bookmarkStart w:id="76" w:name="conception-du-workflow-dorchestration"/>
    <w:p>
      <w:pPr>
        <w:pStyle w:val="Heading2"/>
      </w:pPr>
      <w:r>
        <w:t xml:space="preserve">3.5 Conception du workflow d’orchestration</w:t>
      </w:r>
    </w:p>
    <w:bookmarkStart w:id="74" w:name="structure"/>
    <w:p>
      <w:pPr>
        <w:pStyle w:val="Heading3"/>
      </w:pPr>
      <w:r>
        <w:t xml:space="preserve">3.5.1 Structure</w:t>
      </w:r>
    </w:p>
    <w:p>
      <w:pPr>
        <w:pStyle w:val="FirstParagraph"/>
      </w:pPr>
      <w:r>
        <w:t xml:space="preserve">Le workflow unique compte</w:t>
      </w:r>
      <w:r>
        <w:t xml:space="preserve"> </w:t>
      </w:r>
      <w:r>
        <w:rPr>
          <w:b/>
          <w:bCs/>
        </w:rPr>
        <w:t xml:space="preserve">65 nœuds</w:t>
      </w:r>
      <w:r>
        <w:t xml:space="preserve"> </w:t>
      </w:r>
      <w:r>
        <w:t xml:space="preserve">couvrant : le déclencheur périodique Telegram et son</w:t>
      </w:r>
      <w:r>
        <w:t xml:space="preserve"> </w:t>
      </w:r>
      <w:r>
        <w:rPr>
          <w:i/>
          <w:iCs/>
        </w:rPr>
        <w:t xml:space="preserve">offset</w:t>
      </w:r>
      <w:r>
        <w:t xml:space="preserve"> </w:t>
      </w:r>
      <w:r>
        <w:t xml:space="preserve">persistant ; le webhook WhatsApp et sa poignée de main de vérification ; la corrélation et la déduplication ; l’identification de l’expéditeur et le contrôle d’autorisation ; l’accusé de réception ; l’aiguillage média/texte puis audio/image ; les appels</w:t>
      </w:r>
      <w:r>
        <w:t xml:space="preserve"> </w:t>
      </w:r>
      <w:r>
        <w:rPr>
          <w:rStyle w:val="VerbatimChar"/>
        </w:rPr>
        <w:t xml:space="preserve">/process</w:t>
      </w:r>
      <w:r>
        <w:t xml:space="preserve"> </w:t>
      </w:r>
      <w:r>
        <w:t xml:space="preserve">; les réponses de résumé, d’erreur et de refus ; les commandes</w:t>
      </w:r>
      <w:r>
        <w:t xml:space="preserve"> </w:t>
      </w:r>
      <w:r>
        <w:rPr>
          <w:rStyle w:val="VerbatimChar"/>
        </w:rPr>
        <w:t xml:space="preserve">/rapport</w:t>
      </w:r>
      <w:r>
        <w:t xml:space="preserve">,</w:t>
      </w:r>
      <w:r>
        <w:t xml:space="preserve"> </w:t>
      </w:r>
      <w:r>
        <w:rPr>
          <w:rStyle w:val="VerbatimChar"/>
        </w:rPr>
        <w:t xml:space="preserve">/modifier</w:t>
      </w:r>
      <w:r>
        <w:t xml:space="preserve"> </w:t>
      </w:r>
      <w:r>
        <w:t xml:space="preserve">et</w:t>
      </w:r>
      <w:r>
        <w:t xml:space="preserve"> </w:t>
      </w:r>
      <w:r>
        <w:rPr>
          <w:rStyle w:val="VerbatimChar"/>
        </w:rPr>
        <w:t xml:space="preserve">/supprimer</w:t>
      </w:r>
      <w:r>
        <w:t xml:space="preserve"> </w:t>
      </w:r>
      <w:r>
        <w:t xml:space="preserve">; l’appel</w:t>
      </w:r>
      <w:r>
        <w:t xml:space="preserve"> </w:t>
      </w:r>
      <w:r>
        <w:rPr>
          <w:rStyle w:val="VerbatimChar"/>
        </w:rPr>
        <w:t xml:space="preserve">/journal</w:t>
      </w:r>
      <w:r>
        <w:t xml:space="preserve"> </w:t>
      </w:r>
      <w:r>
        <w:t xml:space="preserve">; la journalisation de chaque étape ; et un déclencheur d’erreur.</w:t>
      </w:r>
    </w:p>
    <w:p>
      <w:pPr>
        <w:pStyle w:val="BodyText"/>
      </w:pPr>
      <w:r>
        <w:rPr>
          <w:b/>
          <w:bCs/>
        </w:rPr>
        <w:t xml:space="preserve">Figure 3.6 :</w:t>
      </w:r>
      <w:r>
        <w:t xml:space="preserve"> </w:t>
      </w:r>
      <w:r>
        <w:t xml:space="preserve">Workflow n8n complet.</w:t>
      </w:r>
      <w:r>
        <w:t xml:space="preserve"> </w:t>
      </w:r>
      <w:r>
        <w:rPr>
          <w:i/>
          <w:iCs/>
        </w:rPr>
        <w:t xml:space="preserve">[FIGURE À INSÉRER — capture du canvas n8n.]</w:t>
      </w:r>
    </w:p>
    <w:p>
      <w:pPr>
        <w:pStyle w:val="BodyText"/>
      </w:pPr>
      <w:r>
        <w:t xml:space="preserve">Le gestionnaire d’erreurs est resté dans n8n alors que les tâches planifiées en sont sorties, pour une raison précise : il intercepte les défaillances</w:t>
      </w:r>
      <w:r>
        <w:t xml:space="preserve"> </w:t>
      </w:r>
      <w:r>
        <w:rPr>
          <w:b/>
          <w:bCs/>
        </w:rPr>
        <w:t xml:space="preserve">du workflow lui-même</w:t>
      </w:r>
      <w:r>
        <w:t xml:space="preserve">, que le service ne peut pas observer.</w:t>
      </w:r>
    </w:p>
    <w:bookmarkEnd w:id="74"/>
    <w:bookmarkStart w:id="75" w:name="lordre-réponse-dabord"/>
    <w:p>
      <w:pPr>
        <w:pStyle w:val="Heading3"/>
      </w:pPr>
      <w:r>
        <w:t xml:space="preserve">3.5.2 L’ordre réponse-d’abord</w:t>
      </w:r>
    </w:p>
    <w:p>
      <w:pPr>
        <w:pStyle w:val="FirstParagraph"/>
      </w:pPr>
      <w:r>
        <w:t xml:space="preserve">Dans le workflow, la réponse au technicien précède l’appel</w:t>
      </w:r>
      <w:r>
        <w:t xml:space="preserve"> </w:t>
      </w:r>
      <w:r>
        <w:rPr>
          <w:rStyle w:val="VerbatimChar"/>
        </w:rPr>
        <w:t xml:space="preserve">/journal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w:t>
      </w:r>
      <w:r>
        <w:t xml:space="preserve"> </w:t>
      </w:r>
      <w:r>
        <w:rPr>
          <w:b/>
          <w:bCs/>
        </w:rPr>
        <w:t xml:space="preserve">Elle ne coûte jamais au technicien son résumé.</w:t>
      </w:r>
    </w:p>
    <w:p>
      <w:pPr>
        <w:pStyle w:val="BodyText"/>
      </w:pPr>
      <w:r>
        <w:t xml:space="preserve">Le nœud qui vérifie qu’un message est exploitable est placé</w:t>
      </w:r>
      <w:r>
        <w:t xml:space="preserve"> </w:t>
      </w:r>
      <w:r>
        <w:rPr>
          <w:b/>
          <w:bCs/>
        </w:rPr>
        <w:t xml:space="preserve">après</w:t>
      </w:r>
      <w:r>
        <w:t xml:space="preserve"> </w:t>
      </w:r>
      <w:r>
        <w:t xml:space="preserve">le nœud de réponse, pour la même raison : un « salam » mérite une réponse, mais pas une ligne de blancs dans le journal.</w:t>
      </w:r>
    </w:p>
    <w:bookmarkEnd w:id="75"/>
    <w:bookmarkEnd w:id="76"/>
    <w:bookmarkStart w:id="77" w:name="conception-du-tableau-de-bord"/>
    <w:p>
      <w:pPr>
        <w:pStyle w:val="Heading2"/>
      </w:pPr>
      <w:r>
        <w:t xml:space="preserve">3.6 Conception du tableau de bord</w:t>
      </w:r>
    </w:p>
    <w:p>
      <w:pPr>
        <w:pStyle w:val="FirstParagraph"/>
      </w:pPr>
      <w:r>
        <w:t xml:space="preserve">Le tableau de bord (11 590 lignes de TypeScript) est une application React 19 servie en statique.</w:t>
      </w:r>
    </w:p>
    <w:p>
      <w:pPr>
        <w:pStyle w:val="BodyText"/>
      </w:pPr>
      <w:r>
        <w:rPr>
          <w:b/>
          <w:bCs/>
        </w:rPr>
        <w:t xml:space="preserve">Toutes les chaînes d’interface vivent dans</w:t>
      </w:r>
      <w:r>
        <w:rPr>
          <w:b/>
          <w:bCs/>
        </w:rPr>
        <w:t xml:space="preserve"> </w:t>
      </w:r>
      <w:r>
        <w:rPr>
          <w:rStyle w:val="VerbatimChar"/>
          <w:b/>
          <w:bCs/>
        </w:rPr>
        <w:t xml:space="preserve">locales/{fr,en,ar}.json</w:t>
      </w:r>
      <w:r>
        <w:t xml:space="preserve">, le français faisant référence. L’arabe impose le sens droite-à-gauche, ce qui interdit les marges directionnelles au profit des propriétés logiques.</w:t>
      </w:r>
    </w:p>
    <w:p>
      <w:pPr>
        <w:pStyle w:val="BodyText"/>
      </w:pPr>
      <w:r>
        <w:rPr>
          <w:b/>
          <w:bCs/>
        </w:rPr>
        <w:t xml:space="preserve">L’organigramme</w:t>
      </w:r>
      <w:r>
        <w:t xml:space="preserve"> </w:t>
      </w:r>
      <w:r>
        <w:t xml:space="preserve">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w:t>
      </w:r>
      <w:r>
        <w:t xml:space="preserve"> </w:t>
      </w:r>
      <w:r>
        <w:rPr>
          <w:b/>
          <w:bCs/>
        </w:rPr>
        <w:t xml:space="preserve">réel</w:t>
      </w:r>
      <w:r>
        <w:t xml:space="preserve"> </w:t>
      </w:r>
      <w:r>
        <w:t xml:space="preserve">pour ces deux modes, non un pis-aller.</w:t>
      </w:r>
    </w:p>
    <w:p>
      <w:pPr>
        <w:pStyle w:val="BodyText"/>
      </w:pPr>
      <w:r>
        <w:rPr>
          <w:b/>
          <w:bCs/>
        </w:rPr>
        <w:t xml:space="preserve">La lecture des données</w:t>
      </w:r>
      <w:r>
        <w:t xml:space="preserve"> </w:t>
      </w:r>
      <w:r>
        <w:t xml:space="preserve">passe par un cache au niveau du module, afin qu’une navigation aller-retour se repeigne instantanément puis se revalide en arrière-plan. Le sondage d’état et l’échantillonneur de disponibilité vivent</w:t>
      </w:r>
      <w:r>
        <w:t xml:space="preserve"> </w:t>
      </w:r>
      <w:r>
        <w:rPr>
          <w:b/>
          <w:bCs/>
        </w:rPr>
        <w:t xml:space="preserve">au-dessus</w:t>
      </w:r>
      <w:r>
        <w:t xml:space="preserve"> </w:t>
      </w:r>
      <w:r>
        <w:t xml:space="preserve">du routeur : les placer dans une page les arrêterait à la navigation et creuserait de faux trous dans l’historique de disponibilité.</w:t>
      </w:r>
    </w:p>
    <w:p>
      <w:pPr>
        <w:pStyle w:val="BodyText"/>
      </w:pPr>
      <w:r>
        <w:rPr>
          <w:b/>
          <w:bCs/>
        </w:rPr>
        <w:t xml:space="preserve">Figure 3.7 :</w:t>
      </w:r>
      <w:r>
        <w:t xml:space="preserve"> </w:t>
      </w:r>
      <w:r>
        <w:t xml:space="preserve">Tableau de bord — vue d’ensemble et organigramme.</w:t>
      </w:r>
      <w:r>
        <w:t xml:space="preserve"> </w:t>
      </w:r>
      <w:r>
        <w:rPr>
          <w:i/>
          <w:iCs/>
        </w:rPr>
        <w:t xml:space="preserve">[FIGURE À INSÉRER — captures d’écran.]</w:t>
      </w:r>
    </w:p>
    <w:bookmarkEnd w:id="77"/>
    <w:bookmarkStart w:id="78" w:name="sécurité"/>
    <w:p>
      <w:pPr>
        <w:pStyle w:val="Heading2"/>
      </w:pPr>
      <w:r>
        <w:t xml:space="preserve">3.7 Sécurité</w:t>
      </w:r>
    </w:p>
    <w:p>
      <w:pPr>
        <w:pStyle w:val="FirstParagraph"/>
      </w:pPr>
      <w:r>
        <w:rPr>
          <w:b/>
          <w:bCs/>
        </w:rPr>
        <w:t xml:space="preserve">Tout est protégé.</w:t>
      </w:r>
      <w:r>
        <w:t xml:space="preserve"> </w:t>
      </w:r>
      <w:r>
        <w:t xml:space="preserve">Deux voies d’accès coexistent : un cookie de session pour les humains, un en-tête</w:t>
      </w:r>
      <w:r>
        <w:t xml:space="preserve"> </w:t>
      </w:r>
      <w:r>
        <w:rPr>
          <w:rStyle w:val="VerbatimChar"/>
        </w:rPr>
        <w:t xml:space="preserve">X-API-Key</w:t>
      </w:r>
      <w:r>
        <w:t xml:space="preserve"> </w:t>
      </w:r>
      <w:r>
        <w:t xml:space="preserve">pour n8n, qui appelle le service à chaque message et n’a pas de navigateur. Trois niveaux de dépendance les distinguent :</w:t>
      </w:r>
      <w:r>
        <w:t xml:space="preserve"> </w:t>
      </w:r>
      <w:r>
        <w:rPr>
          <w:rStyle w:val="VerbatimChar"/>
        </w:rPr>
        <w:t xml:space="preserve">require_user</w:t>
      </w:r>
      <w:r>
        <w:t xml:space="preserve"> </w:t>
      </w:r>
      <w:r>
        <w:t xml:space="preserve">accepte les deux,</w:t>
      </w:r>
      <w:r>
        <w:t xml:space="preserve"> </w:t>
      </w:r>
      <w:r>
        <w:rPr>
          <w:rStyle w:val="VerbatimChar"/>
        </w:rPr>
        <w:t xml:space="preserve">require_human</w:t>
      </w:r>
      <w:r>
        <w:t xml:space="preserve"> </w:t>
      </w:r>
      <w:r>
        <w:t xml:space="preserve">rejette la machine (réglages, corrections, comptes),</w:t>
      </w:r>
      <w:r>
        <w:t xml:space="preserve"> </w:t>
      </w:r>
      <w:r>
        <w:rPr>
          <w:rStyle w:val="VerbatimChar"/>
        </w:rPr>
        <w:t xml:space="preserve">require_director</w:t>
      </w:r>
      <w:r>
        <w:t xml:space="preserve"> </w:t>
      </w:r>
      <w:r>
        <w:t xml:space="preserve">restreint davantage.</w:t>
      </w:r>
    </w:p>
    <w:p>
      <w:pPr>
        <w:pStyle w:val="BodyText"/>
      </w:pPr>
      <w:r>
        <w:t xml:space="preserve">Le contrôle est placé sur le service et non sur le formulaire de connexion : le tableau de bord étant un paquet statique, un écran de connexion seul serait contournable depuis les outils de développement.</w:t>
      </w:r>
    </w:p>
    <w:p>
      <w:pPr>
        <w:pStyle w:val="BodyText"/>
      </w:pPr>
      <w:r>
        <w:t xml:space="preserve">Décisions complémentaires :</w:t>
      </w:r>
    </w:p>
    <w:p>
      <w:pPr>
        <w:pStyle w:val="Compact"/>
        <w:numPr>
          <w:ilvl w:val="0"/>
          <w:numId w:val="1011"/>
        </w:numPr>
      </w:pPr>
      <w:r>
        <w:rPr>
          <w:b/>
          <w:bCs/>
        </w:rPr>
        <w:t xml:space="preserve">Sessions opaques en base</w:t>
      </w:r>
      <w:r>
        <w:t xml:space="preserve">, non des jetons auto-portants : supprimer la ligne déconnecte ce navigateur dès sa requête suivante.</w:t>
      </w:r>
    </w:p>
    <w:p>
      <w:pPr>
        <w:pStyle w:val="Compact"/>
        <w:numPr>
          <w:ilvl w:val="0"/>
          <w:numId w:val="1011"/>
        </w:numPr>
      </w:pPr>
      <w:r>
        <w:rPr>
          <w:b/>
          <w:bCs/>
        </w:rPr>
        <w:t xml:space="preserve">Clé machine non définie signifie accès machine</w:t>
      </w:r>
      <w:r>
        <w:rPr>
          <w:b/>
          <w:bCs/>
        </w:rPr>
        <w:t xml:space="preserve"> </w:t>
      </w:r>
      <w:r>
        <w:rPr>
          <w:b/>
          <w:bCs/>
          <w:i/>
          <w:iCs/>
        </w:rPr>
        <w:t xml:space="preserve">désactivé</w:t>
      </w:r>
      <w:r>
        <w:t xml:space="preserve">, jamais « tout le monde est une machine ».</w:t>
      </w:r>
    </w:p>
    <w:p>
      <w:pPr>
        <w:pStyle w:val="Compact"/>
        <w:numPr>
          <w:ilvl w:val="0"/>
          <w:numId w:val="1011"/>
        </w:numPr>
      </w:pPr>
      <w:r>
        <w:rPr>
          <w:b/>
          <w:bCs/>
        </w:rPr>
        <w:t xml:space="preserve">Origines croisées restreintes</w:t>
      </w:r>
      <w:r>
        <w:t xml:space="preserve">, jamais un joker — un joker et l’envoi de cookies d’authentification sont de toute façon incompatibles.</w:t>
      </w:r>
    </w:p>
    <w:p>
      <w:pPr>
        <w:pStyle w:val="Compact"/>
        <w:numPr>
          <w:ilvl w:val="0"/>
          <w:numId w:val="1011"/>
        </w:numPr>
      </w:pPr>
      <w:r>
        <w:rPr>
          <w:b/>
          <w:bCs/>
        </w:rPr>
        <w:t xml:space="preserve">Limitation de débit sur la connexion</w:t>
      </w:r>
      <w:r>
        <w:t xml:space="preserve"> </w:t>
      </w:r>
      <w:r>
        <w:t xml:space="preserve">: 8 échecs par 5 minutes et par adresse cliente, l’adresse étant résolue à travers un nombre configuré de relais de confiance. Une valeur erronée laisse soit un script faire tourner l’en-tête, soit enferme tous les visiteurs derrière une même clé.</w:t>
      </w:r>
    </w:p>
    <w:p>
      <w:pPr>
        <w:pStyle w:val="Compact"/>
        <w:numPr>
          <w:ilvl w:val="0"/>
          <w:numId w:val="1011"/>
        </w:numPr>
      </w:pPr>
      <w:r>
        <w:rPr>
          <w:b/>
          <w:bCs/>
        </w:rPr>
        <w:t xml:space="preserve">Secrets hors du dépôt</w:t>
      </w:r>
      <w:r>
        <w:t xml:space="preserve"> </w:t>
      </w:r>
      <w:r>
        <w:t xml:space="preserve">; le mot de passe PostgreSQL n’a délibérément</w:t>
      </w:r>
      <w:r>
        <w:t xml:space="preserve"> </w:t>
      </w:r>
      <w:r>
        <w:rPr>
          <w:b/>
          <w:bCs/>
        </w:rPr>
        <w:t xml:space="preserve">aucune valeur par défaut</w:t>
      </w:r>
      <w:r>
        <w:t xml:space="preserve">, afin qu’un clone sans configuration échoue bruyamment plutôt que de démarrer avec un mot de passe connu.</w:t>
      </w:r>
    </w:p>
    <w:p>
      <w:pPr>
        <w:pStyle w:val="Compact"/>
        <w:numPr>
          <w:ilvl w:val="0"/>
          <w:numId w:val="1011"/>
        </w:numPr>
      </w:pPr>
      <w:r>
        <w:rPr>
          <w:b/>
          <w:bCs/>
        </w:rPr>
        <w:t xml:space="preserve">Moindre privilège</w:t>
      </w:r>
      <w:r>
        <w:t xml:space="preserve"> </w:t>
      </w:r>
      <w:r>
        <w:t xml:space="preserve">: le compte de service Google n’accède qu’au classeur concerné ; les empreintes de mots de passe ne quittent jamais la base, les requêtes de lecture nommant leurs colonnes plutôt que de tout sélectionner.</w:t>
      </w:r>
    </w:p>
    <w:bookmarkEnd w:id="78"/>
    <w:bookmarkStart w:id="79" w:name="conclusion-du-chapitre-2"/>
    <w:p>
      <w:pPr>
        <w:pStyle w:val="Heading2"/>
      </w:pPr>
      <w:r>
        <w:t xml:space="preserve">3.8 Conclusion du chapitre</w:t>
      </w:r>
    </w:p>
    <w:p>
      <w:pPr>
        <w:pStyle w:val="FirstParagraph"/>
      </w:pPr>
      <w:r>
        <w:t xml:space="preserve">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quatre chaînes de repli explicites, un contrat d’erreurs qui refuse les échecs silencieux, un journal dont les règles d’accumulation et de réconciliation protègent le seul chiffre qui compte, et un modèle relationnel qui fait d’un humain une seule ligne. Le chapitre suivant décrit la mise en œuvre, le banc d’essai et les résultats.</w:t>
      </w:r>
    </w:p>
    <w:bookmarkEnd w:id="79"/>
    <w:bookmarkEnd w:id="80"/>
    <w:bookmarkStart w:id="108" w:name="X30fd036dc90fb922673a32af3cf0807048e9177"/>
    <w:p>
      <w:pPr>
        <w:pStyle w:val="Heading1"/>
      </w:pPr>
      <w:r>
        <w:t xml:space="preserve">Chapitre 4 : Réalisation, banc d’essai, tests et résultats</w:t>
      </w:r>
    </w:p>
    <w:bookmarkStart w:id="81" w:name="introduction-du-chapitre-3"/>
    <w:p>
      <w:pPr>
        <w:pStyle w:val="Heading2"/>
      </w:pPr>
      <w:r>
        <w:t xml:space="preserve">4.1 Introduction du chapitre</w:t>
      </w:r>
    </w:p>
    <w:p>
      <w:pPr>
        <w:pStyle w:val="FirstParagraph"/>
      </w:pPr>
      <w:r>
        <w:t xml:space="preserve">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bookmarkEnd w:id="81"/>
    <w:bookmarkStart w:id="83" w:name="environnement-et-outils-de-développement"/>
    <w:p>
      <w:pPr>
        <w:pStyle w:val="Heading2"/>
      </w:pPr>
      <w:r>
        <w:t xml:space="preserve">4.2 Environnement et outils de développement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Outil</w:t>
            </w:r>
          </w:p>
        </w:tc>
        <w:tc>
          <w:tcPr/>
          <w:p>
            <w:pPr>
              <w:pStyle w:val="Compact"/>
            </w:pPr>
            <w:r>
              <w:t xml:space="preserve">Rôle</w:t>
            </w:r>
          </w:p>
        </w:tc>
      </w:tr>
      <w:tr>
        <w:tc>
          <w:tcPr/>
          <w:p>
            <w:pPr>
              <w:pStyle w:val="Compact"/>
            </w:pPr>
            <w:r>
              <w:t xml:space="preserve">Python 3.11 / FastAPI / Pydantic</w:t>
            </w:r>
          </w:p>
        </w:tc>
        <w:tc>
          <w:tcPr/>
          <w:p>
            <w:pPr>
              <w:pStyle w:val="Compact"/>
            </w:pPr>
            <w:r>
              <w:t xml:space="preserve">Service applicatif</w:t>
            </w:r>
          </w:p>
        </w:tc>
      </w:tr>
      <w:tr>
        <w:tc>
          <w:tcPr/>
          <w:p>
            <w:pPr>
              <w:pStyle w:val="Compact"/>
            </w:pPr>
            <w:r>
              <w:t xml:space="preserve">pytest</w:t>
            </w:r>
          </w:p>
        </w:tc>
        <w:tc>
          <w:tcPr/>
          <w:p>
            <w:pPr>
              <w:pStyle w:val="Compact"/>
            </w:pPr>
            <w:r>
              <w:t xml:space="preserve">Tests automatisés (272 tests)</w:t>
            </w:r>
          </w:p>
        </w:tc>
      </w:tr>
      <w:tr>
        <w:tc>
          <w:tcPr/>
          <w:p>
            <w:pPr>
              <w:pStyle w:val="Compact"/>
            </w:pPr>
            <w:r>
              <w:t xml:space="preserve">PostgreSQL 16</w:t>
            </w:r>
          </w:p>
        </w:tc>
        <w:tc>
          <w:tcPr/>
          <w:p>
            <w:pPr>
              <w:pStyle w:val="Compact"/>
            </w:pPr>
            <w:r>
              <w:t xml:space="preserve">Journal d’événements, idempotence, sessions, organigramme</w:t>
            </w:r>
          </w:p>
        </w:tc>
      </w:tr>
      <w:tr>
        <w:tc>
          <w:tcPr/>
          <w:p>
            <w:pPr>
              <w:pStyle w:val="Compact"/>
            </w:pPr>
            <w:r>
              <w:t xml:space="preserve">React 19 / TypeScript / Vite / Tailwind v4</w:t>
            </w:r>
          </w:p>
        </w:tc>
        <w:tc>
          <w:tcPr/>
          <w:p>
            <w:pPr>
              <w:pStyle w:val="Compact"/>
            </w:pPr>
            <w:r>
              <w:t xml:space="preserve">Tableau de bord</w:t>
            </w:r>
          </w:p>
        </w:tc>
      </w:tr>
      <w:tr>
        <w:tc>
          <w:tcPr/>
          <w:p>
            <w:pPr>
              <w:pStyle w:val="Compact"/>
            </w:pPr>
            <w:r>
              <w:t xml:space="preserve">Docker / Docker Compose</w:t>
            </w:r>
          </w:p>
        </w:tc>
        <w:tc>
          <w:tcPr/>
          <w:p>
            <w:pPr>
              <w:pStyle w:val="Compact"/>
            </w:pPr>
            <w:r>
              <w:t xml:space="preserve">Exécution de la pile complète (5 services)</w:t>
            </w:r>
          </w:p>
        </w:tc>
      </w:tr>
      <w:tr>
        <w:tc>
          <w:tcPr/>
          <w:p>
            <w:pPr>
              <w:pStyle w:val="Compact"/>
            </w:pPr>
            <w:r>
              <w:t xml:space="preserve">n8n</w:t>
            </w:r>
          </w:p>
        </w:tc>
        <w:tc>
          <w:tcPr/>
          <w:p>
            <w:pPr>
              <w:pStyle w:val="Compact"/>
            </w:pPr>
            <w:r>
              <w:t xml:space="preserve">Orchestration des workflows</w:t>
            </w:r>
          </w:p>
        </w:tc>
      </w:tr>
      <w:tr>
        <w:tc>
          <w:tcPr/>
          <w:p>
            <w:pPr>
              <w:pStyle w:val="Compact"/>
            </w:pPr>
            <w:r>
              <w:t xml:space="preserve">Git / GitHub Actions</w:t>
            </w:r>
          </w:p>
        </w:tc>
        <w:tc>
          <w:tcPr/>
          <w:p>
            <w:pPr>
              <w:pStyle w:val="Compact"/>
            </w:pPr>
            <w:r>
              <w:t xml:space="preserve">Versionnage (207 commits), intégration continue</w:t>
            </w:r>
          </w:p>
        </w:tc>
      </w:tr>
      <w:tr>
        <w:tc>
          <w:tcPr/>
          <w:p>
            <w:pPr>
              <w:pStyle w:val="Compact"/>
            </w:pPr>
            <w:r>
              <w:t xml:space="preserve">PyTorch 2.5 / CUDA / transformers</w:t>
            </w:r>
          </w:p>
        </w:tc>
        <w:tc>
          <w:tcPr/>
          <w:p>
            <w:pPr>
              <w:pStyle w:val="Compact"/>
            </w:pPr>
            <w:r>
              <w:t xml:space="preserve">Banc d’essai local sur GPU</w:t>
            </w:r>
          </w:p>
        </w:tc>
      </w:tr>
      <w:tr>
        <w:tc>
          <w:tcPr/>
          <w:p>
            <w:pPr>
              <w:pStyle w:val="Compact"/>
            </w:pPr>
            <w:r>
              <w:t xml:space="preserve">Groq API, Google AI Studio, Hugging Face</w:t>
            </w:r>
          </w:p>
        </w:tc>
        <w:tc>
          <w:tcPr/>
          <w:p>
            <w:pPr>
              <w:pStyle w:val="Compact"/>
            </w:pPr>
            <w:r>
              <w:t xml:space="preserve">Inférence (offres gratuites)</w:t>
            </w:r>
          </w:p>
        </w:tc>
      </w:tr>
    </w:tbl>
    <w:p>
      <w:pPr>
        <w:pStyle w:val="BodyText"/>
      </w:pPr>
      <w:r>
        <w:rPr>
          <w:b/>
          <w:bCs/>
        </w:rPr>
        <w:t xml:space="preserve">Tableau 4.1 :</w:t>
      </w:r>
      <w:r>
        <w:t xml:space="preserve"> </w:t>
      </w:r>
      <w:r>
        <w:t xml:space="preserve">Environnement de développement.</w:t>
      </w:r>
    </w:p>
    <w:p>
      <w:pPr>
        <w:pStyle w:val="BodyText"/>
      </w:pPr>
      <w:r>
        <w:t xml:space="preserve">Le dépôt est organisé en modules :</w:t>
      </w:r>
      <w:r>
        <w:t xml:space="preserve"> </w:t>
      </w:r>
      <w:r>
        <w:rPr>
          <w:rStyle w:val="VerbatimChar"/>
        </w:rPr>
        <w:t xml:space="preserve">api/</w:t>
      </w:r>
      <w:r>
        <w:t xml:space="preserve"> </w:t>
      </w:r>
      <w:r>
        <w:t xml:space="preserve">(service),</w:t>
      </w:r>
      <w:r>
        <w:t xml:space="preserve"> </w:t>
      </w:r>
      <w:r>
        <w:rPr>
          <w:rStyle w:val="VerbatimChar"/>
        </w:rPr>
        <w:t xml:space="preserve">Dashboard/</w:t>
      </w:r>
      <w:r>
        <w:t xml:space="preserve"> </w:t>
      </w:r>
      <w:r>
        <w:t xml:space="preserve">(tableau de bord),</w:t>
      </w:r>
      <w:r>
        <w:t xml:space="preserve"> </w:t>
      </w:r>
      <w:r>
        <w:rPr>
          <w:rStyle w:val="VerbatimChar"/>
        </w:rPr>
        <w:t xml:space="preserve">n8n/</w:t>
      </w:r>
      <w:r>
        <w:t xml:space="preserve"> </w:t>
      </w:r>
      <w:r>
        <w:t xml:space="preserve">(workflow exporté et documentation),</w:t>
      </w:r>
      <w:r>
        <w:t xml:space="preserve"> </w:t>
      </w:r>
      <w:r>
        <w:rPr>
          <w:rStyle w:val="VerbatimChar"/>
        </w:rPr>
        <w:t xml:space="preserve">benchmark/</w:t>
      </w:r>
      <w:r>
        <w:t xml:space="preserve"> </w:t>
      </w:r>
      <w:r>
        <w:t xml:space="preserve">(banc d’essai),</w:t>
      </w:r>
      <w:r>
        <w:t xml:space="preserve"> </w:t>
      </w:r>
      <w:r>
        <w:rPr>
          <w:rStyle w:val="VerbatimChar"/>
        </w:rPr>
        <w:t xml:space="preserve">docs/</w:t>
      </w:r>
      <w:r>
        <w:t xml:space="preserve"> </w:t>
      </w:r>
      <w:r>
        <w:t xml:space="preserve">(cahier des charges, guides).</w:t>
      </w:r>
    </w:p>
    <w:bookmarkStart w:id="82" w:name="déploiement-une-seule-origine"/>
    <w:p>
      <w:pPr>
        <w:pStyle w:val="Heading3"/>
      </w:pPr>
      <w:r>
        <w:t xml:space="preserve">4.2.1 Déploiement : une seule origine</w:t>
      </w:r>
    </w:p>
    <w:p>
      <w:pPr>
        <w:pStyle w:val="FirstParagraph"/>
      </w:pPr>
      <w:r>
        <w:t xml:space="preserve">La pile complète est décrite par un fichier Docker Compose de cinq services :</w:t>
      </w:r>
      <w:r>
        <w:t xml:space="preserve"> </w:t>
      </w:r>
      <w:r>
        <w:rPr>
          <w:rStyle w:val="VerbatimChar"/>
        </w:rPr>
        <w:t xml:space="preserve">postgres</w:t>
      </w:r>
      <w:r>
        <w:t xml:space="preserve">,</w:t>
      </w:r>
      <w:r>
        <w:t xml:space="preserve"> </w:t>
      </w:r>
      <w:r>
        <w:rPr>
          <w:rStyle w:val="VerbatimChar"/>
        </w:rPr>
        <w:t xml:space="preserve">n8n</w:t>
      </w:r>
      <w:r>
        <w:t xml:space="preserve">,</w:t>
      </w:r>
      <w:r>
        <w:t xml:space="preserve"> </w:t>
      </w:r>
      <w:r>
        <w:rPr>
          <w:rStyle w:val="VerbatimChar"/>
        </w:rPr>
        <w:t xml:space="preserve">api</w:t>
      </w:r>
      <w:r>
        <w:t xml:space="preserve">,</w:t>
      </w:r>
      <w:r>
        <w:t xml:space="preserve"> </w:t>
      </w:r>
      <w:r>
        <w:rPr>
          <w:rStyle w:val="VerbatimChar"/>
        </w:rPr>
        <w:t xml:space="preserve">stt-local</w:t>
      </w:r>
      <w:r>
        <w:t xml:space="preserve"> </w:t>
      </w:r>
      <w:r>
        <w:t xml:space="preserve">et</w:t>
      </w:r>
      <w:r>
        <w:t xml:space="preserve"> </w:t>
      </w:r>
      <w:r>
        <w:rPr>
          <w:rStyle w:val="VerbatimChar"/>
        </w:rPr>
        <w:t xml:space="preserve">web</w:t>
      </w:r>
      <w:r>
        <w:t xml:space="preserve">.</w:t>
      </w:r>
      <w:r>
        <w:t xml:space="preserve"> </w:t>
      </w:r>
      <w:r>
        <w:rPr>
          <w:b/>
          <w:bCs/>
        </w:rPr>
        <w:t xml:space="preserve">Un seul service publie un port</w:t>
      </w:r>
      <w:r>
        <w:t xml:space="preserve"> </w:t>
      </w:r>
      <w:r>
        <w:t xml:space="preserve">: le proxy</w:t>
      </w:r>
      <w:r>
        <w:t xml:space="preserve"> </w:t>
      </w:r>
      <w:r>
        <w:rPr>
          <w:rStyle w:val="VerbatimChar"/>
        </w:rPr>
        <w:t xml:space="preserve">web</w:t>
      </w:r>
      <w:r>
        <w:t xml:space="preserve">, qui sert le tableau de bord, l’API sous</w:t>
      </w:r>
      <w:r>
        <w:t xml:space="preserve"> </w:t>
      </w:r>
      <w:r>
        <w:rPr>
          <w:rStyle w:val="VerbatimChar"/>
        </w:rPr>
        <w:t xml:space="preserve">/api/</w:t>
      </w:r>
      <w:r>
        <w:t xml:space="preserve"> </w:t>
      </w:r>
      <w:r>
        <w:t xml:space="preserve">et les webhooks sous</w:t>
      </w:r>
      <w:r>
        <w:t xml:space="preserve"> </w:t>
      </w:r>
      <w:r>
        <w:rPr>
          <w:rStyle w:val="VerbatimChar"/>
        </w:rPr>
        <w:t xml:space="preserve">/webhook/</w:t>
      </w:r>
      <w:r>
        <w:t xml:space="preserve">. C’est cette origine unique qui permet au cookie de session de rester en</w:t>
      </w:r>
      <w:r>
        <w:t xml:space="preserve"> </w:t>
      </w:r>
      <w:r>
        <w:rPr>
          <w:rStyle w:val="VerbatimChar"/>
        </w:rPr>
        <w:t xml:space="preserve">SameSite=Lax</w:t>
      </w:r>
      <w:r>
        <w:t xml:space="preserve"> </w:t>
      </w:r>
      <w:r>
        <w:t xml:space="preserve">et qui rend les problématiques d’origines croisées sans objet — et la forme est identique en local, derrière le tunnel et sur le serveur de l’entreprise ; seul le nom d’hôte change.</w:t>
      </w:r>
    </w:p>
    <w:p>
      <w:pPr>
        <w:pStyle w:val="BodyText"/>
      </w:pPr>
      <w:r>
        <w:t xml:space="preserve">Deux pièges de déploiement, rencontrés le 30 juillet 2026, méritent d’être documentés car ils font qu’</w:t>
      </w:r>
      <w:r>
        <w:rPr>
          <w:b/>
          <w:bCs/>
        </w:rPr>
        <w:t xml:space="preserve">un changement peut sembler appliqué sans être exécuté</w:t>
      </w:r>
      <w:r>
        <w:t xml:space="preserve"> </w:t>
      </w:r>
      <w:r>
        <w:t xml:space="preserve">:</w:t>
      </w:r>
    </w:p>
    <w:p>
      <w:pPr>
        <w:pStyle w:val="Compact"/>
        <w:numPr>
          <w:ilvl w:val="0"/>
          <w:numId w:val="1012"/>
        </w:numPr>
      </w:pPr>
      <w:r>
        <w:t xml:space="preserve">Le service est une</w:t>
      </w:r>
      <w:r>
        <w:t xml:space="preserve"> </w:t>
      </w:r>
      <w:r>
        <w:rPr>
          <w:b/>
          <w:bCs/>
        </w:rPr>
        <w:t xml:space="preserve">image construite</w:t>
      </w:r>
      <w:r>
        <w:t xml:space="preserve">, code source inclus. Un simple redémarrage réexécute l’</w:t>
      </w:r>
      <w:r>
        <w:rPr>
          <w:i/>
          <w:iCs/>
        </w:rPr>
        <w:t xml:space="preserve">ancien</w:t>
      </w:r>
      <w:r>
        <w:t xml:space="preserve"> </w:t>
      </w:r>
      <w:r>
        <w:t xml:space="preserve">code ; il faut reconstruire.</w:t>
      </w:r>
    </w:p>
    <w:p>
      <w:pPr>
        <w:pStyle w:val="Compact"/>
        <w:numPr>
          <w:ilvl w:val="0"/>
          <w:numId w:val="1012"/>
        </w:numPr>
      </w:pPr>
      <w:r>
        <w:t xml:space="preserve">n8n conserve</w:t>
      </w:r>
      <w:r>
        <w:t xml:space="preserve"> </w:t>
      </w:r>
      <w:r>
        <w:rPr>
          <w:b/>
          <w:bCs/>
        </w:rPr>
        <w:t xml:space="preserve">sa propre copie</w:t>
      </w:r>
      <w:r>
        <w:t xml:space="preserve"> </w:t>
      </w:r>
      <w:r>
        <w:t xml:space="preserve">du workflow dans son volume. Modifier le fichier JSON versionné ne change rien tant qu’il n’est pas réimporté ou poussé par l’API de n8n.</w:t>
      </w:r>
    </w:p>
    <w:bookmarkEnd w:id="82"/>
    <w:bookmarkEnd w:id="83"/>
    <w:bookmarkStart w:id="92" w:name="X761425c5a68c49ce368ba7b060eeb701c2992a5"/>
    <w:p>
      <w:pPr>
        <w:pStyle w:val="Heading2"/>
      </w:pPr>
      <w:r>
        <w:t xml:space="preserve">4.3 Le banc d’essai des moteurs de transcription</w:t>
      </w:r>
    </w:p>
    <w:p>
      <w:pPr>
        <w:pStyle w:val="FirstParagraph"/>
      </w:pPr>
      <w:r>
        <w:t xml:space="preserve">C’est le volet scientifique du projet. Il a été mené sur</w:t>
      </w:r>
      <w:r>
        <w:t xml:space="preserve"> </w:t>
      </w:r>
      <w:r>
        <w:rPr>
          <w:b/>
          <w:bCs/>
        </w:rPr>
        <w:t xml:space="preserve">treize moteurs</w:t>
      </w:r>
      <w:r>
        <w:t xml:space="preserve"> </w:t>
      </w:r>
      <w:r>
        <w:t xml:space="preserve">— trois par API et douze exécutés localement sur une carte NVIDIA RTX 3070 (8 Go) — et il a</w:t>
      </w:r>
      <w:r>
        <w:t xml:space="preserve"> </w:t>
      </w:r>
      <w:r>
        <w:rPr>
          <w:b/>
          <w:bCs/>
        </w:rPr>
        <w:t xml:space="preserve">renversé l’hypothèse initiale</w:t>
      </w:r>
      <w:r>
        <w:t xml:space="preserve"> </w:t>
      </w:r>
      <w:r>
        <w:t xml:space="preserve">du cahier des charges.</w:t>
      </w:r>
    </w:p>
    <w:bookmarkStart w:id="84" w:name="protocole"/>
    <w:p>
      <w:pPr>
        <w:pStyle w:val="Heading3"/>
      </w:pPr>
      <w:r>
        <w:t xml:space="preserve">4.3.1 Protocole</w:t>
      </w:r>
    </w:p>
    <w:p>
      <w:pPr>
        <w:pStyle w:val="FirstParagraph"/>
      </w:pPr>
      <w:r>
        <w:t xml:space="preserve">Onze notes vocales réelles, issues des échanges des techniciens, ont servi de corpus. Trois campagnes ont été menées :</w:t>
      </w:r>
    </w:p>
    <w:p>
      <w:pPr>
        <w:pStyle w:val="Compact"/>
        <w:numPr>
          <w:ilvl w:val="0"/>
          <w:numId w:val="1013"/>
        </w:numPr>
      </w:pPr>
      <w:r>
        <w:rPr>
          <w:b/>
          <w:bCs/>
        </w:rPr>
        <w:t xml:space="preserve">Comparaison par API</w:t>
      </w:r>
      <w:r>
        <w:t xml:space="preserve"> </w:t>
      </w:r>
      <w:r>
        <w:t xml:space="preserve">(3 moteurs), le 7 août 2026.</w:t>
      </w:r>
    </w:p>
    <w:p>
      <w:pPr>
        <w:pStyle w:val="Compact"/>
        <w:numPr>
          <w:ilvl w:val="0"/>
          <w:numId w:val="1013"/>
        </w:numPr>
      </w:pPr>
      <w:r>
        <w:rPr>
          <w:b/>
          <w:bCs/>
        </w:rPr>
        <w:t xml:space="preserve">Première campagne locale</w:t>
      </w:r>
      <w:r>
        <w:t xml:space="preserve"> </w:t>
      </w:r>
      <w:r>
        <w:t xml:space="preserve">(9 moteurs), le même jour.</w:t>
      </w:r>
    </w:p>
    <w:p>
      <w:pPr>
        <w:pStyle w:val="Compact"/>
        <w:numPr>
          <w:ilvl w:val="0"/>
          <w:numId w:val="1013"/>
        </w:numPr>
      </w:pPr>
      <w:r>
        <w:rPr>
          <w:b/>
          <w:bCs/>
        </w:rPr>
        <w:t xml:space="preserve">Campagne locale complète</w:t>
      </w:r>
      <w:r>
        <w:t xml:space="preserve"> </w:t>
      </w:r>
      <w:r>
        <w:t xml:space="preserve">(12 moteurs), après déblocage de deux dépôts sous licence.</w:t>
      </w:r>
    </w:p>
    <w:bookmarkEnd w:id="84"/>
    <w:bookmarkStart w:id="85" w:name="une-décision-de-méthode-ni-wer-ni-cer"/>
    <w:p>
      <w:pPr>
        <w:pStyle w:val="Heading3"/>
      </w:pPr>
      <w:r>
        <w:t xml:space="preserve">4.3.2 Une décision de méthode : ni WER, ni CER</w:t>
      </w:r>
    </w:p>
    <w:p>
      <w:pPr>
        <w:pStyle w:val="FirstParagraph"/>
      </w:pPr>
      <w:r>
        <w:rPr>
          <w:b/>
          <w:bCs/>
        </w:rPr>
        <w:t xml:space="preserve">La vérité terrain a été délibérément écartée</w:t>
      </w:r>
      <w:r>
        <w:t xml:space="preserve">, et il faut le dire explicitement plutôt que de le dissimuler : le fichier de références est resté vide, et le calcul du WER et du CER n’a donc</w:t>
      </w:r>
      <w:r>
        <w:t xml:space="preserve"> </w:t>
      </w:r>
      <w:r>
        <w:rPr>
          <w:b/>
          <w:bCs/>
        </w:rPr>
        <w:t xml:space="preserve">pas</w:t>
      </w:r>
      <w:r>
        <w:t xml:space="preserve"> </w:t>
      </w:r>
      <w:r>
        <w:t xml:space="preserve">été effectué. Ce n’est pas un oubli mais un arbitrage, fondé sur trois constats :</w:t>
      </w:r>
    </w:p>
    <w:p>
      <w:pPr>
        <w:pStyle w:val="Compact"/>
        <w:numPr>
          <w:ilvl w:val="0"/>
          <w:numId w:val="1014"/>
        </w:numPr>
      </w:pPr>
      <w:r>
        <w:rPr>
          <w:b/>
          <w:bCs/>
        </w:rPr>
        <w:t xml:space="preserve">L’écriture du darija n’est pas normalisée.</w:t>
      </w:r>
      <w:r>
        <w:t xml:space="preserve"> </w:t>
      </w:r>
      <w:r>
        <w:t xml:space="preserve">Le WER compare des chaînes de mots ; sur une langue sans orthographe fixée, il mesure autant la convention d’écriture du transcripteur de référence que la qualité du moteur.</w:t>
      </w:r>
    </w:p>
    <w:p>
      <w:pPr>
        <w:pStyle w:val="Compact"/>
        <w:numPr>
          <w:ilvl w:val="0"/>
          <w:numId w:val="1014"/>
        </w:numPr>
      </w:pPr>
      <w:r>
        <w:rPr>
          <w:b/>
          <w:bCs/>
        </w:rPr>
        <w:t xml:space="preserve">Le système ne consomme pas des mots, il consomme des nombres et des lieux.</w:t>
      </w:r>
      <w:r>
        <w:t xml:space="preserve"> </w:t>
      </w:r>
      <w:r>
        <w:t xml:space="preserve">Un moteur qui écrit</w:t>
      </w:r>
      <w:r>
        <w:t xml:space="preserve"> </w:t>
      </w:r>
      <w:r>
        <w:rPr>
          <w:rStyle w:val="VerbatimChar"/>
        </w:rPr>
        <w:t xml:space="preserve">ربعين</w:t>
      </w:r>
      <w:r>
        <w:t xml:space="preserve"> </w:t>
      </w:r>
      <w:r>
        <w:t xml:space="preserve">là où la référence dit « 40 » est lourdement pénalisé par le WER, alors qu’il fournit exactement l’information dont la chaîne d’extraction a besoin — celle-ci lit le darija.</w:t>
      </w:r>
    </w:p>
    <w:p>
      <w:pPr>
        <w:pStyle w:val="Compact"/>
        <w:numPr>
          <w:ilvl w:val="0"/>
          <w:numId w:val="1014"/>
        </w:numPr>
      </w:pPr>
      <w:r>
        <w:rPr>
          <w:b/>
          <w:bCs/>
        </w:rPr>
        <w:t xml:space="preserve">Le critère retenu est donc applicatif</w:t>
      </w:r>
      <w:r>
        <w:t xml:space="preserve"> </w:t>
      </w:r>
      <w:r>
        <w:t xml:space="preserve">:</w:t>
      </w:r>
      <w:r>
        <w:t xml:space="preserve"> </w:t>
      </w:r>
      <w:r>
        <w:rPr>
          <w:i/>
          <w:iCs/>
        </w:rPr>
        <w:t xml:space="preserve">quel moteur préserve les chiffres et les emprunts techniques français</w:t>
      </w:r>
      <w:r>
        <w:t xml:space="preserve"> </w:t>
      </w:r>
      <w:r>
        <w:t xml:space="preserve">— « 6 mètres », « 3ème étage », « panneau de brassage », « la fibre », « vérifier ». C’est tout ce que le journal consomme.</w:t>
      </w:r>
    </w:p>
    <w:p>
      <w:pPr>
        <w:pStyle w:val="FirstParagraph"/>
      </w:pPr>
      <w:r>
        <w:t xml:space="preserve">Ce critère a été appliqué par lecture des transcriptions clip par clip, puis</w:t>
      </w:r>
      <w:r>
        <w:t xml:space="preserve"> </w:t>
      </w:r>
      <w:r>
        <w:rPr>
          <w:b/>
          <w:bCs/>
        </w:rPr>
        <w:t xml:space="preserve">confirmé à l’oreille par un locuteur natif du darija le 8 août 2026</w:t>
      </w:r>
      <w:r>
        <w:t xml:space="preserve">. Cette confirmation humaine est ce qui a fixé l’ordre définitif de la chaîne.</w:t>
      </w:r>
    </w:p>
    <w:bookmarkEnd w:id="85"/>
    <w:bookmarkStart w:id="86" w:name="résultats-moteurs-par-api"/>
    <w:p>
      <w:pPr>
        <w:pStyle w:val="Heading3"/>
      </w:pPr>
      <w:r>
        <w:t xml:space="preserve">4.3.3 Résultats — moteurs par API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Moteur</w:t>
            </w:r>
          </w:p>
        </w:tc>
        <w:tc>
          <w:tcPr/>
          <w:p>
            <w:pPr>
              <w:pStyle w:val="Compact"/>
            </w:pPr>
            <w:r>
              <w:t xml:space="preserve">Clips</w:t>
            </w:r>
          </w:p>
        </w:tc>
        <w:tc>
          <w:tcPr/>
          <w:p>
            <w:pPr>
              <w:pStyle w:val="Compact"/>
            </w:pPr>
            <w:r>
              <w:t xml:space="preserve">Erreurs</w:t>
            </w:r>
          </w:p>
        </w:tc>
        <w:tc>
          <w:tcPr/>
          <w:p>
            <w:pPr>
              <w:pStyle w:val="Compact"/>
            </w:pPr>
            <w:r>
              <w:t xml:space="preserve">Latence moyenne</w:t>
            </w:r>
          </w:p>
        </w:tc>
        <w:tc>
          <w:tcPr/>
          <w:p>
            <w:pPr>
              <w:pStyle w:val="Compact"/>
            </w:pPr>
            <w:r>
              <w:t xml:space="preserve">Confiance moyenne</w:t>
            </w:r>
          </w:p>
        </w:tc>
        <w:tc>
          <w:tcPr/>
          <w:p>
            <w:pPr>
              <w:pStyle w:val="Compact"/>
            </w:pPr>
            <w:r>
              <w:t xml:space="preserve">Caractères moyens</w:t>
            </w:r>
          </w:p>
        </w:tc>
      </w:tr>
      <w:tr>
        <w:tc>
          <w:tcPr/>
          <w:p>
            <w:pPr>
              <w:pStyle w:val="Compact"/>
            </w:pPr>
            <w:r>
              <w:t xml:space="preserve">Groq (Whisper large-v3)</w:t>
            </w:r>
          </w:p>
        </w:tc>
        <w:tc>
          <w:tcPr/>
          <w:p>
            <w:pPr>
              <w:pStyle w:val="Compact"/>
            </w:pPr>
            <w:r>
              <w:t xml:space="preserve">11</w:t>
            </w:r>
          </w:p>
        </w:tc>
        <w:tc>
          <w:tcPr/>
          <w:p>
            <w:pPr>
              <w:pStyle w:val="Compact"/>
            </w:pPr>
            <w:r>
              <w:t xml:space="preserve">0</w:t>
            </w:r>
          </w:p>
        </w:tc>
        <w:tc>
          <w:tcPr/>
          <w:p>
            <w:pPr>
              <w:pStyle w:val="Compact"/>
            </w:pPr>
            <w:r>
              <w:rPr>
                <w:b/>
                <w:bCs/>
              </w:rPr>
              <w:t xml:space="preserve">1,53 s</w:t>
            </w:r>
          </w:p>
        </w:tc>
        <w:tc>
          <w:tcPr/>
          <w:p>
            <w:pPr>
              <w:pStyle w:val="Compact"/>
            </w:pPr>
            <w:r>
              <w:t xml:space="preserve">0,483</w:t>
            </w:r>
          </w:p>
        </w:tc>
        <w:tc>
          <w:tcPr/>
          <w:p>
            <w:pPr>
              <w:pStyle w:val="Compact"/>
            </w:pPr>
            <w:r>
              <w:t xml:space="preserve">613</w:t>
            </w:r>
          </w:p>
        </w:tc>
      </w:tr>
      <w:tr>
        <w:tc>
          <w:tcPr/>
          <w:p>
            <w:pPr>
              <w:pStyle w:val="Compact"/>
            </w:pPr>
            <w:r>
              <w:t xml:space="preserve">Gemini</w:t>
            </w:r>
          </w:p>
        </w:tc>
        <w:tc>
          <w:tcPr/>
          <w:p>
            <w:pPr>
              <w:pStyle w:val="Compact"/>
            </w:pPr>
            <w:r>
              <w:t xml:space="preserve">11</w:t>
            </w:r>
          </w:p>
        </w:tc>
        <w:tc>
          <w:tcPr/>
          <w:p>
            <w:pPr>
              <w:pStyle w:val="Compact"/>
            </w:pPr>
            <w:r>
              <w:t xml:space="preserve">0</w:t>
            </w:r>
          </w:p>
        </w:tc>
        <w:tc>
          <w:tcPr/>
          <w:p>
            <w:pPr>
              <w:pStyle w:val="Compact"/>
            </w:pPr>
            <w:r>
              <w:t xml:space="preserve">16,94 s</w:t>
            </w:r>
          </w:p>
        </w:tc>
        <w:tc>
          <w:tcPr/>
          <w:p>
            <w:pPr>
              <w:pStyle w:val="Compact"/>
            </w:pPr>
            <w:r>
              <w:t xml:space="preserve">non exposée</w:t>
            </w:r>
          </w:p>
        </w:tc>
        <w:tc>
          <w:tcPr/>
          <w:p>
            <w:pPr>
              <w:pStyle w:val="Compact"/>
            </w:pPr>
            <w:r>
              <w:t xml:space="preserve">20 651 (faussé, voir §4.4.1)</w:t>
            </w:r>
          </w:p>
        </w:tc>
      </w:tr>
      <w:tr>
        <w:tc>
          <w:tcPr/>
          <w:p>
            <w:pPr>
              <w:pStyle w:val="Compact"/>
            </w:pPr>
            <w:r>
              <w:t xml:space="preserve">Hugging Face (affinage darija)</w:t>
            </w:r>
          </w:p>
        </w:tc>
        <w:tc>
          <w:tcPr/>
          <w:p>
            <w:pPr>
              <w:pStyle w:val="Compact"/>
            </w:pPr>
            <w:r>
              <w:t xml:space="preserve">11</w:t>
            </w:r>
          </w:p>
        </w:tc>
        <w:tc>
          <w:tcPr/>
          <w:p>
            <w:pPr>
              <w:pStyle w:val="Compact"/>
            </w:pPr>
            <w:r>
              <w:rPr>
                <w:b/>
                <w:bCs/>
              </w:rPr>
              <w:t xml:space="preserve">11</w:t>
            </w:r>
          </w:p>
        </w:tc>
        <w:tc>
          <w:tcPr/>
          <w:p>
            <w:pPr>
              <w:pStyle w:val="Compact"/>
            </w:pPr>
            <w:r>
              <w:t xml:space="preserve">—</w:t>
            </w:r>
          </w:p>
        </w:tc>
        <w:tc>
          <w:tcPr/>
          <w:p>
            <w:pPr>
              <w:pStyle w:val="Compact"/>
            </w:pPr>
            <w:r>
              <w:t xml:space="preserve">—</w:t>
            </w:r>
          </w:p>
        </w:tc>
        <w:tc>
          <w:tcPr/>
          <w:p>
            <w:pPr>
              <w:pStyle w:val="Compact"/>
            </w:pPr>
            <w:r>
              <w:t xml:space="preserve">jeton non configuré</w:t>
            </w:r>
          </w:p>
        </w:tc>
      </w:tr>
    </w:tbl>
    <w:p>
      <w:pPr>
        <w:pStyle w:val="BodyText"/>
      </w:pPr>
      <w:r>
        <w:rPr>
          <w:b/>
          <w:bCs/>
        </w:rPr>
        <w:t xml:space="preserve">Tableau 4.2 :</w:t>
      </w:r>
      <w:r>
        <w:t xml:space="preserve"> </w:t>
      </w:r>
      <w:r>
        <w:t xml:space="preserve">Comparaison des moteurs accessibles par API (7 août 2026).</w:t>
      </w:r>
    </w:p>
    <w:p>
      <w:pPr>
        <w:pStyle w:val="BodyText"/>
      </w:pPr>
      <w:r>
        <w:rPr>
          <w:b/>
          <w:bCs/>
        </w:rPr>
        <w:t xml:space="preserve">Constat majeur : Groq déforme les quantités.</w:t>
      </w:r>
      <w:r>
        <w:t xml:space="preserve"> </w:t>
      </w:r>
      <w:r>
        <w:t xml:space="preserve">Sur un même clip, Gemini produit</w:t>
      </w:r>
      <w:r>
        <w:t xml:space="preserve"> </w:t>
      </w:r>
      <w:r>
        <w:rPr>
          <w:rStyle w:val="VerbatimChar"/>
        </w:rPr>
        <w:t xml:space="preserve">40 كابل</w:t>
      </w:r>
      <w:r>
        <w:t xml:space="preserve">,</w:t>
      </w:r>
      <w:r>
        <w:t xml:space="preserve"> </w:t>
      </w:r>
      <w:r>
        <w:rPr>
          <w:rStyle w:val="VerbatimChar"/>
        </w:rPr>
        <w:t xml:space="preserve">8 ديال les panneaux</w:t>
      </w:r>
      <w:r>
        <w:t xml:space="preserve">,</w:t>
      </w:r>
      <w:r>
        <w:t xml:space="preserve"> </w:t>
      </w:r>
      <w:r>
        <w:rPr>
          <w:rStyle w:val="VerbatimChar"/>
        </w:rPr>
        <w:t xml:space="preserve">12 پانُو</w:t>
      </w:r>
      <w:r>
        <w:t xml:space="preserve">,</w:t>
      </w:r>
      <w:r>
        <w:t xml:space="preserve"> </w:t>
      </w:r>
      <w:r>
        <w:rPr>
          <w:rStyle w:val="VerbatimChar"/>
        </w:rPr>
        <w:t xml:space="preserve">3ème étage</w:t>
      </w:r>
      <w:r>
        <w:t xml:space="preserve"> </w:t>
      </w:r>
      <w:r>
        <w:t xml:space="preserve">; Groq produit</w:t>
      </w:r>
      <w:r>
        <w:t xml:space="preserve"> </w:t>
      </w:r>
      <w:r>
        <w:rPr>
          <w:rStyle w:val="VerbatimChar"/>
        </w:rPr>
        <w:t xml:space="preserve">mniya dyal panno</w:t>
      </w:r>
      <w:r>
        <w:t xml:space="preserve">,</w:t>
      </w:r>
      <w:r>
        <w:t xml:space="preserve"> </w:t>
      </w:r>
      <w:r>
        <w:rPr>
          <w:rStyle w:val="VerbatimChar"/>
        </w:rPr>
        <w:t xml:space="preserve">Pouzina ssimetro</w:t>
      </w:r>
      <w:r>
        <w:t xml:space="preserve">,</w:t>
      </w:r>
      <w:r>
        <w:t xml:space="preserve"> </w:t>
      </w:r>
      <w:r>
        <w:rPr>
          <w:rStyle w:val="VerbatimChar"/>
        </w:rPr>
        <w:t xml:space="preserve">3O mietage</w:t>
      </w:r>
      <w:r>
        <w:t xml:space="preserve">,</w:t>
      </w:r>
      <w:r>
        <w:t xml:space="preserve"> </w:t>
      </w:r>
      <w:r>
        <w:rPr>
          <w:rStyle w:val="VerbatimChar"/>
        </w:rPr>
        <w:t xml:space="preserve">ondélique</w:t>
      </w:r>
      <w:r>
        <w:t xml:space="preserve">. Le schéma métier étant intégralement composé de quantités et de localisations, un moteur qui fusionne un chiffre dans le mot suivant ne donne rien à extraire — et</w:t>
      </w:r>
      <w:r>
        <w:t xml:space="preserve"> </w:t>
      </w:r>
      <w:r>
        <w:rPr>
          <w:rStyle w:val="VerbatimChar"/>
        </w:rPr>
        <w:t xml:space="preserve">has_data()</w:t>
      </w:r>
      <w:r>
        <w:t xml:space="preserve"> </w:t>
      </w:r>
      <w:r>
        <w:t xml:space="preserve">renvoie alors « faux » sur un rapport qui</w:t>
      </w:r>
      <w:r>
        <w:t xml:space="preserve"> </w:t>
      </w:r>
      <w:r>
        <w:rPr>
          <w:i/>
          <w:iCs/>
        </w:rPr>
        <w:t xml:space="preserve">contenait</w:t>
      </w:r>
      <w:r>
        <w:t xml:space="preserve"> </w:t>
      </w:r>
      <w:r>
        <w:t xml:space="preserve">pourtant des données.</w:t>
      </w:r>
    </w:p>
    <w:bookmarkEnd w:id="86"/>
    <w:bookmarkStart w:id="87" w:name="résultats-moteurs-locaux-sur-gpu"/>
    <w:p>
      <w:pPr>
        <w:pStyle w:val="Heading3"/>
      </w:pPr>
      <w:r>
        <w:t xml:space="preserve">4.3.4 Résultats — moteurs locaux sur GPU</w:t>
      </w:r>
    </w:p>
    <w:p>
      <w:pPr>
        <w:pStyle w:val="FirstParagraph"/>
      </w:pPr>
      <w:r>
        <w:t xml:space="preserve">Douze moteurs ont été exécutés localement en demi-précision sur la RTX 3070.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Modèle</w:t>
            </w:r>
          </w:p>
        </w:tc>
        <w:tc>
          <w:tcPr/>
          <w:p>
            <w:pPr>
              <w:pStyle w:val="Compact"/>
            </w:pPr>
            <w:r>
              <w:t xml:space="preserve">Latence</w:t>
            </w:r>
          </w:p>
        </w:tc>
        <w:tc>
          <w:tcPr/>
          <w:p>
            <w:pPr>
              <w:pStyle w:val="Compact"/>
            </w:pPr>
            <w:r>
              <w:t xml:space="preserve">Confiance</w:t>
            </w:r>
          </w:p>
        </w:tc>
        <w:tc>
          <w:tcPr/>
          <w:p>
            <w:pPr>
              <w:pStyle w:val="Compact"/>
            </w:pPr>
            <w:r>
              <w:t xml:space="preserve">Caractères</w:t>
            </w:r>
          </w:p>
        </w:tc>
        <w:tc>
          <w:tcPr/>
          <w:p>
            <w:pPr>
              <w:pStyle w:val="Compact"/>
            </w:pPr>
            <w:r>
              <w:t xml:space="preserve">Chiffres</w:t>
            </w:r>
          </w:p>
        </w:tc>
      </w:tr>
      <w:tr>
        <w:tc>
          <w:tcPr/>
          <w:p>
            <w:pPr>
              <w:pStyle w:val="Compact"/>
            </w:pPr>
            <w:r>
              <w:rPr>
                <w:rStyle w:val="VerbatimChar"/>
              </w:rPr>
              <w:t xml:space="preserve">boumehdi/wav2vec2-moroccan-darija</w:t>
            </w:r>
          </w:p>
        </w:tc>
        <w:tc>
          <w:tcPr/>
          <w:p>
            <w:pPr>
              <w:pStyle w:val="Compact"/>
            </w:pPr>
            <w:r>
              <w:t xml:space="preserve">0,7 s</w:t>
            </w:r>
          </w:p>
        </w:tc>
        <w:tc>
          <w:tcPr/>
          <w:p>
            <w:pPr>
              <w:pStyle w:val="Compact"/>
            </w:pPr>
            <w:r>
              <w:t xml:space="preserve">0,916</w:t>
            </w:r>
          </w:p>
        </w:tc>
        <w:tc>
          <w:tcPr/>
          <w:p>
            <w:pPr>
              <w:pStyle w:val="Compact"/>
            </w:pPr>
            <w:r>
              <w:t xml:space="preserve">501</w:t>
            </w:r>
          </w:p>
        </w:tc>
        <w:tc>
          <w:tcPr/>
          <w:p>
            <w:pPr>
              <w:pStyle w:val="Compact"/>
            </w:pPr>
            <w:r>
              <w:t xml:space="preserve">0</w:t>
            </w:r>
          </w:p>
        </w:tc>
      </w:tr>
      <w:tr>
        <w:tc>
          <w:tcPr/>
          <w:p>
            <w:pPr>
              <w:pStyle w:val="Compact"/>
            </w:pPr>
            <w:r>
              <w:rPr>
                <w:rStyle w:val="VerbatimChar"/>
              </w:rPr>
              <w:t xml:space="preserve">amineouaki/xlsr-53-darija-combined</w:t>
            </w:r>
          </w:p>
        </w:tc>
        <w:tc>
          <w:tcPr/>
          <w:p>
            <w:pPr>
              <w:pStyle w:val="Compact"/>
            </w:pPr>
            <w:r>
              <w:t xml:space="preserve">6,3 s</w:t>
            </w:r>
          </w:p>
        </w:tc>
        <w:tc>
          <w:tcPr/>
          <w:p>
            <w:pPr>
              <w:pStyle w:val="Compact"/>
            </w:pPr>
            <w:r>
              <w:t xml:space="preserve">0,884</w:t>
            </w:r>
          </w:p>
        </w:tc>
        <w:tc>
          <w:tcPr/>
          <w:p>
            <w:pPr>
              <w:pStyle w:val="Compact"/>
            </w:pPr>
            <w:r>
              <w:t xml:space="preserve">493</w:t>
            </w:r>
          </w:p>
        </w:tc>
        <w:tc>
          <w:tcPr/>
          <w:p>
            <w:pPr>
              <w:pStyle w:val="Compact"/>
            </w:pPr>
            <w:r>
              <w:t xml:space="preserve">7</w:t>
            </w:r>
          </w:p>
        </w:tc>
      </w:tr>
      <w:tr>
        <w:tc>
          <w:tcPr/>
          <w:p>
            <w:pPr>
              <w:pStyle w:val="Compact"/>
            </w:pPr>
            <w:r>
              <w:rPr>
                <w:rStyle w:val="VerbatimChar"/>
              </w:rPr>
              <w:t xml:space="preserve">amineouaki/wav2vec2-darija-combined</w:t>
            </w:r>
          </w:p>
        </w:tc>
        <w:tc>
          <w:tcPr/>
          <w:p>
            <w:pPr>
              <w:pStyle w:val="Compact"/>
            </w:pPr>
            <w:r>
              <w:t xml:space="preserve">4,0 s</w:t>
            </w:r>
          </w:p>
        </w:tc>
        <w:tc>
          <w:tcPr/>
          <w:p>
            <w:pPr>
              <w:pStyle w:val="Compact"/>
            </w:pPr>
            <w:r>
              <w:t xml:space="preserve">0,853</w:t>
            </w:r>
          </w:p>
        </w:tc>
        <w:tc>
          <w:tcPr/>
          <w:p>
            <w:pPr>
              <w:pStyle w:val="Compact"/>
            </w:pPr>
            <w:r>
              <w:t xml:space="preserve">439</w:t>
            </w:r>
          </w:p>
        </w:tc>
        <w:tc>
          <w:tcPr/>
          <w:p>
            <w:pPr>
              <w:pStyle w:val="Compact"/>
            </w:pPr>
            <w:r>
              <w:t xml:space="preserve">22</w:t>
            </w:r>
          </w:p>
        </w:tc>
      </w:tr>
      <w:tr>
        <w:tc>
          <w:tcPr/>
          <w:p>
            <w:pPr>
              <w:pStyle w:val="Compact"/>
            </w:pPr>
            <w:r>
              <w:rPr>
                <w:rStyle w:val="VerbatimChar"/>
              </w:rPr>
              <w:t xml:space="preserve">ychafiqui/whisper-medium-darija</w:t>
            </w:r>
          </w:p>
        </w:tc>
        <w:tc>
          <w:tcPr/>
          <w:p>
            <w:pPr>
              <w:pStyle w:val="Compact"/>
            </w:pPr>
            <w:r>
              <w:t xml:space="preserve">3,7 s</w:t>
            </w:r>
          </w:p>
        </w:tc>
        <w:tc>
          <w:tcPr/>
          <w:p>
            <w:pPr>
              <w:pStyle w:val="Compact"/>
            </w:pPr>
            <w:r>
              <w:t xml:space="preserve">0,843</w:t>
            </w:r>
          </w:p>
        </w:tc>
        <w:tc>
          <w:tcPr/>
          <w:p>
            <w:pPr>
              <w:pStyle w:val="Compact"/>
            </w:pPr>
            <w:r>
              <w:t xml:space="preserve">184</w:t>
            </w:r>
          </w:p>
        </w:tc>
        <w:tc>
          <w:tcPr/>
          <w:p>
            <w:pPr>
              <w:pStyle w:val="Compact"/>
            </w:pPr>
            <w:r>
              <w:t xml:space="preserve">0</w:t>
            </w:r>
          </w:p>
        </w:tc>
      </w:tr>
      <w:tr>
        <w:tc>
          <w:tcPr/>
          <w:p>
            <w:pPr>
              <w:pStyle w:val="Compact"/>
            </w:pPr>
            <w:r>
              <w:rPr>
                <w:rStyle w:val="VerbatimChar"/>
                <w:b/>
                <w:bCs/>
              </w:rPr>
              <w:t xml:space="preserve">BounharAbdelaziz/Morocco-Darija-STT-large</w:t>
            </w:r>
          </w:p>
        </w:tc>
        <w:tc>
          <w:tcPr/>
          <w:p>
            <w:pPr>
              <w:pStyle w:val="Compact"/>
            </w:pPr>
            <w:r>
              <w:rPr>
                <w:b/>
                <w:bCs/>
              </w:rPr>
              <w:t xml:space="preserve">7,7 s</w:t>
            </w:r>
          </w:p>
        </w:tc>
        <w:tc>
          <w:tcPr/>
          <w:p>
            <w:pPr>
              <w:pStyle w:val="Compact"/>
            </w:pPr>
            <w:r>
              <w:rPr>
                <w:b/>
                <w:bCs/>
              </w:rPr>
              <w:t xml:space="preserve">0,791</w:t>
            </w:r>
          </w:p>
        </w:tc>
        <w:tc>
          <w:tcPr/>
          <w:p>
            <w:pPr>
              <w:pStyle w:val="Compact"/>
            </w:pPr>
            <w:r>
              <w:rPr>
                <w:b/>
                <w:bCs/>
              </w:rPr>
              <w:t xml:space="preserve">249</w:t>
            </w:r>
          </w:p>
        </w:tc>
        <w:tc>
          <w:tcPr/>
          <w:p>
            <w:pPr>
              <w:pStyle w:val="Compact"/>
            </w:pPr>
            <w:r>
              <w:rPr>
                <w:b/>
                <w:bCs/>
              </w:rPr>
              <w:t xml:space="preserve">45</w:t>
            </w:r>
          </w:p>
        </w:tc>
      </w:tr>
      <w:tr>
        <w:tc>
          <w:tcPr/>
          <w:p>
            <w:pPr>
              <w:pStyle w:val="Compact"/>
            </w:pPr>
            <w:r>
              <w:rPr>
                <w:rStyle w:val="VerbatimChar"/>
              </w:rPr>
              <w:t xml:space="preserve">TaloCreations/whisper-darija-finetuned</w:t>
            </w:r>
          </w:p>
        </w:tc>
        <w:tc>
          <w:tcPr/>
          <w:p>
            <w:pPr>
              <w:pStyle w:val="Compact"/>
            </w:pPr>
            <w:r>
              <w:t xml:space="preserve">2,3 s</w:t>
            </w:r>
          </w:p>
        </w:tc>
        <w:tc>
          <w:tcPr/>
          <w:p>
            <w:pPr>
              <w:pStyle w:val="Compact"/>
            </w:pPr>
            <w:r>
              <w:t xml:space="preserve">0,735</w:t>
            </w:r>
          </w:p>
        </w:tc>
        <w:tc>
          <w:tcPr/>
          <w:p>
            <w:pPr>
              <w:pStyle w:val="Compact"/>
            </w:pPr>
            <w:r>
              <w:t xml:space="preserve">198</w:t>
            </w:r>
          </w:p>
        </w:tc>
        <w:tc>
          <w:tcPr/>
          <w:p>
            <w:pPr>
              <w:pStyle w:val="Compact"/>
            </w:pPr>
            <w:r>
              <w:t xml:space="preserve">0</w:t>
            </w:r>
          </w:p>
        </w:tc>
      </w:tr>
      <w:tr>
        <w:tc>
          <w:tcPr/>
          <w:p>
            <w:pPr>
              <w:pStyle w:val="Compact"/>
            </w:pPr>
            <w:r>
              <w:rPr>
                <w:rStyle w:val="VerbatimChar"/>
              </w:rPr>
              <w:t xml:space="preserve">ychafiqui/whisper-small-darija</w:t>
            </w:r>
          </w:p>
        </w:tc>
        <w:tc>
          <w:tcPr/>
          <w:p>
            <w:pPr>
              <w:pStyle w:val="Compact"/>
            </w:pPr>
            <w:r>
              <w:t xml:space="preserve">2,3 s</w:t>
            </w:r>
          </w:p>
        </w:tc>
        <w:tc>
          <w:tcPr/>
          <w:p>
            <w:pPr>
              <w:pStyle w:val="Compact"/>
            </w:pPr>
            <w:r>
              <w:t xml:space="preserve">0,716</w:t>
            </w:r>
          </w:p>
        </w:tc>
        <w:tc>
          <w:tcPr/>
          <w:p>
            <w:pPr>
              <w:pStyle w:val="Compact"/>
            </w:pPr>
            <w:r>
              <w:t xml:space="preserve">199</w:t>
            </w:r>
          </w:p>
        </w:tc>
        <w:tc>
          <w:tcPr/>
          <w:p>
            <w:pPr>
              <w:pStyle w:val="Compact"/>
            </w:pPr>
            <w:r>
              <w:t xml:space="preserve">0</w:t>
            </w:r>
          </w:p>
        </w:tc>
      </w:tr>
      <w:tr>
        <w:tc>
          <w:tcPr/>
          <w:p>
            <w:pPr>
              <w:pStyle w:val="Compact"/>
            </w:pPr>
            <w:r>
              <w:rPr>
                <w:rStyle w:val="VerbatimChar"/>
              </w:rPr>
              <w:t xml:space="preserve">openai/whisper-large-v3-turbo</w:t>
            </w:r>
            <w:r>
              <w:t xml:space="preserve"> </w:t>
            </w:r>
            <w:r>
              <w:t xml:space="preserve">(contrôle)</w:t>
            </w:r>
          </w:p>
        </w:tc>
        <w:tc>
          <w:tcPr/>
          <w:p>
            <w:pPr>
              <w:pStyle w:val="Compact"/>
            </w:pPr>
            <w:r>
              <w:t xml:space="preserve">1,0 s</w:t>
            </w:r>
          </w:p>
        </w:tc>
        <w:tc>
          <w:tcPr/>
          <w:p>
            <w:pPr>
              <w:pStyle w:val="Compact"/>
            </w:pPr>
            <w:r>
              <w:t xml:space="preserve">0,597</w:t>
            </w:r>
          </w:p>
        </w:tc>
        <w:tc>
          <w:tcPr/>
          <w:p>
            <w:pPr>
              <w:pStyle w:val="Compact"/>
            </w:pPr>
            <w:r>
              <w:t xml:space="preserve">174</w:t>
            </w:r>
          </w:p>
        </w:tc>
        <w:tc>
          <w:tcPr/>
          <w:p>
            <w:pPr>
              <w:pStyle w:val="Compact"/>
            </w:pPr>
            <w:r>
              <w:t xml:space="preserve">30</w:t>
            </w:r>
          </w:p>
        </w:tc>
      </w:tr>
      <w:tr>
        <w:tc>
          <w:tcPr/>
          <w:p>
            <w:pPr>
              <w:pStyle w:val="Compact"/>
            </w:pPr>
            <w:r>
              <w:rPr>
                <w:rStyle w:val="VerbatimChar"/>
              </w:rPr>
              <w:t xml:space="preserve">openai/whisper-large-v3</w:t>
            </w:r>
            <w:r>
              <w:t xml:space="preserve"> </w:t>
            </w:r>
            <w:r>
              <w:t xml:space="preserve">(contrôle)</w:t>
            </w:r>
          </w:p>
        </w:tc>
        <w:tc>
          <w:tcPr/>
          <w:p>
            <w:pPr>
              <w:pStyle w:val="Compact"/>
            </w:pPr>
            <w:r>
              <w:t xml:space="preserve">5,7 s</w:t>
            </w:r>
          </w:p>
        </w:tc>
        <w:tc>
          <w:tcPr/>
          <w:p>
            <w:pPr>
              <w:pStyle w:val="Compact"/>
            </w:pPr>
            <w:r>
              <w:t xml:space="preserve">0,582</w:t>
            </w:r>
          </w:p>
        </w:tc>
        <w:tc>
          <w:tcPr/>
          <w:p>
            <w:pPr>
              <w:pStyle w:val="Compact"/>
            </w:pPr>
            <w:r>
              <w:t xml:space="preserve">214</w:t>
            </w:r>
          </w:p>
        </w:tc>
        <w:tc>
          <w:tcPr/>
          <w:p>
            <w:pPr>
              <w:pStyle w:val="Compact"/>
            </w:pPr>
            <w:r>
              <w:t xml:space="preserve">55</w:t>
            </w:r>
          </w:p>
        </w:tc>
      </w:tr>
      <w:tr>
        <w:tc>
          <w:tcPr/>
          <w:p>
            <w:pPr>
              <w:pStyle w:val="Compact"/>
            </w:pPr>
            <w:r>
              <w:rPr>
                <w:rStyle w:val="VerbatimChar"/>
              </w:rPr>
              <w:t xml:space="preserve">C-Ilyas/whisper-base-darija</w:t>
            </w:r>
          </w:p>
        </w:tc>
        <w:tc>
          <w:tcPr/>
          <w:p>
            <w:pPr>
              <w:pStyle w:val="Compact"/>
            </w:pPr>
            <w:r>
              <w:t xml:space="preserve">5,0 s</w:t>
            </w:r>
          </w:p>
        </w:tc>
        <w:tc>
          <w:tcPr/>
          <w:p>
            <w:pPr>
              <w:pStyle w:val="Compact"/>
            </w:pPr>
            <w:r>
              <w:t xml:space="preserve">0,548</w:t>
            </w:r>
          </w:p>
        </w:tc>
        <w:tc>
          <w:tcPr/>
          <w:p>
            <w:pPr>
              <w:pStyle w:val="Compact"/>
            </w:pPr>
            <w:r>
              <w:rPr>
                <w:b/>
                <w:bCs/>
              </w:rPr>
              <w:t xml:space="preserve">0</w:t>
            </w:r>
          </w:p>
        </w:tc>
        <w:tc>
          <w:tcPr/>
          <w:p>
            <w:pPr>
              <w:pStyle w:val="Compact"/>
            </w:pPr>
            <w:r>
              <w:t xml:space="preserve">0</w:t>
            </w:r>
          </w:p>
        </w:tc>
      </w:tr>
    </w:tbl>
    <w:p>
      <w:pPr>
        <w:pStyle w:val="BodyText"/>
      </w:pPr>
      <w:r>
        <w:rPr>
          <w:b/>
          <w:bCs/>
        </w:rPr>
        <w:t xml:space="preserve">Tableau 4.3 :</w:t>
      </w:r>
      <w:r>
        <w:t xml:space="preserve"> </w:t>
      </w:r>
      <w:r>
        <w:t xml:space="preserve">Campagne locale complète, 12 moteurs, 11 clips, RTX 3070 (7 août 2026). Trié par confiance décroissante.</w:t>
      </w:r>
    </w:p>
    <w:p>
      <w:pPr>
        <w:pStyle w:val="BodyText"/>
      </w:pPr>
      <w:r>
        <w:rPr>
          <w:b/>
          <w:bCs/>
        </w:rPr>
        <w:t xml:space="preserve">Ce tableau est trié par confiance précisément pour démontrer qu’il ne faut pas s’y fier.</w:t>
      </w:r>
      <w:r>
        <w:t xml:space="preserve"> </w:t>
      </w:r>
      <w:r>
        <w:rPr>
          <w:rStyle w:val="VerbatimChar"/>
        </w:rPr>
        <w:t xml:space="preserve">boumehdi</w:t>
      </w:r>
      <w:r>
        <w:t xml:space="preserve"> </w:t>
      </w:r>
      <w:r>
        <w:t xml:space="preserve">domine la colonne à 0,916 et perd purement et simplement le « 40 » ; le meilleur moteur n’arrive qu’en cinquième position. C’est la troisième confirmation indépendante que</w:t>
      </w:r>
      <w:r>
        <w:t xml:space="preserve"> </w:t>
      </w:r>
      <w:r>
        <w:rPr>
          <w:rStyle w:val="VerbatimChar"/>
        </w:rPr>
        <w:t xml:space="preserve">exp(mean logprob)</w:t>
      </w:r>
      <w:r>
        <w:t xml:space="preserve"> </w:t>
      </w:r>
      <w:r>
        <w:t xml:space="preserve">mesure la certitude du décodeur, non son exactitude.</w:t>
      </w:r>
    </w:p>
    <w:p>
      <w:pPr>
        <w:pStyle w:val="BodyText"/>
      </w:pPr>
      <w:r>
        <w:t xml:space="preserve">Deux précautions de lecture s’imposent :</w:t>
      </w:r>
    </w:p>
    <w:p>
      <w:pPr>
        <w:pStyle w:val="Compact"/>
        <w:numPr>
          <w:ilvl w:val="0"/>
          <w:numId w:val="1015"/>
        </w:numPr>
      </w:pPr>
      <w:r>
        <w:rPr>
          <w:b/>
          <w:bCs/>
        </w:rPr>
        <w:t xml:space="preserve">Les confiances ne sont pas comparables d’une famille à l’autre.</w:t>
      </w:r>
      <w:r>
        <w:t xml:space="preserve"> </w:t>
      </w:r>
      <w:r>
        <w:t xml:space="preserve">Le 0,85–0,92 de wav2vec2 est une moyenne de</w:t>
      </w:r>
      <w:r>
        <w:t xml:space="preserve"> </w:t>
      </w:r>
      <w:r>
        <w:rPr>
          <w:i/>
          <w:iCs/>
        </w:rPr>
        <w:t xml:space="preserve">softmax</w:t>
      </w:r>
      <w:r>
        <w:t xml:space="preserve"> </w:t>
      </w:r>
      <w:r>
        <w:t xml:space="preserve">CTC ; celle de Whisper est</w:t>
      </w:r>
      <w:r>
        <w:t xml:space="preserve"> </w:t>
      </w:r>
      <w:r>
        <w:rPr>
          <w:rStyle w:val="VerbatimChar"/>
        </w:rPr>
        <w:t xml:space="preserve">exp(mean token logprob)</w:t>
      </w:r>
      <w:r>
        <w:t xml:space="preserve">. Même échelle, grandeurs différentes.</w:t>
      </w:r>
    </w:p>
    <w:p>
      <w:pPr>
        <w:pStyle w:val="Compact"/>
        <w:numPr>
          <w:ilvl w:val="0"/>
          <w:numId w:val="1015"/>
        </w:numPr>
      </w:pPr>
      <w:r>
        <w:rPr>
          <w:b/>
          <w:bCs/>
        </w:rPr>
        <w:t xml:space="preserve">La colonne « chiffres » est un leurre.</w:t>
      </w:r>
      <w:r>
        <w:t xml:space="preserve"> </w:t>
      </w:r>
      <w:r>
        <w:t xml:space="preserve">Les affinages capturent bien les nombres, mais sous forme de</w:t>
      </w:r>
      <w:r>
        <w:t xml:space="preserve"> </w:t>
      </w:r>
      <w:r>
        <w:rPr>
          <w:b/>
          <w:bCs/>
        </w:rPr>
        <w:t xml:space="preserve">mots arabes</w:t>
      </w:r>
      <w:r>
        <w:t xml:space="preserve"> </w:t>
      </w:r>
      <w:r>
        <w:t xml:space="preserve">:</w:t>
      </w:r>
      <w:r>
        <w:t xml:space="preserve"> </w:t>
      </w:r>
      <w:r>
        <w:rPr>
          <w:rStyle w:val="VerbatimChar"/>
        </w:rPr>
        <w:t xml:space="preserve">تمنية</w:t>
      </w:r>
      <w:r>
        <w:t xml:space="preserve"> </w:t>
      </w:r>
      <w:r>
        <w:t xml:space="preserve">(8),</w:t>
      </w:r>
      <w:r>
        <w:t xml:space="preserve"> </w:t>
      </w:r>
      <w:r>
        <w:rPr>
          <w:rStyle w:val="VerbatimChar"/>
        </w:rPr>
        <w:t xml:space="preserve">طناشر</w:t>
      </w:r>
      <w:r>
        <w:t xml:space="preserve"> </w:t>
      </w:r>
      <w:r>
        <w:t xml:space="preserve">(12),</w:t>
      </w:r>
      <w:r>
        <w:t xml:space="preserve"> </w:t>
      </w:r>
      <w:r>
        <w:rPr>
          <w:rStyle w:val="VerbatimChar"/>
        </w:rPr>
        <w:t xml:space="preserve">ربعين</w:t>
      </w:r>
      <w:r>
        <w:t xml:space="preserve"> </w:t>
      </w:r>
      <w:r>
        <w:t xml:space="preserve">(40). La chaîne d’extraction lit le darija ; ces formes sont donc parfaitement récupérables. La colonne mesure une commodité de format, non une perte d’information.</w:t>
      </w:r>
    </w:p>
    <w:bookmarkEnd w:id="87"/>
    <w:bookmarkStart w:id="88" w:name="le-moteur-retenu-et-sa-justification"/>
    <w:p>
      <w:pPr>
        <w:pStyle w:val="Heading3"/>
      </w:pPr>
      <w:r>
        <w:t xml:space="preserve">4.3.5 Le moteur retenu et sa justification</w:t>
      </w:r>
    </w:p>
    <w:p>
      <w:pPr>
        <w:pStyle w:val="FirstParagraph"/>
      </w:pPr>
      <w:r>
        <w:rPr>
          <w:rStyle w:val="VerbatimChar"/>
        </w:rPr>
        <w:t xml:space="preserve">BounharAbdelaziz/Morocco-Darija-STT-large</w:t>
      </w:r>
      <w:r>
        <w:t xml:space="preserve"> </w:t>
      </w:r>
      <w:r>
        <w:t xml:space="preserve">(environ 2 milliards de paramètres, licence Apache 2.0) a été retenu. Sur un clip de référence dont le contenu est</w:t>
      </w:r>
      <w:r>
        <w:t xml:space="preserve"> </w:t>
      </w:r>
      <w:r>
        <w:rPr>
          <w:i/>
          <w:iCs/>
        </w:rPr>
        <w:t xml:space="preserve">« hier 20/07/2026, arrivés à Essaouira à 1 h, vérifié le chemin de 27 câbles, pris le métrage, coupés, vérifié le chemin de la fibre, sortis à 7 h »</w:t>
      </w:r>
      <w:r>
        <w:t xml:space="preserve"> </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Modèle</w:t>
            </w:r>
          </w:p>
        </w:tc>
        <w:tc>
          <w:tcPr/>
          <w:p>
            <w:pPr>
              <w:pStyle w:val="Compact"/>
            </w:pPr>
            <w:r>
              <w:t xml:space="preserve">Effet sur les champs de données</w:t>
            </w:r>
          </w:p>
        </w:tc>
      </w:tr>
      <w:tr>
        <w:tc>
          <w:tcPr/>
          <w:p>
            <w:pPr>
              <w:pStyle w:val="Compact"/>
            </w:pPr>
            <w:r>
              <w:rPr>
                <w:b/>
                <w:bCs/>
              </w:rPr>
              <w:t xml:space="preserve">Morocco-Darija-STT-large</w:t>
            </w:r>
          </w:p>
        </w:tc>
        <w:tc>
          <w:tcPr/>
          <w:p>
            <w:pPr>
              <w:pStyle w:val="Compact"/>
            </w:pPr>
            <w:r>
              <w:rPr>
                <w:rStyle w:val="VerbatimChar"/>
              </w:rPr>
              <w:t xml:space="preserve">20 سبعة 2026</w:t>
            </w:r>
            <w:r>
              <w:t xml:space="preserve">,</w:t>
            </w:r>
            <w:r>
              <w:t xml:space="preserve"> </w:t>
            </w:r>
            <w:r>
              <w:rPr>
                <w:rStyle w:val="VerbatimChar"/>
              </w:rPr>
              <w:t xml:space="preserve">27 كابل</w:t>
            </w:r>
            <w:r>
              <w:t xml:space="preserve">,</w:t>
            </w:r>
            <w:r>
              <w:t xml:space="preserve"> </w:t>
            </w:r>
            <w:r>
              <w:rPr>
                <w:rStyle w:val="VerbatimChar"/>
              </w:rPr>
              <w:t xml:space="preserve">فيريفينا</w:t>
            </w:r>
            <w:r>
              <w:t xml:space="preserve"> </w:t>
            </w:r>
            <w:r>
              <w:t xml:space="preserve">(vérifier),</w:t>
            </w:r>
            <w:r>
              <w:t xml:space="preserve"> </w:t>
            </w:r>
            <w:r>
              <w:rPr>
                <w:rStyle w:val="VerbatimChar"/>
              </w:rPr>
              <w:t xml:space="preserve">لافيبر</w:t>
            </w:r>
            <w:r>
              <w:t xml:space="preserve"> </w:t>
            </w:r>
            <w:r>
              <w:t xml:space="preserve">(la fibre),</w:t>
            </w:r>
            <w:r>
              <w:t xml:space="preserve"> </w:t>
            </w:r>
            <w:r>
              <w:rPr>
                <w:rStyle w:val="VerbatimChar"/>
              </w:rPr>
              <w:t xml:space="preserve">السبع</w:t>
            </w:r>
            <w:r>
              <w:t xml:space="preserve"> </w:t>
            </w:r>
            <w:r>
              <w:t xml:space="preserve">(7 h) —</w:t>
            </w:r>
            <w:r>
              <w:t xml:space="preserve"> </w:t>
            </w:r>
            <w:r>
              <w:rPr>
                <w:b/>
                <w:bCs/>
              </w:rPr>
              <w:t xml:space="preserve">tous les champs extractibles survivent</w:t>
            </w:r>
          </w:p>
        </w:tc>
      </w:tr>
      <w:tr>
        <w:tc>
          <w:tcPr/>
          <w:p>
            <w:pPr>
              <w:pStyle w:val="Compact"/>
            </w:pPr>
            <w:r>
              <w:rPr>
                <w:rStyle w:val="VerbatimChar"/>
              </w:rPr>
              <w:t xml:space="preserve">whisper-large-v3</w:t>
            </w:r>
          </w:p>
        </w:tc>
        <w:tc>
          <w:tcPr/>
          <w:p>
            <w:pPr>
              <w:pStyle w:val="Compact"/>
            </w:pPr>
            <w:r>
              <w:t xml:space="preserve">Date et</w:t>
            </w:r>
            <w:r>
              <w:t xml:space="preserve"> </w:t>
            </w:r>
            <w:r>
              <w:rPr>
                <w:rStyle w:val="VerbatimChar"/>
              </w:rPr>
              <w:t xml:space="preserve">27 كابل</w:t>
            </w:r>
            <w:r>
              <w:t xml:space="preserve"> </w:t>
            </w:r>
            <w:r>
              <w:t xml:space="preserve">corrects, mais</w:t>
            </w:r>
            <w:r>
              <w:t xml:space="preserve"> </w:t>
            </w:r>
            <w:r>
              <w:rPr>
                <w:i/>
                <w:iCs/>
              </w:rPr>
              <w:t xml:space="preserve">vérifier</w:t>
            </w:r>
            <w:r>
              <w:t xml:space="preserve"> </w:t>
            </w:r>
            <w:r>
              <w:t xml:space="preserve">devient</w:t>
            </w:r>
            <w:r>
              <w:t xml:space="preserve"> </w:t>
            </w:r>
            <w:r>
              <w:rPr>
                <w:rStyle w:val="VerbatimChar"/>
                <w:b/>
                <w:bCs/>
              </w:rPr>
              <w:t xml:space="preserve">فرحنا</w:t>
            </w:r>
            <w:r>
              <w:t xml:space="preserve"> </w:t>
            </w:r>
            <w:r>
              <w:t xml:space="preserve">(« nous nous sommes réjouis ») — un verbe technique français transformé en mot arabe sans rapport</w:t>
            </w:r>
          </w:p>
        </w:tc>
      </w:tr>
      <w:tr>
        <w:tc>
          <w:tcPr/>
          <w:p>
            <w:pPr>
              <w:pStyle w:val="Compact"/>
            </w:pPr>
            <w:r>
              <w:rPr>
                <w:rStyle w:val="VerbatimChar"/>
              </w:rPr>
              <w:t xml:space="preserve">ychafiqui/medium-darija</w:t>
            </w:r>
          </w:p>
        </w:tc>
        <w:tc>
          <w:tcPr/>
          <w:p>
            <w:pPr>
              <w:pStyle w:val="Compact"/>
            </w:pPr>
            <w:r>
              <w:rPr>
                <w:rStyle w:val="VerbatimChar"/>
                <w:b/>
                <w:bCs/>
              </w:rPr>
              <w:t xml:space="preserve">27 câbles</w:t>
            </w:r>
            <w:r>
              <w:rPr>
                <w:b/>
                <w:bCs/>
              </w:rPr>
              <w:t xml:space="preserve"> </w:t>
            </w:r>
            <w:r>
              <w:rPr>
                <w:b/>
                <w:bCs/>
              </w:rPr>
              <w:t xml:space="preserve">devient</w:t>
            </w:r>
            <w:r>
              <w:rPr>
                <w:b/>
                <w:bCs/>
              </w:rPr>
              <w:t xml:space="preserve"> </w:t>
            </w:r>
            <w:r>
              <w:rPr>
                <w:rStyle w:val="VerbatimChar"/>
                <w:b/>
                <w:bCs/>
              </w:rPr>
              <w:t xml:space="preserve">السبعة وعشر وعشر الين كابل</w:t>
            </w:r>
            <w:r>
              <w:t xml:space="preserve"> </w:t>
            </w:r>
            <w:r>
              <w:t xml:space="preserve">— la quantité est détruite ; la ligne atteint le journal sans compte de câbles</w:t>
            </w:r>
          </w:p>
        </w:tc>
      </w:tr>
    </w:tbl>
    <w:p>
      <w:pPr>
        <w:pStyle w:val="BodyText"/>
      </w:pPr>
      <w:r>
        <w:rPr>
          <w:b/>
          <w:bCs/>
        </w:rPr>
        <w:t xml:space="preserve">Tableau 4.4 :</w:t>
      </w:r>
      <w:r>
        <w:t xml:space="preserve"> </w:t>
      </w:r>
      <w:r>
        <w:t xml:space="preserve">Comportement comparé sur les champs métier d’un clip de référence.</w:t>
      </w:r>
    </w:p>
    <w:p>
      <w:pPr>
        <w:pStyle w:val="BodyText"/>
      </w:pPr>
      <w:r>
        <w:t xml:space="preserve">Le moteur retenu conserve également les noms propres du domaine — Novec, Essaouira, Kenitra — à travers l’ensemble des clips.</w:t>
      </w:r>
    </w:p>
    <w:p>
      <w:pPr>
        <w:pStyle w:val="BodyText"/>
      </w:pPr>
      <w:r>
        <w:rPr>
          <w:b/>
          <w:bCs/>
        </w:rPr>
        <w:t xml:space="preserve">Le coût de ce choix est assumé : 7,7 s de latence moyenne</w:t>
      </w:r>
      <w:r>
        <w:t xml:space="preserve">, le plus lent des douze, et environ 4 Go de mémoire graphique, contre 1,53 s pour l’API de Groq. Ce compromis — la meilleure exactitude contre cinq fois l’attente — est la décision centrale du banc d’essai, et c’est la validation par un locuteur natif qui l’a tranchée.</w:t>
      </w:r>
    </w:p>
    <w:bookmarkEnd w:id="88"/>
    <w:bookmarkStart w:id="89" w:name="une-hypothèse-renversée-puis-rétablie"/>
    <w:p>
      <w:pPr>
        <w:pStyle w:val="Heading3"/>
      </w:pPr>
      <w:r>
        <w:t xml:space="preserve">4.3.6 Une hypothèse renversée, puis rétablie</w:t>
      </w:r>
    </w:p>
    <w:p>
      <w:pPr>
        <w:pStyle w:val="FirstParagraph"/>
      </w:pPr>
      <w:r>
        <w:t xml:space="preserve">L’histoire de cette conclusion mérite d’être racontée, car elle illustre la valeur des contrôles.</w:t>
      </w:r>
    </w:p>
    <w:p>
      <w:pPr>
        <w:pStyle w:val="BodyText"/>
      </w:pPr>
      <w:r>
        <w:t xml:space="preserve">À l’issue de la première campagne locale, la conclusion était</w:t>
      </w:r>
      <w:r>
        <w:t xml:space="preserve"> </w:t>
      </w:r>
      <w:r>
        <w:rPr>
          <w:b/>
          <w:bCs/>
        </w:rPr>
        <w:t xml:space="preserve">négative</w:t>
      </w:r>
      <w:r>
        <w:t xml:space="preserve"> </w:t>
      </w:r>
      <w:r>
        <w:t xml:space="preserve">: les deux contrôles OpenAI non affinés égalaient ou surpassaient</w:t>
      </w:r>
      <w:r>
        <w:t xml:space="preserve"> </w:t>
      </w:r>
      <w:r>
        <w:rPr>
          <w:i/>
          <w:iCs/>
        </w:rPr>
        <w:t xml:space="preserve">tous</w:t>
      </w:r>
      <w:r>
        <w:t xml:space="preserve"> </w:t>
      </w:r>
      <w:r>
        <w:t xml:space="preserve">les affinages darija disponibles. Ce résultat contre-intuitif — l’affinage sur la langue cible ne servirait à rien — n’a pu être formulé que parce que les contrôles avaient été téléchargés ; sans eux,</w:t>
      </w:r>
      <w:r>
        <w:t xml:space="preserve"> </w:t>
      </w:r>
      <w:r>
        <w:rPr>
          <w:rStyle w:val="VerbatimChar"/>
        </w:rPr>
        <w:t xml:space="preserve">ychafiqui/medium-darija</w:t>
      </w:r>
      <w:r>
        <w:t xml:space="preserve"> </w:t>
      </w:r>
      <w:r>
        <w:t xml:space="preserve">aurait été couronné vainqueur.</w:t>
      </w:r>
    </w:p>
    <w:p>
      <w:pPr>
        <w:pStyle w:val="BodyText"/>
      </w:pPr>
      <w:r>
        <w:t xml:space="preserve">Or les deux modèles les plus prometteurs étaient</w:t>
      </w:r>
      <w:r>
        <w:t xml:space="preserve"> </w:t>
      </w:r>
      <w:r>
        <w:rPr>
          <w:b/>
          <w:bCs/>
        </w:rPr>
        <w:t xml:space="preserve">sous licence restreinte</w:t>
      </w:r>
      <w:r>
        <w:t xml:space="preserve"> </w:t>
      </w:r>
      <w:r>
        <w:t xml:space="preserve">et n’avaient pas pu être téléchargés lors de cette première campagne. Une fois l’accès obtenu et la campagne rejouée, la conclusion s’est inversée :</w:t>
      </w:r>
      <w:r>
        <w:t xml:space="preserve"> </w:t>
      </w:r>
      <w:r>
        <w:rPr>
          <w:b/>
          <w:bCs/>
        </w:rPr>
        <w:t xml:space="preserve">l’affinage sur le darija fonctionne bel et bien, à condition que le modèle affiné soit assez grand.</w:t>
      </w:r>
      <w:r>
        <w:t xml:space="preserve"> </w:t>
      </w:r>
      <w:r>
        <w:t xml:space="preserve">L’énoncé négatif reste vrai des cinq</w:t>
      </w:r>
      <w:r>
        <w:t xml:space="preserve"> </w:t>
      </w:r>
      <w:r>
        <w:rPr>
          <w:i/>
          <w:iCs/>
        </w:rPr>
        <w:t xml:space="preserve">petits</w:t>
      </w:r>
      <w:r>
        <w:t xml:space="preserve"> </w:t>
      </w:r>
      <w:r>
        <w:t xml:space="preserve">affinages ; la généralisation qu’on en avait tirée était fausse.</w:t>
      </w:r>
    </w:p>
    <w:p>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w:t>
      </w:r>
      <w:r>
        <w:t xml:space="preserve"> </w:t>
      </w:r>
      <w:r>
        <w:rPr>
          <w:b/>
          <w:bCs/>
        </w:rPr>
        <w:t xml:space="preserve">Deux défauts empilés, le moins grave masquant le fatal</w:t>
      </w:r>
      <w:r>
        <w:t xml:space="preserve"> </w:t>
      </w:r>
      <w:r>
        <w:t xml:space="preserve">: cet adaptateur n’avait jamais pu fonctionner une seule fois depuis sa création.</w:t>
      </w:r>
    </w:p>
    <w:bookmarkEnd w:id="89"/>
    <w:bookmarkStart w:id="90" w:name="Xa1ddf3763eed7b42934dff8835683d4d0602638"/>
    <w:p>
      <w:pPr>
        <w:pStyle w:val="Heading3"/>
      </w:pPr>
      <w:r>
        <w:t xml:space="preserve">4.3.7 Trois bogues de harnais, dont un silencieux</w:t>
      </w:r>
    </w:p>
    <w:p>
      <w:pPr>
        <w:pStyle w:val="FirstParagraph"/>
      </w:pPr>
      <w:r>
        <w:t xml:space="preserve">La mise au point du banc d’essai local a révélé trois défauts, dont l’ordre de gravité est instructif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Défaut</w:t>
            </w:r>
          </w:p>
        </w:tc>
        <w:tc>
          <w:tcPr/>
          <w:p>
            <w:pPr>
              <w:pStyle w:val="Compact"/>
            </w:pPr>
            <w:r>
              <w:t xml:space="preserve">Mode de défaillance</w:t>
            </w:r>
          </w:p>
        </w:tc>
      </w:tr>
      <w:tr>
        <w:tc>
          <w:tcPr/>
          <w:p>
            <w:pPr>
              <w:pStyle w:val="Compact"/>
            </w:pPr>
            <w:r>
              <w:t xml:space="preserve">1</w:t>
            </w:r>
          </w:p>
        </w:tc>
        <w:tc>
          <w:tcPr/>
          <w:p>
            <w:pPr>
              <w:pStyle w:val="Compact"/>
            </w:pPr>
            <w:r>
              <w:t xml:space="preserve">Tenseur d’invite vide, indexé sans garde</w:t>
            </w:r>
          </w:p>
        </w:tc>
        <w:tc>
          <w:tcPr/>
          <w:p>
            <w:pPr>
              <w:pStyle w:val="Compact"/>
            </w:pPr>
            <w:r>
              <w:t xml:space="preserve">Exception à chaque clip —</w:t>
            </w:r>
            <w:r>
              <w:t xml:space="preserve"> </w:t>
            </w:r>
            <w:r>
              <w:rPr>
                <w:b/>
                <w:bCs/>
              </w:rPr>
              <w:t xml:space="preserve">bruyant</w:t>
            </w:r>
          </w:p>
        </w:tc>
      </w:tr>
      <w:tr>
        <w:tc>
          <w:tcPr/>
          <w:p>
            <w:pPr>
              <w:pStyle w:val="Compact"/>
            </w:pPr>
            <w:r>
              <w:t xml:space="preserve">2</w:t>
            </w:r>
          </w:p>
        </w:tc>
        <w:tc>
          <w:tcPr/>
          <w:p>
            <w:pPr>
              <w:pStyle w:val="Compact"/>
            </w:pPr>
            <w:r>
              <w:t xml:space="preserve">Budget de génération incompatible avec la fenêtre du décodeur</w:t>
            </w:r>
          </w:p>
        </w:tc>
        <w:tc>
          <w:tcPr/>
          <w:p>
            <w:pPr>
              <w:pStyle w:val="Compact"/>
            </w:pPr>
            <w:r>
              <w:t xml:space="preserve">Exception à chaque clip —</w:t>
            </w:r>
            <w:r>
              <w:t xml:space="preserve"> </w:t>
            </w:r>
            <w:r>
              <w:rPr>
                <w:b/>
                <w:bCs/>
              </w:rPr>
              <w:t xml:space="preserve">bruyant</w:t>
            </w:r>
          </w:p>
        </w:tc>
      </w:tr>
      <w:tr>
        <w:tc>
          <w:tcPr/>
          <w:p>
            <w:pPr>
              <w:pStyle w:val="Compact"/>
            </w:pPr>
            <w:r>
              <w:t xml:space="preserve">3</w:t>
            </w:r>
          </w:p>
        </w:tc>
        <w:tc>
          <w:tcPr/>
          <w:p>
            <w:pPr>
              <w:pStyle w:val="Compact"/>
            </w:pPr>
            <w:r>
              <w:t xml:space="preserve">Les jetons d’invite relus</w:t>
            </w:r>
            <w:r>
              <w:t xml:space="preserve"> </w:t>
            </w:r>
            <w:r>
              <w:rPr>
                <w:b/>
                <w:bCs/>
              </w:rPr>
              <w:t xml:space="preserve">comme s’ils étaient la transcription</w:t>
            </w:r>
          </w:p>
        </w:tc>
        <w:tc>
          <w:tcPr/>
          <w:p>
            <w:pPr>
              <w:pStyle w:val="Compact"/>
            </w:pPr>
            <w:r>
              <w:rPr>
                <w:b/>
                <w:bCs/>
              </w:rPr>
              <w:t xml:space="preserve">Silencieux</w:t>
            </w:r>
          </w:p>
        </w:tc>
      </w:tr>
    </w:tbl>
    <w:p>
      <w:pPr>
        <w:pStyle w:val="BodyText"/>
      </w:pPr>
      <w:r>
        <w:t xml:space="preserve">Le troisième est le seul qui compte vraiment. Il produisait</w:t>
      </w:r>
      <w:r>
        <w:t xml:space="preserve"> </w:t>
      </w:r>
      <w:r>
        <w:rPr>
          <w:rStyle w:val="VerbatimChar"/>
        </w:rPr>
        <w:t xml:space="preserve">Kmmalna khamsa dyal bureaux</w:t>
      </w:r>
      <w:r>
        <w:t xml:space="preserve"> </w:t>
      </w:r>
      <w:r>
        <w:t xml:space="preserve">— exactement ce qu’un technicien dirait — et aurait couronné</w:t>
      </w:r>
      <w:r>
        <w:t xml:space="preserve"> </w:t>
      </w:r>
      <w:r>
        <w:rPr>
          <w:rStyle w:val="VerbatimChar"/>
        </w:rPr>
        <w:t xml:space="preserve">whisper-large-v3</w:t>
      </w:r>
      <w:r>
        <w:t xml:space="preserve"> </w:t>
      </w:r>
      <w:r>
        <w:t xml:space="preserve">vainqueur sur une transcription</w:t>
      </w:r>
      <w:r>
        <w:t xml:space="preserve"> </w:t>
      </w:r>
      <w:r>
        <w:rPr>
          <w:b/>
          <w:bCs/>
        </w:rPr>
        <w:t xml:space="preserve">qu’il n’avait jamais générée</w:t>
      </w:r>
      <w:r>
        <w:t xml:space="preserve">. Deux signaux l’ont trahi : une sortie</w:t>
      </w:r>
      <w:r>
        <w:t xml:space="preserve"> </w:t>
      </w:r>
      <w:r>
        <w:rPr>
          <w:i/>
          <w:iCs/>
        </w:rPr>
        <w:t xml:space="preserve">identique</w:t>
      </w:r>
      <w:r>
        <w:t xml:space="preserve"> </w:t>
      </w:r>
      <w:r>
        <w:t xml:space="preserve">sur des audios différents, et un effondrement de la confiance à 0,085–0,34 contre 0,48 pour Groq. La confiance ne mesure pas l’exactitude, mais son effondrement soudain signale que le harnais ment.</w:t>
      </w:r>
    </w:p>
    <w:bookmarkEnd w:id="90"/>
    <w:bookmarkStart w:id="91" w:name="X1f86e2bf45b78c6630e9fd9c8ad4b5e18d25248"/>
    <w:p>
      <w:pPr>
        <w:pStyle w:val="Heading3"/>
      </w:pPr>
      <w:r>
        <w:t xml:space="preserve">4.3.8 L’invite de vocabulaire : survivable par API, fatale en local</w:t>
      </w:r>
    </w:p>
    <w:p>
      <w:pPr>
        <w:pStyle w:val="FirstParagraph"/>
      </w:pPr>
      <w:r>
        <w:t xml:space="preserve">Une même instruction produit deux comportements opposés selon la voie d’exécution.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Sortie observée (</w:t>
            </w:r>
            <w:r>
              <w:rPr>
                <w:rStyle w:val="VerbatimChar"/>
              </w:rPr>
              <w:t xml:space="preserve">whisper-large-v3</w:t>
            </w:r>
            <w:r>
              <w:t xml:space="preserve"> </w:t>
            </w:r>
            <w:r>
              <w:t xml:space="preserve">local)</w:t>
            </w:r>
          </w:p>
        </w:tc>
      </w:tr>
      <w:tr>
        <w:tc>
          <w:tcPr/>
          <w:p>
            <w:pPr>
              <w:pStyle w:val="Compact"/>
            </w:pPr>
            <w:r>
              <w:t xml:space="preserve">Invite activée</w:t>
            </w:r>
          </w:p>
        </w:tc>
        <w:tc>
          <w:tcPr/>
          <w:p>
            <w:pPr>
              <w:pStyle w:val="Compact"/>
            </w:pPr>
            <w:r>
              <w:rPr>
                <w:rStyle w:val="VerbatimChar"/>
              </w:rPr>
              <w:t xml:space="preserve">The work, the work, the work…</w:t>
            </w:r>
            <w:r>
              <w:t xml:space="preserve"> </w:t>
            </w:r>
            <w:r>
              <w:t xml:space="preserve">— boucle dégénérée, sur</w:t>
            </w:r>
            <w:r>
              <w:t xml:space="preserve"> </w:t>
            </w:r>
            <w:r>
              <w:rPr>
                <w:b/>
                <w:bCs/>
              </w:rPr>
              <w:t xml:space="preserve">tous</w:t>
            </w:r>
            <w:r>
              <w:t xml:space="preserve"> </w:t>
            </w:r>
            <w:r>
              <w:t xml:space="preserve">les clips</w:t>
            </w:r>
          </w:p>
        </w:tc>
      </w:tr>
      <w:tr>
        <w:tc>
          <w:tcPr/>
          <w:p>
            <w:pPr>
              <w:pStyle w:val="Compact"/>
            </w:pPr>
            <w:r>
              <w:t xml:space="preserve">Invite désactivée</w:t>
            </w:r>
          </w:p>
        </w:tc>
        <w:tc>
          <w:tcPr/>
          <w:p>
            <w:pPr>
              <w:pStyle w:val="Compact"/>
            </w:pPr>
            <w:r>
              <w:rPr>
                <w:rStyle w:val="VerbatimChar"/>
              </w:rPr>
              <w:t xml:space="preserve">السلام عليكم بالنسبة لخدمة اليوم في نوفيك…</w:t>
            </w:r>
            <w:r>
              <w:t xml:space="preserve"> </w:t>
            </w:r>
            <w:r>
              <w:t xml:space="preserve">— darija propre</w:t>
            </w:r>
          </w:p>
        </w:tc>
      </w:tr>
    </w:tbl>
    <w:p>
      <w:pPr>
        <w:pStyle w:val="BodyText"/>
      </w:pPr>
      <w:r>
        <w:rPr>
          <w:b/>
          <w:bCs/>
        </w:rPr>
        <w:t xml:space="preserve">Tableau 4.5 :</w:t>
      </w:r>
      <w:r>
        <w:t xml:space="preserve"> </w:t>
      </w:r>
      <w:r>
        <w:t xml:space="preserve">Effet de l’invite de vocabulaire en exécution locale.</w:t>
      </w:r>
    </w:p>
    <w:p>
      <w:pPr>
        <w:pStyle w:val="BodyText"/>
      </w:pPr>
      <w:r>
        <w:t xml:space="preserve">Les deux explications concurrentes ont été</w:t>
      </w:r>
      <w:r>
        <w:t xml:space="preserve"> </w:t>
      </w:r>
      <w:r>
        <w:rPr>
          <w:b/>
          <w:bCs/>
        </w:rPr>
        <w:t xml:space="preserve">éliminées avant</w:t>
      </w:r>
      <w:r>
        <w:t xml:space="preserve"> </w:t>
      </w:r>
      <w:r>
        <w:t xml:space="preserve">de conclure, et non écartées par hypothèse : le décodage audio a été validé par corrélation de 1,0000 entre deux décodeurs indépendants, et la précision de calcul a produit un texte identique octet pour octet.</w:t>
      </w:r>
    </w:p>
    <w:p>
      <w:pPr>
        <w:pStyle w:val="BodyText"/>
      </w:pPr>
      <w:r>
        <w:rPr>
          <w:b/>
          <w:bCs/>
        </w:rPr>
        <w:t xml:space="preserve">Cause réelle.</w:t>
      </w:r>
      <w:r>
        <w:t xml:space="preserve"> </w:t>
      </w:r>
      <w:r>
        <w:t xml:space="preserve">L’API de Groq et la bibliothèque</w:t>
      </w:r>
      <w:r>
        <w:t xml:space="preserve"> </w:t>
      </w:r>
      <w:r>
        <w:rPr>
          <w:rStyle w:val="VerbatimChar"/>
        </w:rPr>
        <w:t xml:space="preserve">transformers</w:t>
      </w:r>
      <w:r>
        <w:t xml:space="preserve"> </w:t>
      </w:r>
      <w:r>
        <w:t xml:space="preserve">ne traitent pas l’invite de la même manière : la première conditionne segment par segment avec sa propre troncature ; la seconde préfixe les jetons bruts au décodeur et le laisse les</w:t>
      </w:r>
      <w:r>
        <w:t xml:space="preserve"> </w:t>
      </w:r>
      <w:r>
        <w:rPr>
          <w:i/>
          <w:iCs/>
        </w:rPr>
        <w:t xml:space="preserve">continuer</w:t>
      </w:r>
      <w:r>
        <w:t xml:space="preserve">. Recevant 180 jetons de darija en caractères latins présentés comme « transcription précédente », le modèle poursuit en caractères latins et s’effondre.</w:t>
      </w:r>
    </w:p>
    <w:p>
      <w:pPr>
        <w:pStyle w:val="BodyText"/>
      </w:pPr>
      <w:r>
        <w:t xml:space="preserve">Par contraste, une comparaison A/B menée sur l’API a montré que la même invite y est non seulement inoffensive mais</w:t>
      </w:r>
      <w:r>
        <w:t xml:space="preserve"> </w:t>
      </w:r>
      <w:r>
        <w:rPr>
          <w:b/>
          <w:bCs/>
        </w:rPr>
        <w:t xml:space="preserve">bénéfique</w:t>
      </w:r>
      <w:r>
        <w:t xml:space="preserve"> </w:t>
      </w:r>
      <w:r>
        <w:t xml:space="preserve">: elle contrôle décisivement le système d’écriture (6 caractères arabes avec l’invite, 3 702 sans) sans coûter de chiffres (93 contre 89), et sa suppression fait perdre un tiers du contenu transcrit.</w:t>
      </w:r>
      <w:r>
        <w:t xml:space="preserve"> </w:t>
      </w:r>
      <w:r>
        <w:rPr>
          <w:b/>
          <w:bCs/>
        </w:rPr>
        <w:t xml:space="preserve">L’invite est donc conservée pour la voie API et désactivée pour la voie locale</w:t>
      </w:r>
      <w:r>
        <w:t xml:space="preserve"> </w:t>
      </w:r>
      <w:r>
        <w:t xml:space="preserve">— deux réglages opposés pour un même fichier, parce que deux implémentations en font deux choses différentes.</w:t>
      </w:r>
    </w:p>
    <w:bookmarkEnd w:id="91"/>
    <w:bookmarkEnd w:id="92"/>
    <w:bookmarkStart w:id="99" w:name="Xd6b725e932bc2e14239ebfeafcaf13f80c4bed7"/>
    <w:p>
      <w:pPr>
        <w:pStyle w:val="Heading2"/>
      </w:pPr>
      <w:r>
        <w:t xml:space="preserve">4.4 Difficultés techniques rencontrées et résolues</w:t>
      </w:r>
    </w:p>
    <w:p>
      <w:pPr>
        <w:pStyle w:val="FirstParagraph"/>
      </w:pPr>
      <w:r>
        <w:t xml:space="preserve">Au-delà du banc d’essai, la confrontation au réel a révélé plusieurs défauts indétectables hors ligne.</w:t>
      </w:r>
    </w:p>
    <w:bookmarkStart w:id="93" w:name="la-boucle-de-répétition-de-gemini"/>
    <w:p>
      <w:pPr>
        <w:pStyle w:val="Heading3"/>
      </w:pPr>
      <w:r>
        <w:t xml:space="preserve">4.4.1 La boucle de répétition de Gemini</w:t>
      </w:r>
    </w:p>
    <w:p>
      <w:pPr>
        <w:pStyle w:val="FirstParagraph"/>
      </w:pPr>
      <w:r>
        <w:rPr>
          <w:b/>
          <w:bCs/>
        </w:rPr>
        <w:t xml:space="preserve">Symptôme mesuré :</w:t>
      </w:r>
      <w:r>
        <w:t xml:space="preserve"> </w:t>
      </w:r>
      <w:r>
        <w:t xml:space="preserve">un clip de 84 Ko a produit</w:t>
      </w:r>
      <w:r>
        <w:t xml:space="preserve"> </w:t>
      </w:r>
      <w:r>
        <w:rPr>
          <w:b/>
          <w:bCs/>
        </w:rPr>
        <w:t xml:space="preserve">222 797 caractères en 129,2 secondes</w:t>
      </w:r>
      <w:r>
        <w:t xml:space="preserve">, la fin répétant sans terme une même locution. Groq renvoyait 381 caractères en 1,0 seconde sur le même audio. Gemini traduisait de surcroît en français malgré une consigne explicite de ne pas traduire.</w:t>
      </w:r>
    </w:p>
    <w:p>
      <w:pPr>
        <w:pStyle w:val="BodyText"/>
      </w:pPr>
      <w:r>
        <w:rPr>
          <w:b/>
          <w:bCs/>
        </w:rPr>
        <w:t xml:space="preserve">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w:t>
      </w:r>
      <w:r>
        <w:t xml:space="preserve"> </w:t>
      </w:r>
      <w:r>
        <w:rPr>
          <w:b/>
          <w:bCs/>
        </w:rPr>
        <w:t xml:space="preserve">détecteur de dégénérescence qui lève une erreur</w:t>
      </w:r>
      <w:r>
        <w:t xml:space="preserve"> </w:t>
      </w:r>
      <w:r>
        <w:t xml:space="preserve">au lieu de tronquer. Ce dernier point est un choix de conception : une boucle tronquée reste plusieurs milliers de caractères de bruit que la chaîne d’extraction résumerait en une fiction confiante, et que</w:t>
      </w:r>
      <w:r>
        <w:t xml:space="preserve"> </w:t>
      </w:r>
      <w:r>
        <w:rPr>
          <w:rStyle w:val="VerbatimChar"/>
        </w:rPr>
        <w:t xml:space="preserve">has_data()</w:t>
      </w:r>
      <w:r>
        <w:t xml:space="preserve"> </w:t>
      </w:r>
      <w:r>
        <w:t xml:space="preserve">ne rattraperait pas, un texte répété n’étant pas un texte vide.</w:t>
      </w:r>
    </w:p>
    <w:bookmarkEnd w:id="93"/>
    <w:bookmarkStart w:id="94" w:name="validation-de-format-par-groq"/>
    <w:p>
      <w:pPr>
        <w:pStyle w:val="Heading3"/>
      </w:pPr>
      <w:r>
        <w:t xml:space="preserve">4.4.2 Validation de format par Groq</w:t>
      </w:r>
    </w:p>
    <w:p>
      <w:pPr>
        <w:pStyle w:val="FirstParagraph"/>
      </w:pPr>
      <w:r>
        <w:t xml:space="preserve">L’API Whisper de Groq valide l’extension du nom de fichier</w:t>
      </w:r>
      <w:r>
        <w:t xml:space="preserve"> </w:t>
      </w:r>
      <w:r>
        <w:rPr>
          <w:b/>
          <w:bCs/>
        </w:rPr>
        <w:t xml:space="preserve">avant</w:t>
      </w:r>
      <w:r>
        <w:t xml:space="preserve"> </w:t>
      </w:r>
      <w:r>
        <w:t xml:space="preserve">de décoder les octets ; or les notes vocales arrivent en</w:t>
      </w:r>
      <w:r>
        <w:t xml:space="preserve"> </w:t>
      </w:r>
      <w:r>
        <w:rPr>
          <w:rStyle w:val="VerbatimChar"/>
        </w:rPr>
        <w:t xml:space="preserve">audio/ogg</w:t>
      </w:r>
      <w:r>
        <w:t xml:space="preserve">, parfois présentées comme un flux binaire générique.</w:t>
      </w:r>
      <w:r>
        <w:t xml:space="preserve"> </w:t>
      </w:r>
      <w:r>
        <w:rPr>
          <w:b/>
          <w:bCs/>
        </w:rPr>
        <w:t xml:space="preserve">Résolution :</w:t>
      </w:r>
      <w:r>
        <w:t xml:space="preserve"> </w:t>
      </w:r>
      <w:r>
        <w:t xml:space="preserve">normalisation du type MIME vers une table d’extensions acceptées, avec alias, et repli sur le format des notes vocales.</w:t>
      </w:r>
    </w:p>
    <w:bookmarkEnd w:id="94"/>
    <w:bookmarkStart w:id="95" w:name="rotation-des-modèles-chez-le-fournisseur"/>
    <w:p>
      <w:pPr>
        <w:pStyle w:val="Heading3"/>
      </w:pPr>
      <w:r>
        <w:t xml:space="preserve">4.4.3 Rotation des modèles chez le fournisseur</w:t>
      </w:r>
    </w:p>
    <w:p>
      <w:pPr>
        <w:pStyle w:val="FirstParagraph"/>
      </w:pPr>
      <w:r>
        <w:t xml:space="preserve">Un modèle épinglé a été retiré par Google en cours de projet (404), et l’alias du modèle phare répondait 503 aux heures de pointe sur l’offre gratuite.</w:t>
      </w:r>
      <w:r>
        <w:t xml:space="preserve"> </w:t>
      </w:r>
      <w:r>
        <w:rPr>
          <w:b/>
          <w:bCs/>
        </w:rPr>
        <w:t xml:space="preserve">Résolution :</w:t>
      </w:r>
      <w:r>
        <w:t xml:space="preserve"> </w:t>
      </w:r>
      <w:r>
        <w:t xml:space="preserve">sondage systématique des modèles candidats, puis bascule vers un alias vérifié opérationnel. Cet épisode valide</w:t>
      </w:r>
      <w:r>
        <w:t xml:space="preserve"> </w:t>
      </w:r>
      <w:r>
        <w:rPr>
          <w:i/>
          <w:iCs/>
        </w:rPr>
        <w:t xml:space="preserve">a posteriori</w:t>
      </w:r>
      <w:r>
        <w:t xml:space="preserve"> </w:t>
      </w:r>
      <w:r>
        <w:t xml:space="preserve">le patron d’adaptateurs et la configuration externalisée — et impose une leçon durable :</w:t>
      </w:r>
      <w:r>
        <w:t xml:space="preserve"> </w:t>
      </w:r>
      <w:r>
        <w:rPr>
          <w:b/>
          <w:bCs/>
        </w:rPr>
        <w:t xml:space="preserve">figurer dans le catalogue d’un fournisseur ne signifie pas être appelable.</w:t>
      </w:r>
    </w:p>
    <w:bookmarkEnd w:id="95"/>
    <w:bookmarkStart w:id="96" w:name="chaînes-null-des-modèles"/>
    <w:p>
      <w:pPr>
        <w:pStyle w:val="Heading3"/>
      </w:pPr>
      <w:r>
        <w:t xml:space="preserve">4.4.4 Chaînes « null » des modèles</w:t>
      </w:r>
    </w:p>
    <w:p>
      <w:pPr>
        <w:pStyle w:val="FirstParagraph"/>
      </w:pPr>
      <w:r>
        <w:t xml:space="preserve">En mode JSON, certains modèles émettent la</w:t>
      </w:r>
      <w:r>
        <w:t xml:space="preserve"> </w:t>
      </w:r>
      <w:r>
        <w:rPr>
          <w:i/>
          <w:iCs/>
        </w:rPr>
        <w:t xml:space="preserve">chaîne</w:t>
      </w:r>
      <w:r>
        <w:t xml:space="preserve"> </w:t>
      </w:r>
      <w:r>
        <w:rPr>
          <w:rStyle w:val="VerbatimChar"/>
        </w:rPr>
        <w:t xml:space="preserve">"null"</w:t>
      </w:r>
      <w:r>
        <w:t xml:space="preserve"> </w:t>
      </w:r>
      <w:r>
        <w:t xml:space="preserve">au lieu de la valeur nulle, provoquant un rejet de validation sur les champs numériques.</w:t>
      </w:r>
      <w:r>
        <w:t xml:space="preserve"> </w:t>
      </w:r>
      <w:r>
        <w:rPr>
          <w:b/>
          <w:bCs/>
        </w:rPr>
        <w:t xml:space="preserve">Résolution :</w:t>
      </w:r>
      <w:r>
        <w:t xml:space="preserve"> </w:t>
      </w:r>
      <w:r>
        <w:t xml:space="preserve">un validateur de pré-traitement normalise</w:t>
      </w:r>
      <w:r>
        <w:t xml:space="preserve"> </w:t>
      </w:r>
      <w:r>
        <w:rPr>
          <w:rStyle w:val="VerbatimChar"/>
        </w:rPr>
        <w:t xml:space="preserve">null</w:t>
      </w:r>
      <w:r>
        <w:t xml:space="preserve">,</w:t>
      </w:r>
      <w:r>
        <w:t xml:space="preserve"> </w:t>
      </w:r>
      <w:r>
        <w:rPr>
          <w:rStyle w:val="VerbatimChar"/>
        </w:rPr>
        <w:t xml:space="preserve">none</w:t>
      </w:r>
      <w:r>
        <w:t xml:space="preserve"> </w:t>
      </w:r>
      <w:r>
        <w:t xml:space="preserve">et la chaîne vide vers la valeur nulle avant le typage strict.</w:t>
      </w:r>
    </w:p>
    <w:bookmarkEnd w:id="96"/>
    <w:bookmarkStart w:id="97" w:name="une-identité-scindée-en-deux"/>
    <w:p>
      <w:pPr>
        <w:pStyle w:val="Heading3"/>
      </w:pPr>
      <w:r>
        <w:t xml:space="preserve">4.4.5 Une identité scindée en deux</w:t>
      </w:r>
    </w:p>
    <w:p>
      <w:pPr>
        <w:pStyle w:val="FirstParagraph"/>
      </w:pPr>
      <w:r>
        <w:t xml:space="preserve">Sur données réelles, un même humain est apparu</w:t>
      </w:r>
      <w:r>
        <w:t xml:space="preserve"> </w:t>
      </w:r>
      <w:r>
        <w:rPr>
          <w:b/>
          <w:bCs/>
        </w:rPr>
        <w:t xml:space="preserve">deux fois</w:t>
      </w:r>
      <w:r>
        <w:t xml:space="preserve"> </w:t>
      </w:r>
      <w:r>
        <w:t xml:space="preserve">dans l’organigramme : sa ligne WhatsApp le déclarait</w:t>
      </w:r>
      <w:r>
        <w:t xml:space="preserve"> </w:t>
      </w:r>
      <w:r>
        <w:rPr>
          <w:rStyle w:val="VerbatimChar"/>
        </w:rPr>
        <w:t xml:space="preserve">directeur</w:t>
      </w:r>
      <w:r>
        <w:t xml:space="preserve">, sa ligne Telegram</w:t>
      </w:r>
      <w:r>
        <w:t xml:space="preserve"> </w:t>
      </w:r>
      <w:r>
        <w:rPr>
          <w:rStyle w:val="VerbatimChar"/>
        </w:rPr>
        <w:t xml:space="preserve">tech</w:t>
      </w:r>
      <w:r>
        <w:t xml:space="preserve">. La cause était une correspondance établie sur le couple (nom, rôle).</w:t>
      </w:r>
      <w:r>
        <w:t xml:space="preserve"> </w:t>
      </w:r>
      <w:r>
        <w:rPr>
          <w:b/>
          <w:bCs/>
        </w:rPr>
        <w:t xml:space="preserve">Résolution :</w:t>
      </w:r>
      <w:r>
        <w:t xml:space="preserve"> </w:t>
      </w:r>
      <w:r>
        <w:t xml:space="preserve">la correspondance se fait désormais</w:t>
      </w:r>
      <w:r>
        <w:t xml:space="preserve"> </w:t>
      </w:r>
      <w:r>
        <w:rPr>
          <w:b/>
          <w:bCs/>
        </w:rPr>
        <w:t xml:space="preserve">sur le nom seul</w:t>
      </w:r>
      <w:r>
        <w:t xml:space="preserve">. C’est cette correction qui permet à un profil de suivre le collègue plutôt que le numéro de téléphone.</w:t>
      </w:r>
    </w:p>
    <w:bookmarkEnd w:id="97"/>
    <w:bookmarkStart w:id="98" w:name="X9a487eb7e0522b1b7893cea4e1d186ca4a007c9"/>
    <w:p>
      <w:pPr>
        <w:pStyle w:val="Heading3"/>
      </w:pPr>
      <w:r>
        <w:t xml:space="preserve">4.4.6 Une migration qui se planifie avant de s’exécuter</w:t>
      </w:r>
    </w:p>
    <w:p>
      <w:pPr>
        <w:pStyle w:val="FirstParagraph"/>
      </w:pPr>
      <w:r>
        <w:t xml:space="preserve">La migration de fusion des comptes lit une colonne qu’elle supprime elle-même. PostgreSQL planifiant l’intégralité d’une instruction avant de l’exécuter, elle échouait.</w:t>
      </w:r>
      <w:r>
        <w:t xml:space="preserve"> </w:t>
      </w:r>
      <w:r>
        <w:rPr>
          <w:b/>
          <w:bCs/>
        </w:rPr>
        <w:t xml:space="preserve">Résolution :</w:t>
      </w:r>
      <w:r>
        <w:t xml:space="preserve"> </w:t>
      </w:r>
      <w:r>
        <w:t xml:space="preserve">encapsulation dans un bloc conditionnel dynamique, la rendant réexécutable à chaque démarrage.</w:t>
      </w:r>
    </w:p>
    <w:bookmarkEnd w:id="98"/>
    <w:bookmarkEnd w:id="99"/>
    <w:bookmarkStart w:id="100" w:name="Xec6616dcf01e4222dacc0f85d6bcc547fb85373"/>
    <w:p>
      <w:pPr>
        <w:pStyle w:val="Heading2"/>
      </w:pPr>
      <w:r>
        <w:t xml:space="preserve">4.5 Stratégie de test et intégration continue</w:t>
      </w:r>
    </w:p>
    <w:p>
      <w:pPr>
        <w:pStyle w:val="FirstParagraph"/>
      </w:pPr>
      <w:r>
        <w:t xml:space="preserve">La suite compte</w:t>
      </w:r>
      <w:r>
        <w:t xml:space="preserve"> </w:t>
      </w:r>
      <w:r>
        <w:rPr>
          <w:b/>
          <w:bCs/>
        </w:rPr>
        <w:t xml:space="preserve">272 tests</w:t>
      </w:r>
      <w:r>
        <w:t xml:space="preserve"> </w:t>
      </w:r>
      <w:r>
        <w:t xml:space="preserve">répartis en 22 fichiers (3 782 lignes),</w:t>
      </w:r>
      <w:r>
        <w:t xml:space="preserve"> </w:t>
      </w:r>
      <w:r>
        <w:rPr>
          <w:b/>
          <w:bCs/>
        </w:rPr>
        <w:t xml:space="preserve">exécutables sans aucune clé d’API et sans base de données</w:t>
      </w:r>
      <w:r>
        <w:t xml:space="preserve">. Cette propriété est une règle du projet, obtenue par deux moyens : les bibliothèques externes sont importées paresseusement</w:t>
      </w:r>
      <w:r>
        <w:t xml:space="preserve"> </w:t>
      </w:r>
      <w:r>
        <w:rPr>
          <w:i/>
          <w:iCs/>
        </w:rPr>
        <w:t xml:space="preserve">à l’intérieur</w:t>
      </w:r>
      <w:r>
        <w:t xml:space="preserve"> </w:t>
      </w:r>
      <w:r>
        <w:t xml:space="preserve">des fonctions, et les appels externes sont simulés aux frontières.</w:t>
      </w:r>
    </w:p>
    <w:p>
      <w:pPr>
        <w:pStyle w:val="BodyText"/>
      </w:pPr>
      <w:r>
        <w:t xml:space="preserve">Elle a un corollaire honnête, qu’il faut énoncer :</w:t>
      </w:r>
      <w:r>
        <w:t xml:space="preserve"> </w:t>
      </w:r>
      <w:r>
        <w:rPr>
          <w:b/>
          <w:bCs/>
        </w:rPr>
        <w:t xml:space="preserve">aucun test ne parcourt le chemin réseau réel</w:t>
      </w:r>
      <w:r>
        <w:t xml:space="preserve">. Les défauts décrits en §4.4 sont précisément ceux qu’une suite hors ligne ne peut pas voir, et c’est pourquoi la vérification en conditions réelles reste une étape distincte et nécessaire.</w:t>
      </w:r>
    </w:p>
    <w:p>
      <w:pPr>
        <w:pStyle w:val="BodyText"/>
      </w:pPr>
      <w:r>
        <w:t xml:space="preserve">L’intégration continue (GitHub Actions) exécute la suite, l’analyse statique, et un contrôle de parité des trois fichiers de traduction.</w:t>
      </w:r>
    </w:p>
    <w:bookmarkEnd w:id="100"/>
    <w:bookmarkStart w:id="106" w:name="résultats"/>
    <w:p>
      <w:pPr>
        <w:pStyle w:val="Heading2"/>
      </w:pPr>
      <w:r>
        <w:t xml:space="preserve">4.6 Résultats</w:t>
      </w:r>
    </w:p>
    <w:bookmarkStart w:id="101" w:name="chaîne-de-bout-en-bout-opérationnelle"/>
    <w:p>
      <w:pPr>
        <w:pStyle w:val="Heading3"/>
      </w:pPr>
      <w:r>
        <w:t xml:space="preserve">4.6.1 Chaîne de bout en bout opérationnelle</w:t>
      </w:r>
    </w:p>
    <w:p>
      <w:pPr>
        <w:pStyle w:val="FirstParagraph"/>
      </w:pPr>
      <w:r>
        <w:rPr>
          <w:b/>
          <w:bCs/>
        </w:rPr>
        <w:t xml:space="preserve">Dès la semaine 0</w:t>
      </w:r>
      <w:r>
        <w:t xml:space="preserve"> </w:t>
      </w:r>
      <w:r>
        <w:t xml:space="preserve">— alors que le planning la prévoyait au Sprint 2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semaine de neutralisation des risques.</w:t>
      </w:r>
    </w:p>
    <w:p>
      <w:pPr>
        <w:pStyle w:val="BodyText"/>
      </w:pPr>
      <w:r>
        <w:t xml:space="preserve">Lors de ces essais,</w:t>
      </w:r>
      <w:r>
        <w:t xml:space="preserve"> </w:t>
      </w:r>
      <w:r>
        <w:rPr>
          <w:b/>
          <w:bCs/>
        </w:rPr>
        <w:t xml:space="preserve">le repli d’extraction s’est déclenché en conditions réelles</w:t>
      </w:r>
      <w:r>
        <w:t xml:space="preserve"> </w:t>
      </w:r>
      <w:r>
        <w:t xml:space="preserve">(indisponibilité du fournisseur principal en soirée) : la chaîne a produit son rapport via le moteur secondaire sans intervention, validant la conception.</w:t>
      </w:r>
    </w:p>
    <w:bookmarkEnd w:id="101"/>
    <w:bookmarkStart w:id="102" w:name="périmètre-livré"/>
    <w:p>
      <w:pPr>
        <w:pStyle w:val="Heading3"/>
      </w:pPr>
      <w:r>
        <w:t xml:space="preserve">4.6.2 Périmètre livré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Composant</w:t>
            </w:r>
          </w:p>
        </w:tc>
        <w:tc>
          <w:tcPr/>
          <w:p>
            <w:pPr>
              <w:pStyle w:val="Compact"/>
            </w:pPr>
            <w:r>
              <w:t xml:space="preserve">État</w:t>
            </w:r>
          </w:p>
        </w:tc>
      </w:tr>
      <w:tr>
        <w:tc>
          <w:tcPr/>
          <w:p>
            <w:pPr>
              <w:pStyle w:val="Compact"/>
            </w:pPr>
            <w:r>
              <w:t xml:space="preserve">Réception Telegram</w:t>
            </w:r>
          </w:p>
        </w:tc>
        <w:tc>
          <w:tcPr/>
          <w:p>
            <w:pPr>
              <w:pStyle w:val="Compact"/>
            </w:pPr>
            <w:r>
              <w:t xml:space="preserve">En production</w:t>
            </w:r>
          </w:p>
        </w:tc>
      </w:tr>
      <w:tr>
        <w:tc>
          <w:tcPr/>
          <w:p>
            <w:pPr>
              <w:pStyle w:val="Compact"/>
            </w:pPr>
            <w:r>
              <w:t xml:space="preserve">Réception WhatsApp Cloud API</w:t>
            </w:r>
          </w:p>
        </w:tc>
        <w:tc>
          <w:tcPr/>
          <w:p>
            <w:pPr>
              <w:pStyle w:val="Compact"/>
            </w:pPr>
            <w:r>
              <w:t xml:space="preserve">En production</w:t>
            </w:r>
          </w:p>
        </w:tc>
      </w:tr>
      <w:tr>
        <w:tc>
          <w:tcPr/>
          <w:p>
            <w:pPr>
              <w:pStyle w:val="Compact"/>
            </w:pPr>
            <w:r>
              <w:t xml:space="preserve">Transcription (3 moteurs, chaîne de repli)</w:t>
            </w:r>
          </w:p>
        </w:tc>
        <w:tc>
          <w:tcPr/>
          <w:p>
            <w:pPr>
              <w:pStyle w:val="Compact"/>
            </w:pPr>
            <w:r>
              <w:t xml:space="preserve">En production</w:t>
            </w:r>
          </w:p>
        </w:tc>
      </w:tr>
      <w:tr>
        <w:tc>
          <w:tcPr/>
          <w:p>
            <w:pPr>
              <w:pStyle w:val="Compact"/>
            </w:pPr>
            <w:r>
              <w:t xml:space="preserve">Extraction structurée (4 chaînes de repli)</w:t>
            </w:r>
          </w:p>
        </w:tc>
        <w:tc>
          <w:tcPr/>
          <w:p>
            <w:pPr>
              <w:pStyle w:val="Compact"/>
            </w:pPr>
            <w:r>
              <w:t xml:space="preserve">En production</w:t>
            </w:r>
          </w:p>
        </w:tc>
      </w:tr>
      <w:tr>
        <w:tc>
          <w:tcPr/>
          <w:p>
            <w:pPr>
              <w:pStyle w:val="Compact"/>
            </w:pPr>
            <w:r>
              <w:t xml:space="preserve">Entrée par photo (modèle de vision)</w:t>
            </w:r>
          </w:p>
        </w:tc>
        <w:tc>
          <w:tcPr/>
          <w:p>
            <w:pPr>
              <w:pStyle w:val="Compact"/>
            </w:pPr>
            <w:r>
              <w:t xml:space="preserve">En production</w:t>
            </w:r>
          </w:p>
        </w:tc>
      </w:tr>
      <w:tr>
        <w:tc>
          <w:tcPr/>
          <w:p>
            <w:pPr>
              <w:pStyle w:val="Compact"/>
            </w:pPr>
            <w:r>
              <w:t xml:space="preserve">Journal de chantier par site (fusion, stock)</w:t>
            </w:r>
          </w:p>
        </w:tc>
        <w:tc>
          <w:tcPr/>
          <w:p>
            <w:pPr>
              <w:pStyle w:val="Compact"/>
            </w:pPr>
            <w:r>
              <w:t xml:space="preserve">En production</w:t>
            </w:r>
          </w:p>
        </w:tc>
      </w:tr>
      <w:tr>
        <w:tc>
          <w:tcPr/>
          <w:p>
            <w:pPr>
              <w:pStyle w:val="Compact"/>
            </w:pPr>
            <w:r>
              <w:t xml:space="preserve">Miroir plat pour le tableau de bord</w:t>
            </w:r>
          </w:p>
        </w:tc>
        <w:tc>
          <w:tcPr/>
          <w:p>
            <w:pPr>
              <w:pStyle w:val="Compact"/>
            </w:pPr>
            <w:r>
              <w:t xml:space="preserve">En production</w:t>
            </w:r>
          </w:p>
        </w:tc>
      </w:tr>
      <w:tr>
        <w:tc>
          <w:tcPr/>
          <w:p>
            <w:pPr>
              <w:pStyle w:val="Compact"/>
            </w:pPr>
            <w:r>
              <w:t xml:space="preserve">Observabilité PostgreSQL</w:t>
            </w:r>
          </w:p>
        </w:tc>
        <w:tc>
          <w:tcPr/>
          <w:p>
            <w:pPr>
              <w:pStyle w:val="Compact"/>
            </w:pPr>
            <w:r>
              <w:t xml:space="preserve">En production</w:t>
            </w:r>
          </w:p>
        </w:tc>
      </w:tr>
      <w:tr>
        <w:tc>
          <w:tcPr/>
          <w:p>
            <w:pPr>
              <w:pStyle w:val="Compact"/>
            </w:pPr>
            <w:r>
              <w:t xml:space="preserve">Tableau de bord trilingue (FR/EN/AR)</w:t>
            </w:r>
          </w:p>
        </w:tc>
        <w:tc>
          <w:tcPr/>
          <w:p>
            <w:pPr>
              <w:pStyle w:val="Compact"/>
            </w:pPr>
            <w:r>
              <w:t xml:space="preserve">En production</w:t>
            </w:r>
          </w:p>
        </w:tc>
      </w:tr>
      <w:tr>
        <w:tc>
          <w:tcPr/>
          <w:p>
            <w:pPr>
              <w:pStyle w:val="Compact"/>
            </w:pPr>
            <w:r>
              <w:t xml:space="preserve">Organigramme, comptes, chantiers, bordereau</w:t>
            </w:r>
          </w:p>
        </w:tc>
        <w:tc>
          <w:tcPr/>
          <w:p>
            <w:pPr>
              <w:pStyle w:val="Compact"/>
            </w:pPr>
            <w:r>
              <w:t xml:space="preserve">En production</w:t>
            </w:r>
          </w:p>
        </w:tc>
      </w:tr>
      <w:tr>
        <w:tc>
          <w:tcPr/>
          <w:p>
            <w:pPr>
              <w:pStyle w:val="Compact"/>
            </w:pPr>
            <w:r>
              <w:t xml:space="preserve">Ordonnanceur (5 tâches) et page Automatisation</w:t>
            </w:r>
          </w:p>
        </w:tc>
        <w:tc>
          <w:tcPr/>
          <w:p>
            <w:pPr>
              <w:pStyle w:val="Compact"/>
            </w:pPr>
            <w:r>
              <w:t xml:space="preserve">En production</w:t>
            </w:r>
          </w:p>
        </w:tc>
      </w:tr>
      <w:tr>
        <w:tc>
          <w:tcPr/>
          <w:p>
            <w:pPr>
              <w:pStyle w:val="Compact"/>
            </w:pPr>
            <w:r>
              <w:t xml:space="preserve">Rapports quotidien et hebdomadaire par e-mail</w:t>
            </w:r>
          </w:p>
        </w:tc>
        <w:tc>
          <w:tcPr/>
          <w:p>
            <w:pPr>
              <w:pStyle w:val="Compact"/>
            </w:pPr>
            <w:r>
              <w:t xml:space="preserve">En production</w:t>
            </w:r>
          </w:p>
        </w:tc>
      </w:tr>
      <w:tr>
        <w:tc>
          <w:tcPr/>
          <w:p>
            <w:pPr>
              <w:pStyle w:val="Compact"/>
            </w:pPr>
            <w:r>
              <w:t xml:space="preserve">Commandes</w:t>
            </w:r>
            <w:r>
              <w:t xml:space="preserve"> </w:t>
            </w:r>
            <w:r>
              <w:rPr>
                <w:rStyle w:val="VerbatimChar"/>
              </w:rPr>
              <w:t xml:space="preserve">/rapport</w:t>
            </w:r>
            <w:r>
              <w:t xml:space="preserve">,</w:t>
            </w:r>
            <w:r>
              <w:t xml:space="preserve"> </w:t>
            </w:r>
            <w:r>
              <w:rPr>
                <w:rStyle w:val="VerbatimChar"/>
              </w:rPr>
              <w:t xml:space="preserve">/modifier</w:t>
            </w:r>
            <w:r>
              <w:t xml:space="preserve">,</w:t>
            </w:r>
            <w:r>
              <w:t xml:space="preserve"> </w:t>
            </w:r>
            <w:r>
              <w:rPr>
                <w:rStyle w:val="VerbatimChar"/>
              </w:rPr>
              <w:t xml:space="preserve">/supprimer</w:t>
            </w:r>
          </w:p>
        </w:tc>
        <w:tc>
          <w:tcPr/>
          <w:p>
            <w:pPr>
              <w:pStyle w:val="Compact"/>
            </w:pPr>
            <w:r>
              <w:t xml:space="preserve">En production</w:t>
            </w:r>
          </w:p>
        </w:tc>
      </w:tr>
      <w:tr>
        <w:tc>
          <w:tcPr/>
          <w:p>
            <w:pPr>
              <w:pStyle w:val="Compact"/>
            </w:pPr>
            <w:r>
              <w:t xml:space="preserve">Moteur local sur GPU, conteneurisé</w:t>
            </w:r>
          </w:p>
        </w:tc>
        <w:tc>
          <w:tcPr/>
          <w:p>
            <w:pPr>
              <w:pStyle w:val="Compact"/>
            </w:pPr>
            <w:r>
              <w:t xml:space="preserve">En production</w:t>
            </w:r>
          </w:p>
        </w:tc>
      </w:tr>
      <w:tr>
        <w:tc>
          <w:tcPr/>
          <w:p>
            <w:pPr>
              <w:pStyle w:val="Compact"/>
            </w:pPr>
            <w:r>
              <w:t xml:space="preserve">Pilote en conditions réelles avec les techniciens</w:t>
            </w:r>
          </w:p>
        </w:tc>
        <w:tc>
          <w:tcPr/>
          <w:p>
            <w:pPr>
              <w:pStyle w:val="Compact"/>
            </w:pPr>
            <w:r>
              <w:rPr>
                <w:i/>
                <w:iCs/>
              </w:rPr>
              <w:t xml:space="preserve">[À COMPLÉTER]</w:t>
            </w:r>
          </w:p>
        </w:tc>
      </w:tr>
    </w:tbl>
    <w:p>
      <w:pPr>
        <w:pStyle w:val="BodyText"/>
      </w:pPr>
      <w:r>
        <w:rPr>
          <w:b/>
          <w:bCs/>
        </w:rPr>
        <w:t xml:space="preserve">Tableau 4.6 :</w:t>
      </w:r>
      <w:r>
        <w:t xml:space="preserve"> </w:t>
      </w:r>
      <w:r>
        <w:t xml:space="preserve">État du périmètre livré.</w:t>
      </w:r>
    </w:p>
    <w:bookmarkEnd w:id="102"/>
    <w:bookmarkStart w:id="103" w:name="métriques-du-projet"/>
    <w:p>
      <w:pPr>
        <w:pStyle w:val="Heading3"/>
      </w:pPr>
      <w:r>
        <w:t xml:space="preserve">4.6.3 Métriques du projet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Indicateur</w:t>
            </w:r>
          </w:p>
        </w:tc>
        <w:tc>
          <w:tcPr/>
          <w:p>
            <w:pPr>
              <w:pStyle w:val="Compact"/>
            </w:pPr>
            <w:r>
              <w:t xml:space="preserve">Valeur</w:t>
            </w:r>
          </w:p>
        </w:tc>
      </w:tr>
      <w:tr>
        <w:tc>
          <w:tcPr/>
          <w:p>
            <w:pPr>
              <w:pStyle w:val="Compact"/>
            </w:pPr>
            <w:r>
              <w:t xml:space="preserve">Commits</w:t>
            </w:r>
          </w:p>
        </w:tc>
        <w:tc>
          <w:tcPr/>
          <w:p>
            <w:pPr>
              <w:pStyle w:val="Compact"/>
            </w:pPr>
            <w:r>
              <w:t xml:space="preserve">207</w:t>
            </w:r>
          </w:p>
        </w:tc>
      </w:tr>
      <w:tr>
        <w:tc>
          <w:tcPr/>
          <w:p>
            <w:pPr>
              <w:pStyle w:val="Compact"/>
            </w:pPr>
            <w:r>
              <w:t xml:space="preserve">Lignes de Python (service)</w:t>
            </w:r>
          </w:p>
        </w:tc>
        <w:tc>
          <w:tcPr/>
          <w:p>
            <w:pPr>
              <w:pStyle w:val="Compact"/>
            </w:pPr>
            <w:r>
              <w:t xml:space="preserve">8 489</w:t>
            </w:r>
          </w:p>
        </w:tc>
      </w:tr>
      <w:tr>
        <w:tc>
          <w:tcPr/>
          <w:p>
            <w:pPr>
              <w:pStyle w:val="Compact"/>
            </w:pPr>
            <w:r>
              <w:t xml:space="preserve">Lignes de tests</w:t>
            </w:r>
          </w:p>
        </w:tc>
        <w:tc>
          <w:tcPr/>
          <w:p>
            <w:pPr>
              <w:pStyle w:val="Compact"/>
            </w:pPr>
            <w:r>
              <w:t xml:space="preserve">3 782 (22 fichiers, 272 tests)</w:t>
            </w:r>
          </w:p>
        </w:tc>
      </w:tr>
      <w:tr>
        <w:tc>
          <w:tcPr/>
          <w:p>
            <w:pPr>
              <w:pStyle w:val="Compact"/>
            </w:pPr>
            <w:r>
              <w:t xml:space="preserve">Lignes de TypeScript (tableau de bord)</w:t>
            </w:r>
          </w:p>
        </w:tc>
        <w:tc>
          <w:tcPr/>
          <w:p>
            <w:pPr>
              <w:pStyle w:val="Compact"/>
            </w:pPr>
            <w:r>
              <w:t xml:space="preserve">11 590</w:t>
            </w:r>
          </w:p>
        </w:tc>
      </w:tr>
      <w:tr>
        <w:tc>
          <w:tcPr/>
          <w:p>
            <w:pPr>
              <w:pStyle w:val="Compact"/>
            </w:pPr>
            <w:r>
              <w:t xml:space="preserve">Routes d’API</w:t>
            </w:r>
          </w:p>
        </w:tc>
        <w:tc>
          <w:tcPr/>
          <w:p>
            <w:pPr>
              <w:pStyle w:val="Compact"/>
            </w:pPr>
            <w:r>
              <w:t xml:space="preserve">66</w:t>
            </w:r>
          </w:p>
        </w:tc>
      </w:tr>
      <w:tr>
        <w:tc>
          <w:tcPr/>
          <w:p>
            <w:pPr>
              <w:pStyle w:val="Compact"/>
            </w:pPr>
            <w:r>
              <w:t xml:space="preserve">Nœuds n8n</w:t>
            </w:r>
          </w:p>
        </w:tc>
        <w:tc>
          <w:tcPr/>
          <w:p>
            <w:pPr>
              <w:pStyle w:val="Compact"/>
            </w:pPr>
            <w:r>
              <w:t xml:space="preserve">65</w:t>
            </w:r>
          </w:p>
        </w:tc>
      </w:tr>
      <w:tr>
        <w:tc>
          <w:tcPr/>
          <w:p>
            <w:pPr>
              <w:pStyle w:val="Compact"/>
            </w:pPr>
            <w:r>
              <w:t xml:space="preserve">Instructions de modèles versionnées</w:t>
            </w:r>
          </w:p>
        </w:tc>
        <w:tc>
          <w:tcPr/>
          <w:p>
            <w:pPr>
              <w:pStyle w:val="Compact"/>
            </w:pPr>
            <w:r>
              <w:t xml:space="preserve">6</w:t>
            </w:r>
          </w:p>
        </w:tc>
      </w:tr>
      <w:tr>
        <w:tc>
          <w:tcPr/>
          <w:p>
            <w:pPr>
              <w:pStyle w:val="Compact"/>
            </w:pPr>
            <w:r>
              <w:t xml:space="preserve">Moteurs STT évalués</w:t>
            </w:r>
          </w:p>
        </w:tc>
        <w:tc>
          <w:tcPr/>
          <w:p>
            <w:pPr>
              <w:pStyle w:val="Compact"/>
            </w:pPr>
            <w:r>
              <w:t xml:space="preserve">13</w:t>
            </w:r>
          </w:p>
        </w:tc>
      </w:tr>
      <w:tr>
        <w:tc>
          <w:tcPr/>
          <w:p>
            <w:pPr>
              <w:pStyle w:val="Compact"/>
            </w:pPr>
            <w:r>
              <w:t xml:space="preserve">Tables PostgreSQL</w:t>
            </w:r>
          </w:p>
        </w:tc>
        <w:tc>
          <w:tcPr/>
          <w:p>
            <w:pPr>
              <w:pStyle w:val="Compact"/>
            </w:pPr>
            <w:r>
              <w:t xml:space="preserve">11</w:t>
            </w:r>
          </w:p>
        </w:tc>
      </w:tr>
      <w:tr>
        <w:tc>
          <w:tcPr/>
          <w:p>
            <w:pPr>
              <w:pStyle w:val="Compact"/>
            </w:pPr>
            <w:r>
              <w:t xml:space="preserve">Services Docker</w:t>
            </w:r>
          </w:p>
        </w:tc>
        <w:tc>
          <w:tcPr/>
          <w:p>
            <w:pPr>
              <w:pStyle w:val="Compact"/>
            </w:pPr>
            <w:r>
              <w:t xml:space="preserve">5</w:t>
            </w:r>
          </w:p>
        </w:tc>
      </w:tr>
    </w:tbl>
    <w:p>
      <w:pPr>
        <w:pStyle w:val="BodyText"/>
      </w:pPr>
      <w:r>
        <w:rPr>
          <w:b/>
          <w:bCs/>
        </w:rPr>
        <w:t xml:space="preserve">Tableau 4.7 :</w:t>
      </w:r>
      <w:r>
        <w:t xml:space="preserve"> </w:t>
      </w:r>
      <w:r>
        <w:t xml:space="preserve">Métriques du projet à la date de rédaction.</w:t>
      </w:r>
    </w:p>
    <w:bookmarkEnd w:id="103"/>
    <w:bookmarkStart w:id="104" w:name="latence-de-bout-en-bout"/>
    <w:p>
      <w:pPr>
        <w:pStyle w:val="Heading3"/>
      </w:pPr>
      <w:r>
        <w:t xml:space="preserve">4.6.4 Latence de bout en bout</w:t>
      </w:r>
    </w:p>
    <w:p>
      <w:pPr>
        <w:pStyle w:val="FirstParagraph"/>
      </w:pPr>
      <w:r>
        <w:rPr>
          <w:i/>
          <w:iCs/>
        </w:rPr>
        <w:t xml:space="preserve">[À COMPLÉTER — mesure de la latence note vocale → ligne dans le journal, à relever sur le pilote. Les latences unitaires mesurées sont disponibles : transcription 1,53 s (Groq) à 7,7 s (moteur local), extraction non chronométrée séparément.]</w:t>
      </w:r>
    </w:p>
    <w:bookmarkEnd w:id="104"/>
    <w:bookmarkStart w:id="105" w:name="pilote"/>
    <w:p>
      <w:pPr>
        <w:pStyle w:val="Heading3"/>
      </w:pPr>
      <w:r>
        <w:t xml:space="preserve">4.6.5 Pilote</w:t>
      </w:r>
    </w:p>
    <w:p>
      <w:pPr>
        <w:pStyle w:val="FirstParagraph"/>
      </w:pPr>
      <w:r>
        <w:rPr>
          <w:i/>
          <w:iCs/>
        </w:rPr>
        <w:t xml:space="preserve">[À COMPLÉTER — déploiement pilote, nombre de rapports traités, retours des techniciens et de l’encadrement, incidents observés.]</w:t>
      </w:r>
    </w:p>
    <w:bookmarkEnd w:id="105"/>
    <w:bookmarkEnd w:id="106"/>
    <w:bookmarkStart w:id="107" w:name="conclusion-du-chapitre-3"/>
    <w:p>
      <w:pPr>
        <w:pStyle w:val="Heading2"/>
      </w:pPr>
      <w:r>
        <w:t xml:space="preserve">4.7 Conclusion du chapitre</w:t>
      </w:r>
    </w:p>
    <w:p>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semaine 0, repli compris.</w:t>
      </w:r>
    </w:p>
    <w:bookmarkEnd w:id="107"/>
    <w:bookmarkEnd w:id="108"/>
    <w:bookmarkStart w:id="109" w:name="conclusion-générale-et-perspectives"/>
    <w:p>
      <w:pPr>
        <w:pStyle w:val="Heading1"/>
      </w:pPr>
      <w:r>
        <w:t xml:space="preserve">Conclusion générale et perspectives</w:t>
      </w:r>
    </w:p>
    <w:p>
      <w:pPr>
        <w:pStyle w:val="FirstParagraph"/>
      </w:pPr>
      <w:r>
        <w:rPr>
          <w:b/>
          <w:bCs/>
        </w:rPr>
        <w:t xml:space="preserve">Rappel des objectifs.</w:t>
      </w:r>
      <w:r>
        <w:t xml:space="preserve"> </w:t>
      </w:r>
      <w:r>
        <w:t xml:space="preserve">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pPr>
        <w:pStyle w:val="BodyText"/>
      </w:pPr>
      <w:r>
        <w:rPr>
          <w:b/>
          <w:bCs/>
        </w:rPr>
        <w:t xml:space="preserve">Contributions.</w:t>
      </w:r>
      <w:r>
        <w:t xml:space="preserve"> </w:t>
      </w:r>
      <w:r>
        <w:t xml:space="preserve">Le travail réalisé apporte :</w:t>
      </w:r>
    </w:p>
    <w:p>
      <w:pPr>
        <w:pStyle w:val="Compact"/>
        <w:numPr>
          <w:ilvl w:val="0"/>
          <w:numId w:val="1016"/>
        </w:numPr>
      </w:pPr>
      <w:r>
        <w:rPr>
          <w:b/>
          <w:bCs/>
        </w:rPr>
        <w:t xml:space="preserve">Une architecture hybride</w:t>
      </w:r>
      <w:r>
        <w:t xml:space="preserve"> </w:t>
      </w:r>
      <w:r>
        <w:t xml:space="preserve">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pPr>
        <w:pStyle w:val="Compact"/>
        <w:numPr>
          <w:ilvl w:val="0"/>
          <w:numId w:val="1016"/>
        </w:numPr>
      </w:pPr>
      <w:r>
        <w:rPr>
          <w:b/>
          <w:bCs/>
        </w:rPr>
        <w:t xml:space="preserve">Un banc d’essai comparatif de treize moteurs de transcription du darija</w:t>
      </w:r>
      <w:r>
        <w:t xml:space="preserve">, langue peu dotée, assorti d’une critique argumentée du WER pour ce cas d’usage et d’une métrique applicative de substitution ; il a renversé l’hypothèse technologique initiale du cahier des charges.</w:t>
      </w:r>
    </w:p>
    <w:p>
      <w:pPr>
        <w:pStyle w:val="Compact"/>
        <w:numPr>
          <w:ilvl w:val="0"/>
          <w:numId w:val="1016"/>
        </w:numPr>
      </w:pPr>
      <w:r>
        <w:rPr>
          <w:b/>
          <w:bCs/>
        </w:rPr>
        <w:t xml:space="preserve">Un service d’extraction</w:t>
      </w:r>
      <w:r>
        <w:t xml:space="preserve"> </w:t>
      </w:r>
      <w:r>
        <w:t xml:space="preserve">fondé sur les grands modèles de langage avec sortie structurée contrainte, quatre chaînes de repli explicites alternant les fournisseurs, et une politique stricte d’absence de données inventées, poussée jusqu’à faire échouer une localisation non reconnue plutôt que de l’ignorer.</w:t>
      </w:r>
    </w:p>
    <w:p>
      <w:pPr>
        <w:pStyle w:val="Compact"/>
        <w:numPr>
          <w:ilvl w:val="0"/>
          <w:numId w:val="1016"/>
        </w:numPr>
      </w:pPr>
      <w:r>
        <w:rPr>
          <w:b/>
          <w:bCs/>
        </w:rPr>
        <w:t xml:space="preserve">Un modèle métier reconstruit sur le fichier réel du client</w:t>
      </w:r>
      <w:r>
        <w:t xml:space="preserve">, tenant un journal par chantier avec accumulation intra-journalière et réconciliation de stock — deux règles sans lesquelles le seul chiffre que lit le directeur, la ligne de totaux, serait faux.</w:t>
      </w:r>
    </w:p>
    <w:p>
      <w:pPr>
        <w:pStyle w:val="Compact"/>
        <w:numPr>
          <w:ilvl w:val="0"/>
          <w:numId w:val="1016"/>
        </w:numPr>
      </w:pPr>
      <w:r>
        <w:rPr>
          <w:b/>
          <w:bCs/>
        </w:rPr>
        <w:t xml:space="preserve">Une conception indépendante du canal</w:t>
      </w:r>
      <w:r>
        <w:t xml:space="preserve">, démontrée en pratique par la mise en service successive de deux messageries aux contraintes opposées, sans modification du cœur du système.</w:t>
      </w:r>
    </w:p>
    <w:p>
      <w:pPr>
        <w:pStyle w:val="FirstParagraph"/>
      </w:pPr>
      <w:r>
        <w:rPr>
          <w:b/>
          <w:bCs/>
        </w:rPr>
        <w:t xml:space="preserve">Résultats.</w:t>
      </w:r>
      <w:r>
        <w:t xml:space="preserve"> </w:t>
      </w:r>
      <w:r>
        <w:t xml:space="preserve">La chaîne complète est opérationnelle depuis la première semaine du projet, avec un mécanisme de repli validé en conditions réelles. Le système compte 66 routes, 65 nœuds d’orchestration, 11 tables et 272 tests automatisés exécutables sans aucune clé d’API.</w:t>
      </w:r>
      <w:r>
        <w:t xml:space="preserve"> </w:t>
      </w:r>
      <w:r>
        <w:rPr>
          <w:i/>
          <w:iCs/>
        </w:rPr>
        <w:t xml:space="preserve">[À COMPLÉTER : latence de bout en bout mesurée et bilan du pilote.]</w:t>
      </w:r>
    </w:p>
    <w:p>
      <w:pPr>
        <w:pStyle w:val="BodyText"/>
      </w:pPr>
      <w:r>
        <w:rPr>
          <w:b/>
          <w:bCs/>
        </w:rPr>
        <w:t xml:space="preserve">Limites.</w:t>
      </w:r>
      <w:r>
        <w:t xml:space="preserve"> </w:t>
      </w:r>
      <w:r>
        <w:t xml:space="preserve">Trois limites doivent être énoncées sans détour. D’abord,</w:t>
      </w:r>
      <w:r>
        <w:t xml:space="preserve"> </w:t>
      </w:r>
      <w:r>
        <w:rPr>
          <w:b/>
          <w:bCs/>
        </w:rPr>
        <w:t xml:space="preserve">le WER et le CER n’ont pas été calculés</w:t>
      </w:r>
      <w:r>
        <w:t xml:space="preserve"> </w:t>
      </w:r>
      <w:r>
        <w:t xml:space="preserve">: le choix d’une métrique applicative est argumenté au §4.3.2, mais il prive la comparaison d’un chiffre unique et universellement reconnu, et le classement final repose sur un jugement humain — rigoureux, mais non reproductible par un tiers sans le même locuteur. Ensuite,</w:t>
      </w:r>
      <w:r>
        <w:t xml:space="preserve"> </w:t>
      </w:r>
      <w:r>
        <w:rPr>
          <w:b/>
          <w:bCs/>
        </w:rPr>
        <w:t xml:space="preserve">la suite de tests ne parcourt jamais le réseau réel</w:t>
      </w:r>
      <w:r>
        <w:t xml:space="preserve"> </w:t>
      </w:r>
      <w:r>
        <w:t xml:space="preserve">; elle sécurise les régressions de logique, non les ruptures de contrat des fournisseurs, qui ont été la source de la majorité des défauts rencontrés. Enfin,</w:t>
      </w:r>
      <w:r>
        <w:t xml:space="preserve"> </w:t>
      </w:r>
      <w:r>
        <w:rPr>
          <w:i/>
          <w:iCs/>
        </w:rPr>
        <w:t xml:space="preserve">[À COMPLÉTER : bilan du pilote en conditions réelles]</w:t>
      </w:r>
      <w:r>
        <w:t xml:space="preserve">.</w:t>
      </w:r>
    </w:p>
    <w:p>
      <w:pPr>
        <w:pStyle w:val="BodyText"/>
      </w:pPr>
      <w:r>
        <w:rPr>
          <w:b/>
          <w:bCs/>
        </w:rPr>
        <w:t xml:space="preserve">Perspectives.</w:t>
      </w:r>
      <w:r>
        <w:t xml:space="preserve"> </w:t>
      </w:r>
      <w:r>
        <w:t xml:space="preserve">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étendre le tableau de bord vers l’analytique de chantier — avancement par site, consommation de matériel, alertes de stock, le bordereau en fournissant déjà la base ; et généraliser la plateforme à plusieurs équipes ou entreprises.</w:t>
      </w:r>
    </w:p>
    <w:p>
      <w:pPr>
        <w:pStyle w:val="BodyText"/>
      </w:pPr>
      <w:r>
        <w:t xml:space="preserve">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bookmarkEnd w:id="109"/>
    <w:bookmarkStart w:id="110" w:name="références-bibliographiques"/>
    <w:p>
      <w:pPr>
        <w:pStyle w:val="Heading1"/>
      </w:pPr>
      <w:r>
        <w:t xml:space="preserve">Références bibliographiques</w:t>
      </w:r>
    </w:p>
    <w:p>
      <w:pPr>
        <w:pStyle w:val="FirstParagraph"/>
      </w:pPr>
      <w:r>
        <w:t xml:space="preserve">[1] A. Radford, J. W. Kim, T. Xu, G. Brockman, C. McLeavey et I. Sutskever, « Robust Speech Recognition via Large-Scale Weak Supervision »,</w:t>
      </w:r>
      <w:r>
        <w:t xml:space="preserve"> </w:t>
      </w:r>
      <w:r>
        <w:rPr>
          <w:i/>
          <w:iCs/>
        </w:rPr>
        <w:t xml:space="preserve">Proceedings of the 40th International Conference on Machine Learning (ICML)</w:t>
      </w:r>
      <w:r>
        <w:t xml:space="preserve">, PMLR vol. 202, pp. 28492–28518, 2023.</w:t>
      </w:r>
    </w:p>
    <w:p>
      <w:pPr>
        <w:pStyle w:val="BodyText"/>
      </w:pPr>
      <w:r>
        <w:t xml:space="preserve">[2] Groq, « GroqCloud Documentation — Speech to Text &amp; Chat Completions ». Disponible sur : https://console.groq.com/docs</w:t>
      </w:r>
    </w:p>
    <w:p>
      <w:pPr>
        <w:pStyle w:val="BodyText"/>
      </w:pPr>
      <w:r>
        <w:t xml:space="preserve">[3] Google, « Gemini API Documentation — Structured Output &amp; Audio Understanding ». Disponible sur : https://ai.google.dev/gemini-api/docs</w:t>
      </w:r>
    </w:p>
    <w:p>
      <w:pPr>
        <w:pStyle w:val="BodyText"/>
      </w:pPr>
      <w:r>
        <w:t xml:space="preserve">[4] Telegram, « Telegram Bot API ». Disponible sur : https://core.telegram.org/bots/api</w:t>
      </w:r>
    </w:p>
    <w:p>
      <w:pPr>
        <w:pStyle w:val="BodyText"/>
      </w:pPr>
      <w:r>
        <w:t xml:space="preserve">[5] Meta, « WhatsApp Business Platform — Cloud API Documentation ». Disponible sur : https://developers.facebook.com/docs/whatsapp</w:t>
      </w:r>
    </w:p>
    <w:p>
      <w:pPr>
        <w:pStyle w:val="BodyText"/>
      </w:pPr>
      <w:r>
        <w:t xml:space="preserve">[6] n8n, « n8n Documentation — Workflow Automation ». Disponible sur : https://docs.n8n.io</w:t>
      </w:r>
    </w:p>
    <w:p>
      <w:pPr>
        <w:pStyle w:val="BodyText"/>
      </w:pPr>
      <w:r>
        <w:t xml:space="preserve">[7] S. Ramírez, « FastAPI Documentation ». Disponible sur : https://fastapi.tiangolo.com</w:t>
      </w:r>
    </w:p>
    <w:p>
      <w:pPr>
        <w:pStyle w:val="BodyText"/>
      </w:pPr>
      <w:r>
        <w:t xml:space="preserve">[8] Pydantic, « Pydantic Documentation — Data Validation ». Disponible sur : https://docs.pydantic.dev</w:t>
      </w:r>
    </w:p>
    <w:p>
      <w:pPr>
        <w:pStyle w:val="BodyText"/>
      </w:pPr>
      <w:r>
        <w:t xml:space="preserve">[9] K. Schwaber et J. Sutherland,</w:t>
      </w:r>
      <w:r>
        <w:t xml:space="preserve"> </w:t>
      </w:r>
      <w:r>
        <w:rPr>
          <w:i/>
          <w:iCs/>
        </w:rPr>
        <w:t xml:space="preserve">The Scrum Guide</w:t>
      </w:r>
      <w:r>
        <w:t xml:space="preserve">, 2020. Disponible sur : https://scrumguides.org</w:t>
      </w:r>
    </w:p>
    <w:p>
      <w:pPr>
        <w:pStyle w:val="BodyText"/>
      </w:pPr>
      <w:r>
        <w:t xml:space="preserve">[10] E. Gamma, R. Helm, R. Johnson et J. Vlissides,</w:t>
      </w:r>
      <w:r>
        <w:t xml:space="preserve"> </w:t>
      </w:r>
      <w:r>
        <w:rPr>
          <w:i/>
          <w:iCs/>
        </w:rPr>
        <w:t xml:space="preserve">Design Patterns: Elements of Reusable Object-Oriented Software</w:t>
      </w:r>
      <w:r>
        <w:t xml:space="preserve">, Addison-Wesley, 1994.</w:t>
      </w:r>
    </w:p>
    <w:p>
      <w:pPr>
        <w:pStyle w:val="BodyText"/>
      </w:pPr>
      <w:r>
        <w:t xml:space="preserve">[11] A. Baevski, Y. Zhou, A. Mohamed et M. Auli, « wav2vec 2.0: A Framework for Self-Supervised Learning of Speech Representations »,</w:t>
      </w:r>
      <w:r>
        <w:t xml:space="preserve"> </w:t>
      </w:r>
      <w:r>
        <w:rPr>
          <w:i/>
          <w:iCs/>
        </w:rPr>
        <w:t xml:space="preserve">Advances in Neural Information Processing Systems (NeurIPS)</w:t>
      </w:r>
      <w:r>
        <w:t xml:space="preserve">, vol. 33, pp. 12449–12460, 2020.</w:t>
      </w:r>
    </w:p>
    <w:p>
      <w:pPr>
        <w:pStyle w:val="BodyText"/>
      </w:pPr>
      <w:r>
        <w:t xml:space="preserve">[12] A. Graves, S. Fernández, F. Gomez et J. Schmidhuber, « Connectionist Temporal Classification: Labelling Unsegmented Sequence Data with Recurrent Neural Networks »,</w:t>
      </w:r>
      <w:r>
        <w:t xml:space="preserve"> </w:t>
      </w:r>
      <w:r>
        <w:rPr>
          <w:i/>
          <w:iCs/>
        </w:rPr>
        <w:t xml:space="preserve">Proceedings of the 23rd International Conference on Machine Learning (ICML)</w:t>
      </w:r>
      <w:r>
        <w:t xml:space="preserve">, pp. 369–376, 2006.</w:t>
      </w:r>
    </w:p>
    <w:p>
      <w:pPr>
        <w:pStyle w:val="BodyText"/>
      </w:pPr>
      <w:r>
        <w:t xml:space="preserve">[13] A. Bounhar, « Morocco-Darija-STT-large ». Hugging Face, licence Apache 2.0. Disponible sur : https://huggingface.co/BounharAbdelaziz/Morocco-Darija-STT-large</w:t>
      </w:r>
    </w:p>
    <w:p>
      <w:pPr>
        <w:pStyle w:val="BodyText"/>
      </w:pPr>
      <w:r>
        <w:t xml:space="preserve">[14] E. J. Hu, Y. Shen, P. Wallis, Z. Allen-Zhu, Y. Li, S. Wang, L. Wang et W. Chen, « LoRA: Low-Rank Adaptation of Large Language Models »,</w:t>
      </w:r>
      <w:r>
        <w:t xml:space="preserve"> </w:t>
      </w:r>
      <w:r>
        <w:rPr>
          <w:i/>
          <w:iCs/>
        </w:rPr>
        <w:t xml:space="preserve">International Conference on Learning Representations (ICLR)</w:t>
      </w:r>
      <w:r>
        <w:t xml:space="preserve">, 2022.</w:t>
      </w:r>
    </w:p>
    <w:p>
      <w:pPr>
        <w:pStyle w:val="BodyText"/>
      </w:pPr>
      <w:r>
        <w:rPr>
          <w:i/>
          <w:iCs/>
        </w:rPr>
        <w:t xml:space="preserve">[À COMPLÉTER : références académiques additionnelles sur l’ASR de l’arabe dialectal, à ajouter selon les exigences de la filière.]</w:t>
      </w:r>
    </w:p>
    <w:bookmarkEnd w:id="110"/>
    <w:bookmarkStart w:id="118" w:name="annexes"/>
    <w:p>
      <w:pPr>
        <w:pStyle w:val="Heading1"/>
      </w:pPr>
      <w:r>
        <w:t xml:space="preserve">Annexes</w:t>
      </w:r>
    </w:p>
    <w:bookmarkStart w:id="111" w:name="annexe-a-cahier-des-charges"/>
    <w:p>
      <w:pPr>
        <w:pStyle w:val="Heading2"/>
      </w:pPr>
      <w:r>
        <w:t xml:space="preserve">Annexe A : Cahier des charges</w:t>
      </w:r>
    </w:p>
    <w:p>
      <w:pPr>
        <w:pStyle w:val="FirstParagraph"/>
      </w:pPr>
      <w:r>
        <w:rPr>
          <w:i/>
          <w:iCs/>
        </w:rPr>
        <w:t xml:space="preserve">[À INSÉRER — cahier des charges fourni par l’entreprise, reproduit intégralement. Source :</w:t>
      </w:r>
      <w:r>
        <w:rPr>
          <w:i/>
          <w:iCs/>
        </w:rPr>
        <w:t xml:space="preserve"> </w:t>
      </w:r>
      <w:r>
        <w:rPr>
          <w:rStyle w:val="VerbatimChar"/>
          <w:i/>
          <w:iCs/>
        </w:rPr>
        <w:t xml:space="preserve">docs/cahier-des-charges.md</w:t>
      </w:r>
      <w:r>
        <w:rPr>
          <w:i/>
          <w:iCs/>
        </w:rPr>
        <w:t xml:space="preserve">.]</w:t>
      </w:r>
    </w:p>
    <w:bookmarkEnd w:id="111"/>
    <w:bookmarkStart w:id="112" w:name="X32e70b60c6d879e694a4389de51555c09c82202"/>
    <w:p>
      <w:pPr>
        <w:pStyle w:val="Heading2"/>
      </w:pPr>
      <w:r>
        <w:t xml:space="preserve">Annexe B : Schéma de données et contrat d’API</w:t>
      </w:r>
    </w:p>
    <w:p>
      <w:pPr>
        <w:pStyle w:val="FirstParagraph"/>
      </w:pPr>
      <w:r>
        <w:rPr>
          <w:i/>
          <w:iCs/>
        </w:rPr>
        <w:t xml:space="preserve">[À INSÉRER — schéma JSON complet de la réponse</w:t>
      </w:r>
      <w:r>
        <w:rPr>
          <w:i/>
          <w:iCs/>
        </w:rPr>
        <w:t xml:space="preserve"> </w:t>
      </w:r>
      <w:r>
        <w:rPr>
          <w:rStyle w:val="VerbatimChar"/>
          <w:i/>
          <w:iCs/>
        </w:rPr>
        <w:t xml:space="preserve">/process</w:t>
      </w:r>
      <w:r>
        <w:rPr>
          <w:i/>
          <w:iCs/>
        </w:rPr>
        <w:t xml:space="preserve"> </w:t>
      </w:r>
      <w:r>
        <w:rPr>
          <w:i/>
          <w:iCs/>
        </w:rPr>
        <w:t xml:space="preserve">et exemple de réponse réelle anonymisée. Source : documentation OpenAPI générée automatiquement par FastAPI.]</w:t>
      </w:r>
    </w:p>
    <w:bookmarkEnd w:id="112"/>
    <w:bookmarkStart w:id="113" w:name="X77ff8cdd90d9635bf57fe2910710caebc0f3b16"/>
    <w:p>
      <w:pPr>
        <w:pStyle w:val="Heading2"/>
      </w:pPr>
      <w:r>
        <w:t xml:space="preserve">Annexe C : Instructions (prompts) des modèles</w:t>
      </w:r>
    </w:p>
    <w:p>
      <w:pPr>
        <w:pStyle w:val="FirstParagraph"/>
      </w:pPr>
      <w:r>
        <w:rPr>
          <w:i/>
          <w:iCs/>
        </w:rPr>
        <w:t xml:space="preserve">[À INSÉRER — les six fichiers de</w:t>
      </w:r>
      <w:r>
        <w:rPr>
          <w:i/>
          <w:iCs/>
        </w:rPr>
        <w:t xml:space="preserve"> </w:t>
      </w:r>
      <w:r>
        <w:rPr>
          <w:rStyle w:val="VerbatimChar"/>
          <w:i/>
          <w:iCs/>
        </w:rPr>
        <w:t xml:space="preserve">api/app/prompts/</w:t>
      </w:r>
      <w:r>
        <w:rPr>
          <w:i/>
          <w:iCs/>
        </w:rPr>
        <w:t xml:space="preserve">, en particulier</w:t>
      </w:r>
      <w:r>
        <w:rPr>
          <w:i/>
          <w:iCs/>
        </w:rPr>
        <w:t xml:space="preserve"> </w:t>
      </w:r>
      <w:r>
        <w:rPr>
          <w:rStyle w:val="VerbatimChar"/>
          <w:i/>
          <w:iCs/>
        </w:rPr>
        <w:t xml:space="preserve">00-soul.md</w:t>
      </w:r>
      <w:r>
        <w:rPr>
          <w:i/>
          <w:iCs/>
        </w:rPr>
        <w:t xml:space="preserve"> </w:t>
      </w:r>
      <w:r>
        <w:rPr>
          <w:i/>
          <w:iCs/>
        </w:rPr>
        <w:t xml:space="preserve">et</w:t>
      </w:r>
      <w:r>
        <w:rPr>
          <w:i/>
          <w:iCs/>
        </w:rPr>
        <w:t xml:space="preserve"> </w:t>
      </w:r>
      <w:r>
        <w:rPr>
          <w:rStyle w:val="VerbatimChar"/>
          <w:i/>
          <w:iCs/>
        </w:rPr>
        <w:t xml:space="preserve">extraction-text.md</w:t>
      </w:r>
      <w:r>
        <w:rPr>
          <w:i/>
          <w:iCs/>
        </w:rPr>
        <w:t xml:space="preserve">.]</w:t>
      </w:r>
    </w:p>
    <w:bookmarkEnd w:id="113"/>
    <w:bookmarkStart w:id="114" w:name="annexe-d-workflow-n8n-documenté"/>
    <w:p>
      <w:pPr>
        <w:pStyle w:val="Heading2"/>
      </w:pPr>
      <w:r>
        <w:t xml:space="preserve">Annexe D : Workflow n8n documenté</w:t>
      </w:r>
    </w:p>
    <w:p>
      <w:pPr>
        <w:pStyle w:val="FirstParagraph"/>
      </w:pPr>
      <w:r>
        <w:rPr>
          <w:i/>
          <w:iCs/>
        </w:rPr>
        <w:t xml:space="preserve">[À INSÉRER — export JSON du workflow (65 nœuds) et captures d’écran annotées du canvas.]</w:t>
      </w:r>
    </w:p>
    <w:bookmarkEnd w:id="114"/>
    <w:bookmarkStart w:id="115" w:name="annexe-e-documentation-dinstallation"/>
    <w:p>
      <w:pPr>
        <w:pStyle w:val="Heading2"/>
      </w:pPr>
      <w:r>
        <w:t xml:space="preserve">Annexe E : Documentation d’installation</w:t>
      </w:r>
    </w:p>
    <w:p>
      <w:pPr>
        <w:pStyle w:val="FirstParagraph"/>
      </w:pPr>
      <w:r>
        <w:rPr>
          <w:i/>
          <w:iCs/>
        </w:rPr>
        <w:t xml:space="preserve">[À INSÉRER — prérequis, Docker Compose, variables d’environnement, activation du workflow. Source :</w:t>
      </w:r>
      <w:r>
        <w:rPr>
          <w:i/>
          <w:iCs/>
        </w:rPr>
        <w:t xml:space="preserve"> </w:t>
      </w:r>
      <w:r>
        <w:rPr>
          <w:rStyle w:val="VerbatimChar"/>
          <w:i/>
          <w:iCs/>
        </w:rPr>
        <w:t xml:space="preserve">docs/setup-guide.md</w:t>
      </w:r>
      <w:r>
        <w:rPr>
          <w:i/>
          <w:iCs/>
        </w:rPr>
        <w:t xml:space="preserve"> </w:t>
      </w:r>
      <w:r>
        <w:rPr>
          <w:i/>
          <w:iCs/>
        </w:rPr>
        <w:t xml:space="preserve">et</w:t>
      </w:r>
      <w:r>
        <w:rPr>
          <w:i/>
          <w:iCs/>
        </w:rPr>
        <w:t xml:space="preserve"> </w:t>
      </w:r>
      <w:r>
        <w:rPr>
          <w:rStyle w:val="VerbatimChar"/>
          <w:i/>
          <w:iCs/>
        </w:rPr>
        <w:t xml:space="preserve">n8n/README.md</w:t>
      </w:r>
      <w:r>
        <w:rPr>
          <w:i/>
          <w:iCs/>
        </w:rPr>
        <w:t xml:space="preserve">.]</w:t>
      </w:r>
    </w:p>
    <w:bookmarkEnd w:id="115"/>
    <w:bookmarkStart w:id="116" w:name="annexe-f-guide-utilisateur"/>
    <w:p>
      <w:pPr>
        <w:pStyle w:val="Heading2"/>
      </w:pPr>
      <w:r>
        <w:t xml:space="preserve">Annexe F : Guide utilisateur</w:t>
      </w:r>
    </w:p>
    <w:p>
      <w:pPr>
        <w:pStyle w:val="FirstParagraph"/>
      </w:pPr>
      <w:r>
        <w:rPr>
          <w:i/>
          <w:iCs/>
        </w:rPr>
        <w:t xml:space="preserve">[À INSÉRER — guide d’une page : comment envoyer son rapport vocal, les commandes disponibles, que faire en cas d’erreur.]</w:t>
      </w:r>
    </w:p>
    <w:bookmarkEnd w:id="116"/>
    <w:bookmarkStart w:id="117" w:name="X4550a81f5e354f33d90846552e6364a3feca980"/>
    <w:p>
      <w:pPr>
        <w:pStyle w:val="Heading2"/>
      </w:pPr>
      <w:r>
        <w:t xml:space="preserve">Annexe G : Protocole et données du banc d’essai</w:t>
      </w:r>
    </w:p>
    <w:p>
      <w:pPr>
        <w:pStyle w:val="FirstParagraph"/>
      </w:pPr>
      <w:r>
        <w:rPr>
          <w:i/>
          <w:iCs/>
        </w:rPr>
        <w:t xml:space="preserve">[À INSÉRER — catalogue des treize moteurs, transcriptions brutes par moteur et par clip, et fiches de résultats. Source :</w:t>
      </w:r>
      <w:r>
        <w:rPr>
          <w:i/>
          <w:iCs/>
        </w:rPr>
        <w:t xml:space="preserve"> </w:t>
      </w:r>
      <w:r>
        <w:rPr>
          <w:rStyle w:val="VerbatimChar"/>
          <w:i/>
          <w:iCs/>
        </w:rPr>
        <w:t xml:space="preserve">benchmark/STT-BENCHMARK-STATUS.md</w:t>
      </w:r>
      <w:r>
        <w:rPr>
          <w:i/>
          <w:iCs/>
        </w:rPr>
        <w:t xml:space="preserve"> </w:t>
      </w:r>
      <w:r>
        <w:rPr>
          <w:i/>
          <w:iCs/>
        </w:rPr>
        <w:t xml:space="preserve">et</w:t>
      </w:r>
      <w:r>
        <w:rPr>
          <w:i/>
          <w:iCs/>
        </w:rPr>
        <w:t xml:space="preserve"> </w:t>
      </w:r>
      <w:r>
        <w:rPr>
          <w:rStyle w:val="VerbatimChar"/>
          <w:i/>
          <w:iCs/>
        </w:rPr>
        <w:t xml:space="preserve">benchmark/results/</w:t>
      </w:r>
      <w:r>
        <w:rPr>
          <w:i/>
          <w:iCs/>
        </w:rPr>
        <w:t xml:space="preserve">.]</w:t>
      </w:r>
    </w:p>
    <w:bookmarkEnd w:id="117"/>
    <w:bookmarkEnd w:id="118"/>
    <w:sectPr>
      <w:footnotePr>
        <w:numRestart w:val="eachSect"/>
      </w:footnotePr>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heme="majorBidi" w:eastAsiaTheme="majorEastAsia" w:hAnsi="Times New Roman"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240" w:lineRule="auto"/>
      <w:outlineLvl w:val="0"/>
    </w:pPr>
    <w:rPr>
      <w:rFonts w:ascii="Times New Roman" w:asciiTheme="majorHAnsi" w:cstheme="majorBidi" w:eastAsiaTheme="majorEastAsia" w:hAnsi="Times New Roman" w:hAnsiTheme="majorHAnsi"/>
      <w:b/>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240" w:lineRule="auto"/>
      <w:outlineLvl w:val="1"/>
    </w:pPr>
    <w:rPr>
      <w:rFonts w:ascii="Times New Roman" w:asciiTheme="majorHAnsi" w:cstheme="majorBidi" w:eastAsiaTheme="majorEastAsia" w:hAnsi="Times New Roman"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40" w:lineRule="auto"/>
      <w:outlineLvl w:val="2"/>
    </w:pPr>
    <w:rPr>
      <w:rFonts w:ascii="Times New Roman" w:cstheme="majorBidi"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sz w:val="20"/>
    </w:rPr>
  </w:style>
  <w:style w:customStyle="1" w:styleId="TableCaption" w:type="paragraph">
    <w:name w:val="Table Caption"/>
    <w:basedOn w:val="Caption"/>
    <w:pPr>
      <w:keepNext/>
    </w:pPr>
    <w:rPr>
      <w:rFonts w:ascii="Times New Roman" w:hAnsi="Times New Roman"/>
      <w:sz w:val="20"/>
    </w:rPr>
  </w:style>
  <w:style w:customStyle="1" w:styleId="ImageCaption" w:type="paragraph">
    <w:name w:val="Image Caption"/>
    <w:basedOn w:val="Caption"/>
    <w:rPr>
      <w:rFonts w:ascii="Times New Roman" w:hAnsi="Times New Roman"/>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 : transcription de notes vocales en darija et extraction structurée</dc:title>
  <dc:creator/>
  <dc:language>fr</dc:language>
  <cp:keywords/>
  <dcterms:created xsi:type="dcterms:W3CDTF">2026-08-11T12:53:41Z</dcterms:created>
  <dcterms:modified xsi:type="dcterms:W3CDTF">2026-08-11T12:53:41Z</dcterms:modified>
</cp:coreProperties>
</file>

<file path=docProps/custom.xml><?xml version="1.0" encoding="utf-8"?>
<Properties xmlns="http://schemas.openxmlformats.org/officeDocument/2006/custom-properties" xmlns:vt="http://schemas.openxmlformats.org/officeDocument/2006/docPropsVTypes"/>
</file>