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[LOGO EMSI] [LOGO AZNET]</w:t>
      </w:r>
    </w:p>
    <w:p>
      <w:pPr>
        <w:pStyle w:val="Title"/>
      </w:pPr>
      <w:r>
        <w:t xml:space="preserve">ÉCOLE MAROCAINE DES SCIENCES DE L’INGÉNIEUR</w:t>
      </w:r>
    </w:p>
    <w:p>
      <w:pPr>
        <w:pStyle w:val="BodyText"/>
      </w:pPr>
      <w:r>
        <w:t xml:space="preserve">Filière : [FILIÈRE — ex. Ingénierie Informatique et Réseaux]</w:t>
      </w:r>
    </w:p>
    <w:p>
      <w:pPr>
        <w:pStyle w:val="BodyText"/>
      </w:pPr>
      <w:r>
        <w:t xml:space="preserve">Rapport de Projet de Fin d’Études pour l’obtention du diplôme d’Ingénieur d’État</w:t>
      </w:r>
    </w:p>
    <w:p>
      <w:pPr>
        <w:pStyle w:val="Title"/>
      </w:pPr>
      <w:r>
        <w:t xml:space="preserve">AUTOMATISATION DES RAPPORTS JOURNALIERS DE CHANTIER PAR INTELLIGENCE ARTIFICIELLE : TRANSCRIPTION DE NOTES VOCALES EN DARIJA ET EXTRACTION STRUCTURÉE</w:t>
      </w:r>
    </w:p>
    <w:p>
      <w:pPr>
        <w:pStyle w:val="BodyText"/>
      </w:pPr>
      <w:r>
        <w:t xml:space="preserve">Réalisé par :</w:t>
      </w:r>
      <w:r>
        <w:t xml:space="preserve"> </w:t>
      </w:r>
      <w:r>
        <w:rPr>
          <w:b/>
          <w:bCs/>
        </w:rPr>
        <w:t xml:space="preserve">Yassine [NOM]</w:t>
      </w:r>
    </w:p>
    <w:p>
      <w:pPr>
        <w:pStyle w:val="BodyText"/>
      </w:pPr>
      <w:r>
        <w:t xml:space="preserve">Encadrant académique :</w:t>
      </w:r>
      <w:r>
        <w:t xml:space="preserve"> </w:t>
      </w:r>
      <w:r>
        <w:rPr>
          <w:b/>
          <w:bCs/>
        </w:rPr>
        <w:t xml:space="preserve">[NOM ENCADRANT ACADÉMIQUE]</w:t>
      </w:r>
    </w:p>
    <w:p>
      <w:pPr>
        <w:pStyle w:val="BodyText"/>
      </w:pPr>
      <w:r>
        <w:t xml:space="preserve">Encadrant industriel :</w:t>
      </w:r>
      <w:r>
        <w:t xml:space="preserve"> </w:t>
      </w:r>
      <w:r>
        <w:rPr>
          <w:b/>
          <w:bCs/>
        </w:rPr>
        <w:t xml:space="preserve">[NOM ENCADRANT INDUSTRIEL]</w:t>
      </w:r>
    </w:p>
    <w:p>
      <w:pPr>
        <w:pStyle w:val="BodyText"/>
      </w:pPr>
      <w:r>
        <w:t xml:space="preserve">Entreprise d’accueil :</w:t>
      </w:r>
      <w:r>
        <w:t xml:space="preserve"> </w:t>
      </w:r>
      <w:r>
        <w:rPr>
          <w:b/>
          <w:bCs/>
        </w:rPr>
        <w:t xml:space="preserve">AZNET — Casablanca [À CONFIRMER]</w:t>
      </w:r>
    </w:p>
    <w:p>
      <w:pPr>
        <w:pStyle w:val="BodyText"/>
      </w:pPr>
      <w:r>
        <w:t xml:space="preserve">Année universitaire :</w:t>
      </w:r>
      <w:r>
        <w:t xml:space="preserve"> </w:t>
      </w:r>
      <w:r>
        <w:rPr>
          <w:b/>
          <w:bCs/>
        </w:rPr>
        <w:t xml:space="preserve">2025 / 2026</w:t>
      </w:r>
    </w:p>
    <w:p>
      <w:r>
        <w:br w:type="page"/>
      </w:r>
    </w:p>
    <w:bookmarkStart w:id="9" w:name="remerciements"/>
    <w:p>
      <w:pPr>
        <w:pStyle w:val="Heading1"/>
      </w:pPr>
      <w:r>
        <w:t xml:space="preserve">Remerciements</w:t>
      </w:r>
    </w:p>
    <w:p>
      <w:pPr>
        <w:pStyle w:val="FirstParagraph"/>
      </w:pPr>
      <w:r>
        <w:t xml:space="preserve">Je tiens tout d’abord à exprimer ma gratitude à mon encadrant académique,</w:t>
      </w:r>
      <w:r>
        <w:t xml:space="preserve"> </w:t>
      </w:r>
      <w:r>
        <w:rPr>
          <w:b/>
          <w:bCs/>
        </w:rPr>
        <w:t xml:space="preserve">[NOM ENCADRANT ACADÉMIQUE]</w:t>
      </w:r>
      <w:r>
        <w:t xml:space="preserve">, pour son accompagnement, sa disponibilité et ses conseils méthodologiques tout au long de ce projet de fin d’études.</w:t>
      </w:r>
    </w:p>
    <w:p>
      <w:pPr>
        <w:pStyle w:val="BodyText"/>
      </w:pPr>
      <w:r>
        <w:t xml:space="preserve">Je remercie également mon encadrant industriel,</w:t>
      </w:r>
      <w:r>
        <w:t xml:space="preserve"> </w:t>
      </w:r>
      <w:r>
        <w:rPr>
          <w:b/>
          <w:bCs/>
        </w:rPr>
        <w:t xml:space="preserve">[NOM ENCADRANT INDUSTRIEL]</w:t>
      </w:r>
      <w:r>
        <w:t xml:space="preserve">, ainsi que l’ensemble de l’équipe d’</w:t>
      </w:r>
      <w:r>
        <w:rPr>
          <w:b/>
          <w:bCs/>
        </w:rPr>
        <w:t xml:space="preserve">AZNET</w:t>
      </w:r>
      <w:r>
        <w:t xml:space="preserve">, pour leur accueil, leur confiance et le partage de leur expérience du terrain, qui ont permis d’ancrer ce projet dans les besoins réels des équipes de câblage.</w:t>
      </w:r>
    </w:p>
    <w:p>
      <w:pPr>
        <w:pStyle w:val="BodyText"/>
      </w:pPr>
      <w:r>
        <w:t xml:space="preserve">Mes remerciements vont aussi au corps professoral de l’</w:t>
      </w:r>
      <w:r>
        <w:rPr>
          <w:b/>
          <w:bCs/>
        </w:rPr>
        <w:t xml:space="preserve">EMSI</w:t>
      </w:r>
      <w:r>
        <w:t xml:space="preserve">, dont les enseignements ont constitué le socle technique et scientifique de ce travail.</w:t>
      </w:r>
    </w:p>
    <w:p>
      <w:pPr>
        <w:pStyle w:val="BodyText"/>
      </w:pPr>
      <w:r>
        <w:t xml:space="preserve">Enfin, je remercie ma famille et mes proches pour leur soutien constant durant l’ensemble de mon cursus.</w:t>
      </w:r>
    </w:p>
    <w:p>
      <w:r>
        <w:br w:type="page"/>
      </w:r>
    </w:p>
    <w:bookmarkEnd w:id="9"/>
    <w:bookmarkStart w:id="10" w:name="résumé"/>
    <w:p>
      <w:pPr>
        <w:pStyle w:val="Heading1"/>
      </w:pPr>
      <w:r>
        <w:t xml:space="preserve">Résumé</w:t>
      </w:r>
    </w:p>
    <w:p>
      <w:pPr>
        <w:pStyle w:val="FirstParagraph"/>
      </w:pPr>
      <w:r>
        <w:t xml:space="preserve">Dans le secteur du câblage réseau, le suivi de l’activité des techniciens repose encore largement sur des comptes rendus oraux ou manuscrits, hétérogènes et difficiles à exploiter. Ce projet de fin d’études, réalisé au sein de l’entreprise AZNET, a pour objectif d’automatiser la production des rapports journaliers de chantier. La solution proposée permet au technicien d’envoyer, en fin de journée, une simple note vocale en arabe marocain (darija) via une messagerie instantanée ; le système transcrit automatiquement l’audio, en extrait les données métier (chantier, client, quantités de goulottes et de câbles, bureaux terminés, panneaux raccordés, observations), reformule le tout en un résumé professionnel en français, enregistre le rapport structuré dans un tableau de suivi Google Sheets et notifie les responsables.</w:t>
      </w:r>
    </w:p>
    <w:p>
      <w:pPr>
        <w:pStyle w:val="BodyText"/>
      </w:pPr>
      <w:r>
        <w:t xml:space="preserve">L’architecture retenue est hybride : une plateforme d’orchestration low-code (n8n) assure la réception des messages et les intégrations, tandis qu’un microservice d’intelligence artificielle développé en Python/FastAPI prend en charge la transcription (Whisper large-v3 via Groq), l’extraction structurée par grands modèles de langage (Gemini avec repli Llama 3.3) et la reformulation. La méthodologie suivie est une démarche agile de type Scrum allégé, organisée en trois sprints de deux semaines. Un banc d’essai comparatif des moteurs de transcription du darija est intégré à la démarche afin de justifier les choix techniques. Les premiers résultats montrent une chaîne complète opérationnelle, de la note vocale à la réponse de confirmation, en moins d’une minute. [À COMPLÉTER : résultats chiffrés du benchmark et du pilote]</w:t>
      </w:r>
    </w:p>
    <w:p>
      <w:pPr>
        <w:pStyle w:val="BodyText"/>
      </w:pPr>
      <w:r>
        <w:rPr>
          <w:b/>
          <w:bCs/>
        </w:rPr>
        <w:t xml:space="preserve">Mots-clés :</w:t>
      </w:r>
      <w:r>
        <w:t xml:space="preserve"> </w:t>
      </w:r>
      <w:r>
        <w:t xml:space="preserve">reconnaissance vocale, darija, grands modèles de langage, extraction d’information, automatisation de workflows.</w:t>
      </w:r>
    </w:p>
    <w:p>
      <w:r>
        <w:br w:type="page"/>
      </w:r>
    </w:p>
    <w:bookmarkEnd w:id="10"/>
    <w:bookmarkStart w:id="11" w:name="abstract"/>
    <w:p>
      <w:pPr>
        <w:pStyle w:val="Heading1"/>
      </w:pPr>
      <w:r>
        <w:t xml:space="preserve">Abstract</w:t>
      </w:r>
    </w:p>
    <w:p>
      <w:pPr>
        <w:pStyle w:val="FirstParagraph"/>
      </w:pPr>
      <w:r>
        <w:t xml:space="preserve">In the network cabling industry, tracking technicians’ daily activity still relies heavily on oral or handwritten reports, which are inconsistent and hard to exploit. This graduation project, carried out at AZNET, aims to automate the production of daily site reports. The proposed solution allows a technician to send, at the end of the day, a simple voice note in Moroccan Arabic (Darija) through an instant messaging application; the system automatically transcribes the audio, extracts the business data (site, client, quantities of cable trays and cables, completed offices, connected patch panels, observations), rewrites everything into a professional French summary, stores the structured report in a Google Sheets tracking table, and notifies the managers.</w:t>
      </w:r>
    </w:p>
    <w:p>
      <w:pPr>
        <w:pStyle w:val="BodyText"/>
      </w:pPr>
      <w:r>
        <w:t xml:space="preserve">The chosen architecture is hybrid: a low-code orchestration platform (n8n) handles message reception and integrations, while a custom artificial-intelligence microservice built with Python/FastAPI performs transcription (Whisper large-v3 through Groq), structured extraction with large language models (Gemini with a Llama 3.3 fallback), and reformulation. The project follows a lightweight Scrum methodology organized in three two-week sprints. A comparative benchmark of Darija speech-to-text engines is part of the approach in order to justify the technical choices. Early results show a fully operational end-to-end pipeline, from voice note to confirmation reply, in under one minute. [TO BE COMPLETED: benchmark and pilot figures]</w:t>
      </w:r>
    </w:p>
    <w:p>
      <w:pPr>
        <w:pStyle w:val="BodyText"/>
      </w:pPr>
      <w:r>
        <w:rPr>
          <w:b/>
          <w:bCs/>
        </w:rPr>
        <w:t xml:space="preserve">Keywords:</w:t>
      </w:r>
      <w:r>
        <w:t xml:space="preserve"> </w:t>
      </w:r>
      <w:r>
        <w:t xml:space="preserve">speech recognition, Darija, large language models, information extraction, workflow automation.</w:t>
      </w:r>
    </w:p>
    <w:p>
      <w:r>
        <w:br w:type="page"/>
      </w:r>
    </w:p>
    <w:bookmarkEnd w:id="11"/>
    <w:bookmarkStart w:id="12" w:name="ملخص"/>
    <w:p>
      <w:pPr>
        <w:pStyle w:val="Heading1"/>
      </w:pPr>
      <w:r>
        <w:t xml:space="preserve">ملخص</w:t>
      </w:r>
    </w:p>
    <w:p>
      <w:pPr>
        <w:bidi/>
      </w:pPr>
      <w:r>
        <w:rPr>
          <w:rtl/>
        </w:rPr>
        <w:t xml:space="preserve">في قطاع التمديدات الشبكية، لا يزال تتبع النشاط اليومي للتقنيين يعتمد إلى حد كبير على تقارير شفوية أو مكتوبة بخط اليد، غير متجانسة ويصعب استغلالها. يهدف مشروع نهاية الدراسة هذا، المنجز داخل شركة AZNET، إلى أتمتة إعداد التقارير اليومية للأوراش. يتيح الحل المقترح للتقني أن يرسل، في نهاية اليوم، رسالة صوتية بسيطة بالدارجة المغربية عبر تطبيق مراسلة فورية؛ فيقوم النظام تلقائيًا بتحويل الصوت إلى نص، واستخراج المعطيات المهنية (الورش، الزبون، كميات القنوات والكابلات، المكاتب المنجزة، لوحات التوصيل، الملاحظات)، ثم إعادة صياغتها في ملخص مهني باللغة الفرنسية، وتسجيل التقرير المهيكل في جدول تتبع Google Sheets وإشعار المسؤولين.</w:t>
      </w:r>
    </w:p>
    <w:p>
      <w:pPr>
        <w:bidi/>
      </w:pPr>
      <w:r>
        <w:rPr>
          <w:rtl/>
        </w:rPr>
        <w:t xml:space="preserve">تعتمد البنية المختارة على مقاربة هجينة: منصة أتمتة منخفضة البرمجة (n8n) تتكفل باستقبال الرسائل والتكاملات، بينما تتولى خدمة مصغرة للذكاء الاصطناعي مطورة بلغة Python/FastAPI تحويل الصوت إلى نص (Whisper large-v3 عبر Groq)، والاستخراج المهيكل بواسطة النماذج اللغوية الكبيرة (Gemini مع بديل Llama 3.3)، وإعادة الصياغة. وقد اتُبعت منهجية رشيقة من نوع Scrum مبسّط، منظمة في ثلاث دورات من أسبوعين. كما أُدمج في المنهجية اختبار مقارن لمحركات التعرف على الكلام بالدارجة لتبرير الاختيارات التقنية. وتُظهر النتائج الأولية سلسلة كاملة وعملية، من الرسالة الصوتية إلى رد التأكيد، في أقل من دقيقة. [يُستكمل: النتائج الرقمية للاختبار المقارن والتجربة الميدانية]</w:t>
      </w:r>
    </w:p>
    <w:p>
      <w:pPr>
        <w:bidi/>
      </w:pPr>
      <w:r>
        <w:rPr>
          <w:b/>
          <w:bCs/>
          <w:rtl/>
        </w:rPr>
        <w:t xml:space="preserve">الكلمات المفاتيح:</w:t>
      </w:r>
      <w:r>
        <w:rPr>
          <w:rtl/>
        </w:rPr>
        <w:t xml:space="preserve"> </w:t>
      </w:r>
      <w:r>
        <w:rPr>
          <w:rtl/>
        </w:rPr>
        <w:t xml:space="preserve">التعرف على الكلام، الدارجة، النماذج اللغوية الكبيرة، استخراج المعلومات، أتمتة سير العمل.</w:t>
      </w:r>
    </w:p>
    <w:p>
      <w:r>
        <w:br w:type="page"/>
      </w:r>
    </w:p>
    <w:bookmarkEnd w:id="12"/>
    <w:bookmarkStart w:id="13" w:name="table-des-matières"/>
    <w:p>
      <w:pPr>
        <w:pStyle w:val="Heading1"/>
      </w:pPr>
      <w:r>
        <w:t xml:space="preserve">Table des matières</w:t>
      </w:r>
    </w:p>
    <w:sdt>
      <w:sdtPr>
        <w:docPartObj>
          <w:docPartGallery w:val="Table of Contents"/>
          <w:docPartUnique/>
        </w:docPartObj>
      </w:sdtPr>
      <w:sdtContent>
        <w:p>
          <w:r>
            <w:fldChar w:fldCharType="begin" w:dirty="true"/>
          </w:r>
          <w:r>
            <w:instrText xml:space="preserve"> TOC \o "1-3" \h \z \u </w:instrText>
          </w:r>
          <w:r>
            <w:fldChar w:fldCharType="separate"/>
          </w:r>
          <w:r>
            <w:t>Ouvrir dans Word puis appuyer sur F9 pour générer la table des matières.</w:t>
          </w:r>
          <w:r>
            <w:fldChar w:fldCharType="end"/>
          </w:r>
        </w:p>
      </w:sdtContent>
    </w:sdt>
    <w:p>
      <w:r>
        <w:br w:type="page"/>
      </w:r>
    </w:p>
    <w:bookmarkEnd w:id="13"/>
    <w:bookmarkStart w:id="14" w:name="liste-des-figures"/>
    <w:p>
      <w:pPr>
        <w:pStyle w:val="Heading1"/>
      </w:pPr>
      <w:r>
        <w:t xml:space="preserve">Liste des figures</w:t>
      </w:r>
    </w:p>
    <w:p>
      <w:pPr>
        <w:pStyle w:val="FirstParagraph"/>
      </w:pPr>
      <w:r>
        <w:t xml:space="preserve">[À GÉNÉRER dans Word : Références → Insérer une table des illustrations (après avoir appliqué des légendes « Figure » via Références → Insérer une légende).]</w:t>
      </w:r>
    </w:p>
    <w:bookmarkEnd w:id="14"/>
    <w:bookmarkStart w:id="15" w:name="liste-des-tableaux"/>
    <w:p>
      <w:pPr>
        <w:pStyle w:val="Heading1"/>
      </w:pPr>
      <w:r>
        <w:t xml:space="preserve">Liste des tableaux</w:t>
      </w:r>
    </w:p>
    <w:p>
      <w:pPr>
        <w:pStyle w:val="FirstParagraph"/>
      </w:pPr>
      <w:r>
        <w:t xml:space="preserve">[À GÉNÉRER dans Word : Références → Insérer une table des illustrations, catégorie « Tableau ».]</w:t>
      </w:r>
    </w:p>
    <w:p>
      <w:r>
        <w:br w:type="page"/>
      </w:r>
    </w:p>
    <w:bookmarkEnd w:id="15"/>
    <w:bookmarkStart w:id="16" w:name="liste-des-abréviations-et-acronymes"/>
    <w:p>
      <w:pPr>
        <w:pStyle w:val="Heading1"/>
      </w:pPr>
      <w:r>
        <w:t xml:space="preserve">Liste des abréviations et acronymes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Acronyme</w:t>
            </w:r>
          </w:p>
        </w:tc>
        <w:tc>
          <w:tcPr/>
          <w:p>
            <w:pPr>
              <w:pStyle w:val="Compact"/>
            </w:pPr>
            <w:r>
              <w:t xml:space="preserve">Signification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CER</w:t>
            </w:r>
          </w:p>
        </w:tc>
        <w:tc>
          <w:tcPr/>
          <w:p>
            <w:pPr>
              <w:pStyle w:val="Compact"/>
            </w:pPr>
            <w:r>
              <w:t xml:space="preserve">Character Error Rate (taux d’erreur caractère)</w:t>
            </w:r>
          </w:p>
        </w:tc>
      </w:tr>
      <w:tr>
        <w:tc>
          <w:tcPr/>
          <w:p>
            <w:pPr>
              <w:pStyle w:val="Compact"/>
            </w:pPr>
            <w:r>
              <w:t xml:space="preserve">CSV</w:t>
            </w:r>
          </w:p>
        </w:tc>
        <w:tc>
          <w:tcPr/>
          <w:p>
            <w:pPr>
              <w:pStyle w:val="Compact"/>
            </w:pPr>
            <w:r>
              <w:t xml:space="preserve">Comma-Separated Values</w:t>
            </w:r>
          </w:p>
        </w:tc>
      </w:tr>
      <w:tr>
        <w:tc>
          <w:tcPr/>
          <w:p>
            <w:pPr>
              <w:pStyle w:val="Compact"/>
            </w:pPr>
            <w:r>
              <w:t xml:space="preserve">E2E</w:t>
            </w:r>
          </w:p>
        </w:tc>
        <w:tc>
          <w:tcPr/>
          <w:p>
            <w:pPr>
              <w:pStyle w:val="Compact"/>
            </w:pPr>
            <w:r>
              <w:t xml:space="preserve">End-to-End (de bout en bout)</w:t>
            </w:r>
          </w:p>
        </w:tc>
      </w:tr>
      <w:tr>
        <w:tc>
          <w:tcPr/>
          <w:p>
            <w:pPr>
              <w:pStyle w:val="Compact"/>
            </w:pPr>
            <w:r>
              <w:t xml:space="preserve">HTTP</w:t>
            </w:r>
          </w:p>
        </w:tc>
        <w:tc>
          <w:tcPr/>
          <w:p>
            <w:pPr>
              <w:pStyle w:val="Compact"/>
            </w:pPr>
            <w:r>
              <w:t xml:space="preserve">HyperText Transfer Protocol</w:t>
            </w:r>
          </w:p>
        </w:tc>
      </w:tr>
      <w:tr>
        <w:tc>
          <w:tcPr/>
          <w:p>
            <w:pPr>
              <w:pStyle w:val="Compact"/>
            </w:pPr>
            <w:r>
              <w:t xml:space="preserve">IA</w:t>
            </w:r>
          </w:p>
        </w:tc>
        <w:tc>
          <w:tcPr/>
          <w:p>
            <w:pPr>
              <w:pStyle w:val="Compact"/>
            </w:pPr>
            <w:r>
              <w:t xml:space="preserve">Intelligence Artificielle</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LLM</w:t>
            </w:r>
          </w:p>
        </w:tc>
        <w:tc>
          <w:tcPr/>
          <w:p>
            <w:pPr>
              <w:pStyle w:val="Compact"/>
            </w:pPr>
            <w:r>
              <w:t xml:space="preserve">Large Language Model (grand modèle de langage)</w:t>
            </w:r>
          </w:p>
        </w:tc>
      </w:tr>
      <w:tr>
        <w:tc>
          <w:tcPr/>
          <w:p>
            <w:pPr>
              <w:pStyle w:val="Compact"/>
            </w:pPr>
            <w:r>
              <w:t xml:space="preserve">MVP</w:t>
            </w:r>
          </w:p>
        </w:tc>
        <w:tc>
          <w:tcPr/>
          <w:p>
            <w:pPr>
              <w:pStyle w:val="Compact"/>
            </w:pPr>
            <w:r>
              <w:t xml:space="preserve">Minimum Viable Product (produit minimum viable)</w:t>
            </w:r>
          </w:p>
        </w:tc>
      </w:tr>
      <w:tr>
        <w:tc>
          <w:tcPr/>
          <w:p>
            <w:pPr>
              <w:pStyle w:val="Compact"/>
            </w:pPr>
            <w:r>
              <w:t xml:space="preserve">PFE</w:t>
            </w:r>
          </w:p>
        </w:tc>
        <w:tc>
          <w:tcPr/>
          <w:p>
            <w:pPr>
              <w:pStyle w:val="Compact"/>
            </w:pPr>
            <w:r>
              <w:t xml:space="preserve">Projet de Fin d’Études</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SMTP</w:t>
            </w:r>
          </w:p>
        </w:tc>
        <w:tc>
          <w:tcPr/>
          <w:p>
            <w:pPr>
              <w:pStyle w:val="Compact"/>
            </w:pPr>
            <w:r>
              <w:t xml:space="preserve">Simple Mail Transfer Protocol</w:t>
            </w:r>
          </w:p>
        </w:tc>
      </w:tr>
      <w:tr>
        <w:tc>
          <w:tcPr/>
          <w:p>
            <w:pPr>
              <w:pStyle w:val="Compact"/>
            </w:pPr>
            <w:r>
              <w:t xml:space="preserve">STT</w:t>
            </w:r>
          </w:p>
        </w:tc>
        <w:tc>
          <w:tcPr/>
          <w:p>
            <w:pPr>
              <w:pStyle w:val="Compact"/>
            </w:pPr>
            <w:r>
              <w:t xml:space="preserve">Speech-To-Text (transcription de la parole en texte)</w:t>
            </w:r>
          </w:p>
        </w:tc>
      </w:tr>
      <w:tr>
        <w:tc>
          <w:tcPr/>
          <w:p>
            <w:pPr>
              <w:pStyle w:val="Compact"/>
            </w:pPr>
            <w:r>
              <w:t xml:space="preserve">UML</w:t>
            </w:r>
          </w:p>
        </w:tc>
        <w:tc>
          <w:tcPr/>
          <w:p>
            <w:pPr>
              <w:pStyle w:val="Compact"/>
            </w:pPr>
            <w:r>
              <w:t xml:space="preserve">Unified Modeling Language</w:t>
            </w:r>
          </w:p>
        </w:tc>
      </w:tr>
      <w:tr>
        <w:tc>
          <w:tcPr/>
          <w:p>
            <w:pPr>
              <w:pStyle w:val="Compact"/>
            </w:pPr>
            <w:r>
              <w:t xml:space="preserve">WER</w:t>
            </w:r>
          </w:p>
        </w:tc>
        <w:tc>
          <w:tcPr/>
          <w:p>
            <w:pPr>
              <w:pStyle w:val="Compact"/>
            </w:pPr>
            <w:r>
              <w:t xml:space="preserve">Word Error Rate (taux d’erreur mot)</w:t>
            </w:r>
          </w:p>
        </w:tc>
      </w:tr>
    </w:tbl>
    <w:p>
      <w:r>
        <w:br w:type="page"/>
      </w:r>
    </w:p>
    <w:bookmarkEnd w:id="16"/>
    <w:bookmarkStart w:id="17" w:name="introduction-générale"/>
    <w:p>
      <w:pPr>
        <w:pStyle w:val="Heading1"/>
      </w:pPr>
      <w:r>
        <w:t xml:space="preserve">Introduction générale</w:t>
      </w:r>
    </w:p>
    <w:p>
      <w:pPr>
        <w:pStyle w:val="FirstParagraph"/>
      </w:pPr>
      <w:r>
        <w:rPr>
          <w:b/>
          <w:bCs/>
        </w:rPr>
        <w:t xml:space="preserve">Contexte.</w:t>
      </w:r>
      <w:r>
        <w:t xml:space="preserve"> </w:t>
      </w:r>
      <w:r>
        <w:t xml:space="preserve">La transformation numérique des métiers de terrain constitue aujourd’hui un enjeu majeur pour les entreprises de services techniques. Dans le domaine du câblage réseau et des infrastructures informatiques, les équipes passent leurs journées sur les chantiers, loin des outils bureautiques, et la remontée d’information vers l’encadrement reste un maillon faible : les comptes rendus d’activité sont transmis oralement, par messages dispersés ou sur papier, quand ils ne sont pas simplement omis. L’entreprise AZNET, spécialisée dans les infrastructures réseau, souhaite fiabiliser ce processus sans alourdir la charge administrative de ses techniciens, dont la langue de travail naturelle est l’arabe marocain (darija), souvent mêlé de vocabulaire technique français.</w:t>
      </w:r>
    </w:p>
    <w:p>
      <w:pPr>
        <w:pStyle w:val="BodyText"/>
      </w:pPr>
      <w:r>
        <w:rPr>
          <w:b/>
          <w:bCs/>
        </w:rPr>
        <w:t xml:space="preserve">Problématique.</w:t>
      </w:r>
      <w:r>
        <w:t xml:space="preserve"> </w:t>
      </w:r>
      <w:r>
        <w:t xml:space="preserve">Comment permettre à un technicien de chantier de produire, en moins de deux minutes et sans aucune saisie complexe, un rapport journalier structuré, exploitable par l’encadrement et archivé de manière centralisée ? La difficulté est triple : (1) le canal d’entrée doit être un outil que le technicien utilise déjà — la messagerie instantanée et la note vocale ; (2) la parole spontanée en darija, dialecte peu doté en ressources de reconnaissance vocale, doit être transcrite avec une fiabilité suffisante ; (3) le texte libre obtenu doit être transformé en données structurées normalisées (quantités, chantier, client, observations) sans invention d’informations.</w:t>
      </w:r>
    </w:p>
    <w:p>
      <w:pPr>
        <w:pStyle w:val="BodyText"/>
      </w:pPr>
      <w:r>
        <w:rPr>
          <w:b/>
          <w:bCs/>
        </w:rPr>
        <w:t xml:space="preserve">Objectifs.</w:t>
      </w:r>
      <w:r>
        <w:t xml:space="preserve"> </w:t>
      </w:r>
      <w:r>
        <w:t xml:space="preserve">Ce projet vise à concevoir et réaliser une chaîne de traitement complète : réception d’une note vocale via une messagerie instantanée, transcription automatique du darija, extraction des données métier par grands modèles de langage, reformulation en français professionnel, enregistrement dans un tableau de suivi Google Sheets et notification automatique des responsables. Un formulaire Web constitue le canal de saisie alternatif. Les choix de moteurs d’intelligence artificielle doivent être justifiés par un banc d’essai comparatif, et l’ensemble doit être réalisé sous une contrainte forte : un budget nul, en s’appuyant exclusivement sur les offres gratuites des fournisseurs.</w:t>
      </w:r>
    </w:p>
    <w:p>
      <w:pPr>
        <w:pStyle w:val="BodyText"/>
      </w:pPr>
      <w:r>
        <w:rPr>
          <w:b/>
          <w:bCs/>
        </w:rPr>
        <w:t xml:space="preserve">Méthodologie.</w:t>
      </w:r>
      <w:r>
        <w:t xml:space="preserve"> </w:t>
      </w:r>
      <w:r>
        <w:t xml:space="preserve">Le projet est conduit selon une démarche agile de type Scrum allégé : trois sprints de deux semaines, précédés d’une phase de cadrage et de neutralisation des risques d’intégration, avec démonstration à l’encadrant à chaque itération. L’architecture retenue est hybride : une plateforme d’orchestration low-code (n8n) pour les intégrations, et un microservice d’intelligence artificielle développé sur mesure (Python/FastAPI) pour le cœur algorithmique.</w:t>
      </w:r>
    </w:p>
    <w:p>
      <w:pPr>
        <w:pStyle w:val="BodyText"/>
      </w:pPr>
      <w:r>
        <w:rPr>
          <w:b/>
          <w:bCs/>
        </w:rPr>
        <w:t xml:space="preserve">Organisation du rapport.</w:t>
      </w:r>
      <w:r>
        <w:t xml:space="preserve"> </w:t>
      </w:r>
      <w:r>
        <w:t xml:space="preserve">Ce rapport s’articule en quatre chapitres. Le</w:t>
      </w:r>
      <w:r>
        <w:t xml:space="preserve"> </w:t>
      </w:r>
      <w:r>
        <w:rPr>
          <w:b/>
          <w:bCs/>
        </w:rPr>
        <w:t xml:space="preserve">chapitre 1</w:t>
      </w:r>
      <w:r>
        <w:t xml:space="preserve"> </w:t>
      </w:r>
      <w:r>
        <w:t xml:space="preserve">présente l’organisme d’accueil, l’étude de l’existant, la problématique, l’analyse des besoins et la démarche de conduite du projet. Le</w:t>
      </w:r>
      <w:r>
        <w:t xml:space="preserve"> </w:t>
      </w:r>
      <w:r>
        <w:rPr>
          <w:b/>
          <w:bCs/>
        </w:rPr>
        <w:t xml:space="preserve">chapitre 2</w:t>
      </w:r>
      <w:r>
        <w:t xml:space="preserve"> </w:t>
      </w:r>
      <w:r>
        <w:t xml:space="preserve">dresse un état de l’art de la reconnaissance vocale de l’arabe dialectal et de l’extraction structurée par grands modèles de langage, puis justifie les choix technologiques. Le</w:t>
      </w:r>
      <w:r>
        <w:t xml:space="preserve"> </w:t>
      </w:r>
      <w:r>
        <w:rPr>
          <w:b/>
          <w:bCs/>
        </w:rPr>
        <w:t xml:space="preserve">chapitre 3</w:t>
      </w:r>
      <w:r>
        <w:t xml:space="preserve"> </w:t>
      </w:r>
      <w:r>
        <w:t xml:space="preserve">détaille la conception de la solution : architecture générale, modèle de données, conception du service d’intelligence artificielle et du workflow d’orchestration. Le</w:t>
      </w:r>
      <w:r>
        <w:t xml:space="preserve"> </w:t>
      </w:r>
      <w:r>
        <w:rPr>
          <w:b/>
          <w:bCs/>
        </w:rPr>
        <w:t xml:space="preserve">chapitre 4</w:t>
      </w:r>
      <w:r>
        <w:t xml:space="preserve"> </w:t>
      </w:r>
      <w:r>
        <w:t xml:space="preserve">décrit la réalisation, les tests et les résultats obtenus. Une conclusion générale synthétise les contributions et ouvre les perspectives d’évolution.</w:t>
      </w:r>
    </w:p>
    <w:p>
      <w:r>
        <w:br w:type="page"/>
      </w:r>
    </w:p>
    <w:bookmarkEnd w:id="17"/>
    <w:bookmarkStart w:id="34" w:name="chapitre-1-contexte-général-du-projet"/>
    <w:p>
      <w:pPr>
        <w:pStyle w:val="Heading1"/>
      </w:pPr>
      <w:r>
        <w:t xml:space="preserve">Chapitre 1 : Contexte général du projet</w:t>
      </w:r>
    </w:p>
    <w:bookmarkStart w:id="18" w:name="introduction-du-chapitre"/>
    <w:p>
      <w:pPr>
        <w:pStyle w:val="Heading2"/>
      </w:pPr>
      <w:r>
        <w:t xml:space="preserve">1.1 Introduction du chapitre</w:t>
      </w:r>
    </w:p>
    <w:p>
      <w:pPr>
        <w:pStyle w:val="FirstParagraph"/>
      </w:pPr>
      <w:r>
        <w:t xml:space="preserve">Ce premier chapitre situe le projet dans son environnement. Il présente l’entreprise d’accueil, analyse le processus existant de remontée d’information et ses limites, formule la problématique, délimite le périmètre fonctionnel à partir du cahier des charges, puis décrit la méthodologie de conduite du projet et la gestion des risques.</w:t>
      </w:r>
    </w:p>
    <w:bookmarkEnd w:id="18"/>
    <w:bookmarkStart w:id="19" w:name="présentation-de-lorganisme-daccueil"/>
    <w:p>
      <w:pPr>
        <w:pStyle w:val="Heading2"/>
      </w:pPr>
      <w:r>
        <w:t xml:space="preserve">1.2 Présentation de l’organisme d’accueil</w:t>
      </w:r>
    </w:p>
    <w:p>
      <w:pPr>
        <w:pStyle w:val="FirstParagraph"/>
      </w:pPr>
      <w:r>
        <w:t xml:space="preserve">AZNET est une entreprise marocaine spécialisée dans les infrastructures réseau et le câblage informatique : pose de goulottes, tirage de câbles, raccordement de panneaux de brassage, équipement de bureaux et de salles techniques pour des clients professionnels. [À COMPLÉTER : fiche d’identité de l’entreprise — date de création, effectif, organigramme, références clients — à valider avec l’encadrant industriel.]</w:t>
      </w:r>
    </w:p>
    <w:p>
      <w:pPr>
        <w:pStyle w:val="BodyText"/>
      </w:pPr>
      <w:r>
        <w:t xml:space="preserve">Les équipes de techniciens interviennent quotidiennement sur plusieurs chantiers simultanés. Le suivi de l’avancement (quantités posées, zones terminées, incidents, besoins en matériel) conditionne directement la facturation, la planification et l’approvisionnement.</w:t>
      </w:r>
    </w:p>
    <w:bookmarkEnd w:id="19"/>
    <w:bookmarkStart w:id="23" w:name="étude-de-lexistant"/>
    <w:p>
      <w:pPr>
        <w:pStyle w:val="Heading2"/>
      </w:pPr>
      <w:r>
        <w:t xml:space="preserve">1.3 Étude de l’existant</w:t>
      </w:r>
    </w:p>
    <w:bookmarkStart w:id="20" w:name="processus-actuel"/>
    <w:p>
      <w:pPr>
        <w:pStyle w:val="Heading3"/>
      </w:pPr>
      <w:r>
        <w:t xml:space="preserve">1.3.1 Processus actuel</w:t>
      </w:r>
    </w:p>
    <w:p>
      <w:pPr>
        <w:pStyle w:val="FirstParagraph"/>
      </w:pPr>
      <w:r>
        <w:t xml:space="preserve">En fin de journée, chaque technicien rend compte de son activité de manière informelle : appel téléphonique au chef de chantier, message vocal ou textuel sur une messagerie personnelle, ou note manuscrite. Ces informations sont ensuite ressaisies — partiellement — par l’encadrement dans des tableaux de suivi.</w:t>
      </w:r>
    </w:p>
    <w:bookmarkEnd w:id="20"/>
    <w:bookmarkStart w:id="21" w:name="limites-identifiées"/>
    <w:p>
      <w:pPr>
        <w:pStyle w:val="Heading3"/>
      </w:pPr>
      <w:r>
        <w:t xml:space="preserve">1.3.2 Limites identifiées</w:t>
      </w:r>
    </w:p>
    <w:p>
      <w:pPr>
        <w:pStyle w:val="FirstParagraph"/>
      </w:pPr>
      <w:r>
        <w:t xml:space="preserve">Ce processus présente plusieurs faiblesses structurelles :</w:t>
      </w:r>
    </w:p>
    <w:p>
      <w:pPr>
        <w:pStyle w:val="Compact"/>
        <w:numPr>
          <w:ilvl w:val="0"/>
          <w:numId w:val="1001"/>
        </w:numPr>
      </w:pPr>
      <w:r>
        <w:rPr>
          <w:b/>
          <w:bCs/>
        </w:rPr>
        <w:t xml:space="preserve">Hétérogénéité</w:t>
      </w:r>
      <w:r>
        <w:t xml:space="preserve"> </w:t>
      </w:r>
      <w:r>
        <w:t xml:space="preserve">: chaque technicien rapporte à sa manière ; les quantités sont parfois absentes ou approximatives.</w:t>
      </w:r>
    </w:p>
    <w:p>
      <w:pPr>
        <w:pStyle w:val="Compact"/>
        <w:numPr>
          <w:ilvl w:val="0"/>
          <w:numId w:val="1001"/>
        </w:numPr>
      </w:pPr>
      <w:r>
        <w:rPr>
          <w:b/>
          <w:bCs/>
        </w:rPr>
        <w:t xml:space="preserve">Perte d’information</w:t>
      </w:r>
      <w:r>
        <w:t xml:space="preserve"> </w:t>
      </w:r>
      <w:r>
        <w:t xml:space="preserve">: les messages vocaux dispersés ne sont ni archivés ni centralisés ; l’historique d’un chantier est difficile à reconstituer.</w:t>
      </w:r>
    </w:p>
    <w:p>
      <w:pPr>
        <w:pStyle w:val="Compact"/>
        <w:numPr>
          <w:ilvl w:val="0"/>
          <w:numId w:val="1001"/>
        </w:numPr>
      </w:pPr>
      <w:r>
        <w:rPr>
          <w:b/>
          <w:bCs/>
        </w:rPr>
        <w:t xml:space="preserve">Double saisie</w:t>
      </w:r>
      <w:r>
        <w:t xml:space="preserve"> </w:t>
      </w:r>
      <w:r>
        <w:t xml:space="preserve">: l’encadrement retranscrit manuellement les informations, tâche chronophage et source d’erreurs.</w:t>
      </w:r>
    </w:p>
    <w:p>
      <w:pPr>
        <w:pStyle w:val="Compact"/>
        <w:numPr>
          <w:ilvl w:val="0"/>
          <w:numId w:val="1001"/>
        </w:numPr>
      </w:pPr>
      <w:r>
        <w:rPr>
          <w:b/>
          <w:bCs/>
        </w:rPr>
        <w:t xml:space="preserve">Latence</w:t>
      </w:r>
      <w:r>
        <w:t xml:space="preserve"> </w:t>
      </w:r>
      <w:r>
        <w:t xml:space="preserve">: les responsables ne disposent pas d’une vue consolidée le jour même.</w:t>
      </w:r>
    </w:p>
    <w:p>
      <w:pPr>
        <w:pStyle w:val="Compact"/>
        <w:numPr>
          <w:ilvl w:val="0"/>
          <w:numId w:val="1001"/>
        </w:numPr>
      </w:pPr>
      <w:r>
        <w:rPr>
          <w:b/>
          <w:bCs/>
        </w:rPr>
        <w:t xml:space="preserve">Barrière linguistique de l’écrit</w:t>
      </w:r>
      <w:r>
        <w:t xml:space="preserve"> </w:t>
      </w:r>
      <w:r>
        <w:t xml:space="preserve">: la rédaction d’un rapport écrit en français représente un effort important pour des techniciens dont la langue de travail orale est la darija ; l’oral est le canal naturel.</w:t>
      </w:r>
    </w:p>
    <w:bookmarkEnd w:id="21"/>
    <w:bookmarkStart w:id="22" w:name="Xe8b754e21acbb608b7f9b09048408126d3063b9"/>
    <w:p>
      <w:pPr>
        <w:pStyle w:val="Heading3"/>
      </w:pPr>
      <w:r>
        <w:t xml:space="preserve">1.3.3 Contrainte clé : l’expression orale en darija</w:t>
      </w:r>
    </w:p>
    <w:p>
      <w:pPr>
        <w:pStyle w:val="FirstParagraph"/>
      </w:pPr>
      <w:r>
        <w:t xml:space="preserve">Le point central de l’étude de l’existant est que la note vocale en arabe marocain — mêlée de termes techniques français (« goulotte », « panneau de brassage », « câble ») — est déjà le mode de communication spontané des équipes. Toute solution imposant une saisie structurée à la source serait rejetée par l’usage. La solution doit donc s’adapter au technicien, et non l’inverse.</w:t>
      </w:r>
    </w:p>
    <w:bookmarkEnd w:id="22"/>
    <w:bookmarkEnd w:id="23"/>
    <w:bookmarkStart w:id="24" w:name="problématique"/>
    <w:p>
      <w:pPr>
        <w:pStyle w:val="Heading2"/>
      </w:pPr>
      <w:r>
        <w:t xml:space="preserve">1.4 Problématique</w:t>
      </w:r>
    </w:p>
    <w:p>
      <w:pPr>
        <w:pStyle w:val="FirstParagraph"/>
      </w:pPr>
      <w:r>
        <w:t xml:space="preserve">La problématique se formule ainsi :</w:t>
      </w:r>
      <w:r>
        <w:t xml:space="preserve"> </w:t>
      </w:r>
      <w:r>
        <w:rPr>
          <w:b/>
          <w:bCs/>
        </w:rPr>
        <w:t xml:space="preserve">comment transformer automatiquement une note vocale spontanée en darija en un rapport journalier structuré, fiable et exploitable, en moins de deux minutes d’effort pour le technicien et sans budget logiciel ?</w:t>
      </w:r>
    </w:p>
    <w:p>
      <w:pPr>
        <w:pStyle w:val="BodyText"/>
      </w:pPr>
      <w:r>
        <w:t xml:space="preserve">Elle se décompose en trois verrous techniques :</w:t>
      </w:r>
    </w:p>
    <w:p>
      <w:pPr>
        <w:pStyle w:val="Compact"/>
        <w:numPr>
          <w:ilvl w:val="0"/>
          <w:numId w:val="1002"/>
        </w:numPr>
      </w:pPr>
      <w:r>
        <w:rPr>
          <w:b/>
          <w:bCs/>
        </w:rPr>
        <w:t xml:space="preserve">Transcription</w:t>
      </w:r>
      <w:r>
        <w:t xml:space="preserve"> </w:t>
      </w:r>
      <w:r>
        <w:t xml:space="preserve">: les moteurs de reconnaissance vocale sont majoritairement entraînés sur l’arabe standard moderne ; le darija est une langue peu dotée, au code-switching arabe/français fréquent.</w:t>
      </w:r>
    </w:p>
    <w:p>
      <w:pPr>
        <w:pStyle w:val="Compact"/>
        <w:numPr>
          <w:ilvl w:val="0"/>
          <w:numId w:val="1002"/>
        </w:numPr>
      </w:pPr>
      <w:r>
        <w:rPr>
          <w:b/>
          <w:bCs/>
        </w:rPr>
        <w:t xml:space="preserve">Structuration</w:t>
      </w:r>
      <w:r>
        <w:t xml:space="preserve"> </w:t>
      </w:r>
      <w:r>
        <w:t xml:space="preserve">: le texte transcrit est du langage libre ; il faut en extraire des champs normalisés (quantités numériques, noms de chantier et de client, observations) sans inventer de données absentes.</w:t>
      </w:r>
    </w:p>
    <w:p>
      <w:pPr>
        <w:pStyle w:val="Compact"/>
        <w:numPr>
          <w:ilvl w:val="0"/>
          <w:numId w:val="1002"/>
        </w:numPr>
      </w:pPr>
      <w:r>
        <w:rPr>
          <w:b/>
          <w:bCs/>
        </w:rPr>
        <w:t xml:space="preserve">Intégration</w:t>
      </w:r>
      <w:r>
        <w:t xml:space="preserve"> </w:t>
      </w:r>
      <w:r>
        <w:t xml:space="preserve">: la chaîne complète (messagerie, téléchargement du média, traitement IA, tableau de suivi, notifications) doit fonctionner de bout en bout de manière fiable et gratuite.</w:t>
      </w:r>
    </w:p>
    <w:bookmarkEnd w:id="24"/>
    <w:bookmarkStart w:id="28" w:name="analyse-des-besoins"/>
    <w:p>
      <w:pPr>
        <w:pStyle w:val="Heading2"/>
      </w:pPr>
      <w:r>
        <w:t xml:space="preserve">1.5 Analyse des besoins</w:t>
      </w:r>
    </w:p>
    <w:bookmarkStart w:id="25" w:name="besoins-fonctionnels"/>
    <w:p>
      <w:pPr>
        <w:pStyle w:val="Heading3"/>
      </w:pPr>
      <w:r>
        <w:t xml:space="preserve">1.5.1 Besoins fonctionnels</w:t>
      </w:r>
    </w:p>
    <w:p>
      <w:pPr>
        <w:pStyle w:val="FirstParagraph"/>
      </w:pPr>
      <w:r>
        <w:t xml:space="preserve">Le cahier des charges fourni par l’entreprise [Annexe A] définit les exigences suivantes :</w:t>
      </w:r>
    </w:p>
    <w:p>
      <w:pPr>
        <w:pStyle w:val="Compact"/>
        <w:numPr>
          <w:ilvl w:val="0"/>
          <w:numId w:val="1003"/>
        </w:numPr>
      </w:pPr>
      <w:r>
        <w:rPr>
          <w:b/>
          <w:bCs/>
        </w:rPr>
        <w:t xml:space="preserve">BF1 — Saisie vocale (prioritaire)</w:t>
      </w:r>
      <w:r>
        <w:t xml:space="preserve"> </w:t>
      </w:r>
      <w:r>
        <w:t xml:space="preserve">: le technicien envoie une note vocale en darija via une messagerie instantanée ; aucune autre action ne lui est demandée.</w:t>
      </w:r>
    </w:p>
    <w:p>
      <w:pPr>
        <w:pStyle w:val="Compact"/>
        <w:numPr>
          <w:ilvl w:val="0"/>
          <w:numId w:val="1003"/>
        </w:numPr>
      </w:pPr>
      <w:r>
        <w:rPr>
          <w:b/>
          <w:bCs/>
        </w:rPr>
        <w:t xml:space="preserve">BF2 — Saisie par formulaire (alternative)</w:t>
      </w:r>
      <w:r>
        <w:t xml:space="preserve"> </w:t>
      </w:r>
      <w:r>
        <w:t xml:space="preserve">: un formulaire Web simple (nom, chantier, texte libre ou champs standards) alimente le même traitement.</w:t>
      </w:r>
    </w:p>
    <w:p>
      <w:pPr>
        <w:pStyle w:val="Compact"/>
        <w:numPr>
          <w:ilvl w:val="0"/>
          <w:numId w:val="1003"/>
        </w:numPr>
      </w:pPr>
      <w:r>
        <w:rPr>
          <w:b/>
          <w:bCs/>
        </w:rPr>
        <w:t xml:space="preserve">BF3 — Transcription automatique</w:t>
      </w:r>
      <w:r>
        <w:t xml:space="preserve"> </w:t>
      </w:r>
      <w:r>
        <w:t xml:space="preserve">de l’audio en texte, avec prise en charge du darija et du mélange arabe/français.</w:t>
      </w:r>
    </w:p>
    <w:p>
      <w:pPr>
        <w:pStyle w:val="Compact"/>
        <w:numPr>
          <w:ilvl w:val="0"/>
          <w:numId w:val="1003"/>
        </w:numPr>
      </w:pPr>
      <w:r>
        <w:rPr>
          <w:b/>
          <w:bCs/>
        </w:rPr>
        <w:t xml:space="preserve">BF4 — Extraction automatique</w:t>
      </w:r>
      <w:r>
        <w:t xml:space="preserve"> </w:t>
      </w:r>
      <w:r>
        <w:t xml:space="preserve">des travaux réalisés et des quantités : date, heure, technicien, chantier, client, type d’activité, goulottes installées (m), câbles posés (m), bureaux terminés, panneaux raccordés, autres travaux, observations.</w:t>
      </w:r>
    </w:p>
    <w:p>
      <w:pPr>
        <w:pStyle w:val="Compact"/>
        <w:numPr>
          <w:ilvl w:val="0"/>
          <w:numId w:val="1003"/>
        </w:numPr>
      </w:pPr>
      <w:r>
        <w:rPr>
          <w:b/>
          <w:bCs/>
        </w:rPr>
        <w:t xml:space="preserve">BF5 — Reformulation</w:t>
      </w:r>
      <w:r>
        <w:t xml:space="preserve"> </w:t>
      </w:r>
      <w:r>
        <w:t xml:space="preserve">du rapport en français professionnel (résumé de 2 à 4 phrases).</w:t>
      </w:r>
    </w:p>
    <w:p>
      <w:pPr>
        <w:pStyle w:val="Compact"/>
        <w:numPr>
          <w:ilvl w:val="0"/>
          <w:numId w:val="1003"/>
        </w:numPr>
      </w:pPr>
      <w:r>
        <w:rPr>
          <w:b/>
          <w:bCs/>
        </w:rPr>
        <w:t xml:space="preserve">BF6 — Enregistrement</w:t>
      </w:r>
      <w:r>
        <w:t xml:space="preserve"> </w:t>
      </w:r>
      <w:r>
        <w:t xml:space="preserve">de chaque rapport comme une ligne d’un tableau Google Sheets structuré.</w:t>
      </w:r>
    </w:p>
    <w:p>
      <w:pPr>
        <w:pStyle w:val="Compact"/>
        <w:numPr>
          <w:ilvl w:val="0"/>
          <w:numId w:val="1003"/>
        </w:numPr>
      </w:pPr>
      <w:r>
        <w:rPr>
          <w:b/>
          <w:bCs/>
        </w:rPr>
        <w:t xml:space="preserve">BF7 — Notification</w:t>
      </w:r>
      <w:r>
        <w:t xml:space="preserve"> </w:t>
      </w:r>
      <w:r>
        <w:t xml:space="preserve">automatique du chef de chantier et du responsable technique (canal configurable : e-mail, messagerie, Microsoft Teams en option).</w:t>
      </w:r>
    </w:p>
    <w:p>
      <w:pPr>
        <w:pStyle w:val="Compact"/>
        <w:numPr>
          <w:ilvl w:val="0"/>
          <w:numId w:val="1003"/>
        </w:numPr>
      </w:pPr>
      <w:r>
        <w:rPr>
          <w:b/>
          <w:bCs/>
        </w:rPr>
        <w:t xml:space="preserve">BF8 — Confirmation</w:t>
      </w:r>
      <w:r>
        <w:t xml:space="preserve"> </w:t>
      </w:r>
      <w:r>
        <w:t xml:space="preserve">au technicien que son rapport a bien été traité.</w:t>
      </w:r>
    </w:p>
    <w:bookmarkEnd w:id="25"/>
    <w:bookmarkStart w:id="26" w:name="besoins-non-fonctionnels"/>
    <w:p>
      <w:pPr>
        <w:pStyle w:val="Heading3"/>
      </w:pPr>
      <w:r>
        <w:t xml:space="preserve">1.5.2 Besoins non fonctionnels</w:t>
      </w:r>
    </w:p>
    <w:p>
      <w:pPr>
        <w:pStyle w:val="Compact"/>
        <w:numPr>
          <w:ilvl w:val="0"/>
          <w:numId w:val="1004"/>
        </w:numPr>
      </w:pPr>
      <w:r>
        <w:rPr>
          <w:b/>
          <w:bCs/>
        </w:rPr>
        <w:t xml:space="preserve">BNF1 — Simplicité d’usage</w:t>
      </w:r>
      <w:r>
        <w:t xml:space="preserve"> </w:t>
      </w:r>
      <w:r>
        <w:t xml:space="preserve">: temps de soumission inférieur à deux minutes (indicateur du cahier des charges).</w:t>
      </w:r>
    </w:p>
    <w:p>
      <w:pPr>
        <w:pStyle w:val="Compact"/>
        <w:numPr>
          <w:ilvl w:val="0"/>
          <w:numId w:val="1004"/>
        </w:numPr>
      </w:pPr>
      <w:r>
        <w:rPr>
          <w:b/>
          <w:bCs/>
        </w:rPr>
        <w:t xml:space="preserve">BNF2 — Coût nul</w:t>
      </w:r>
      <w:r>
        <w:t xml:space="preserve"> </w:t>
      </w:r>
      <w:r>
        <w:t xml:space="preserve">: uniquement des offres gratuites (contrainte du projet) ; volumétrie faible (5 à 10 rapports/jour) compatible avec les quotas gratuits.</w:t>
      </w:r>
    </w:p>
    <w:p>
      <w:pPr>
        <w:pStyle w:val="Compact"/>
        <w:numPr>
          <w:ilvl w:val="0"/>
          <w:numId w:val="1004"/>
        </w:numPr>
      </w:pPr>
      <w:r>
        <w:rPr>
          <w:b/>
          <w:bCs/>
        </w:rPr>
        <w:t xml:space="preserve">BNF3 — Fiabilité</w:t>
      </w:r>
      <w:r>
        <w:t xml:space="preserve"> </w:t>
      </w:r>
      <w:r>
        <w:t xml:space="preserve">: aucune donnée inventée — tout champ absent de l’audio doit rester vide ; les transcriptions douteuses doivent être signalées plutôt que silencieusement acceptées.</w:t>
      </w:r>
    </w:p>
    <w:p>
      <w:pPr>
        <w:pStyle w:val="Compact"/>
        <w:numPr>
          <w:ilvl w:val="0"/>
          <w:numId w:val="1004"/>
        </w:numPr>
      </w:pPr>
      <w:r>
        <w:rPr>
          <w:b/>
          <w:bCs/>
        </w:rPr>
        <w:t xml:space="preserve">BNF4 — Latence</w:t>
      </w:r>
      <w:r>
        <w:t xml:space="preserve"> </w:t>
      </w:r>
      <w:r>
        <w:t xml:space="preserve">: traitement de bout en bout (note vocale → ligne Sheets) visé sous 60 secondes.</w:t>
      </w:r>
    </w:p>
    <w:p>
      <w:pPr>
        <w:pStyle w:val="Compact"/>
        <w:numPr>
          <w:ilvl w:val="0"/>
          <w:numId w:val="1004"/>
        </w:numPr>
      </w:pPr>
      <w:r>
        <w:rPr>
          <w:b/>
          <w:bCs/>
        </w:rPr>
        <w:t xml:space="preserve">BNF5 — Évolutivité</w:t>
      </w:r>
      <w:r>
        <w:t xml:space="preserve"> </w:t>
      </w:r>
      <w:r>
        <w:t xml:space="preserve">: moteurs d’IA interchangeables (patron d’architecture dédié) ; migration ultérieure possible vers une base de données et vers WhatsApp Business API en production.</w:t>
      </w:r>
    </w:p>
    <w:p>
      <w:pPr>
        <w:pStyle w:val="Compact"/>
        <w:numPr>
          <w:ilvl w:val="0"/>
          <w:numId w:val="1004"/>
        </w:numPr>
      </w:pPr>
      <w:r>
        <w:rPr>
          <w:b/>
          <w:bCs/>
        </w:rPr>
        <w:t xml:space="preserve">BNF6 — Sécurité</w:t>
      </w:r>
      <w:r>
        <w:t xml:space="preserve"> </w:t>
      </w:r>
      <w:r>
        <w:t xml:space="preserve">: secrets (jetons d’API) hors du code source ; validation stricte des entrées.</w:t>
      </w:r>
    </w:p>
    <w:bookmarkEnd w:id="26"/>
    <w:bookmarkStart w:id="27" w:name="priorisation-moscow"/>
    <w:p>
      <w:pPr>
        <w:pStyle w:val="Heading3"/>
      </w:pPr>
      <w:r>
        <w:t xml:space="preserve">1.5.3 Priorisation MoSCoW</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pPr>
            <w:r>
              <w:t xml:space="preserve">Priorité</w:t>
            </w:r>
          </w:p>
        </w:tc>
        <w:tc>
          <w:tcPr/>
          <w:p>
            <w:pPr>
              <w:pStyle w:val="Compact"/>
            </w:pPr>
            <w:r>
              <w:t xml:space="preserve">Périmètre</w:t>
            </w:r>
          </w:p>
        </w:tc>
      </w:tr>
      <w:tr>
        <w:tc>
          <w:tcPr/>
          <w:p>
            <w:pPr>
              <w:pStyle w:val="Compact"/>
            </w:pPr>
            <w:r>
              <w:rPr>
                <w:b/>
                <w:bCs/>
              </w:rPr>
              <w:t xml:space="preserve">Must</w:t>
            </w:r>
          </w:p>
        </w:tc>
        <w:tc>
          <w:tcPr/>
          <w:p>
            <w:pPr>
              <w:pStyle w:val="Compact"/>
            </w:pPr>
            <w:r>
              <w:t xml:space="preserve">Chaîne vocale complète (réception → transcription → extraction → résumé français → Sheets → notification e-mail) ; formulaire Web ; documentation d’installation ; guide utilisateur</w:t>
            </w:r>
          </w:p>
        </w:tc>
      </w:tr>
      <w:tr>
        <w:tc>
          <w:tcPr/>
          <w:p>
            <w:pPr>
              <w:pStyle w:val="Compact"/>
            </w:pPr>
            <w:r>
              <w:rPr>
                <w:b/>
                <w:bCs/>
              </w:rPr>
              <w:t xml:space="preserve">Should</w:t>
            </w:r>
          </w:p>
        </w:tc>
        <w:tc>
          <w:tcPr/>
          <w:p>
            <w:pPr>
              <w:pStyle w:val="Compact"/>
            </w:pPr>
            <w:r>
              <w:t xml:space="preserve">Tableau de bord de consultation ; chapitre de benchmark STT ; réponse de confirmation au technicien ; signalement des transcriptions douteuses</w:t>
            </w:r>
          </w:p>
        </w:tc>
      </w:tr>
      <w:tr>
        <w:tc>
          <w:tcPr/>
          <w:p>
            <w:pPr>
              <w:pStyle w:val="Compact"/>
            </w:pPr>
            <w:r>
              <w:rPr>
                <w:b/>
                <w:bCs/>
              </w:rPr>
              <w:t xml:space="preserve">Could</w:t>
            </w:r>
          </w:p>
        </w:tc>
        <w:tc>
          <w:tcPr/>
          <w:p>
            <w:pPr>
              <w:pStyle w:val="Compact"/>
            </w:pPr>
            <w:r>
              <w:t xml:space="preserve">Webhook Microsoft Teams ; deuxième vague de benchmark sur enregistrements réels ; document de migration base de données</w:t>
            </w:r>
          </w:p>
        </w:tc>
      </w:tr>
      <w:tr>
        <w:tc>
          <w:tcPr/>
          <w:p>
            <w:pPr>
              <w:pStyle w:val="Compact"/>
            </w:pPr>
            <w:r>
              <w:rPr>
                <w:b/>
                <w:bCs/>
              </w:rPr>
              <w:t xml:space="preserve">Won’t (ce PFE)</w:t>
            </w:r>
          </w:p>
        </w:tc>
        <w:tc>
          <w:tcPr/>
          <w:p>
            <w:pPr>
              <w:pStyle w:val="Compact"/>
            </w:pPr>
            <w:r>
              <w:t xml:space="preserve">Passage en production WhatsApp (validation Meta) ; application de bureau ; multi-entreprises</w:t>
            </w:r>
          </w:p>
        </w:tc>
      </w:tr>
    </w:tbl>
    <w:p>
      <w:pPr>
        <w:pStyle w:val="BodyText"/>
      </w:pPr>
      <w:r>
        <w:t xml:space="preserve">Tableau 1.1 : Priorisation MoSCoW du périmètre fonctionnel.</w:t>
      </w:r>
    </w:p>
    <w:bookmarkEnd w:id="27"/>
    <w:bookmarkEnd w:id="28"/>
    <w:bookmarkStart w:id="32" w:name="conduite-du-projet"/>
    <w:p>
      <w:pPr>
        <w:pStyle w:val="Heading2"/>
      </w:pPr>
      <w:r>
        <w:t xml:space="preserve">1.6 Conduite du projet</w:t>
      </w:r>
    </w:p>
    <w:bookmarkStart w:id="29" w:name="méthodologie-scrum-allégé"/>
    <w:p>
      <w:pPr>
        <w:pStyle w:val="Heading3"/>
      </w:pPr>
      <w:r>
        <w:t xml:space="preserve">1.6.1 Méthodologie : Scrum allégé</w:t>
      </w:r>
    </w:p>
    <w:p>
      <w:pPr>
        <w:pStyle w:val="FirstParagraph"/>
      </w:pPr>
      <w:r>
        <w:t xml:space="preserve">Le projet étant mené par un développeur unique avec un encadrant industriel jouant le rôle de</w:t>
      </w:r>
      <w:r>
        <w:t xml:space="preserve"> </w:t>
      </w:r>
      <w:r>
        <w:rPr>
          <w:i/>
          <w:iCs/>
        </w:rPr>
        <w:t xml:space="preserve">product owner</w:t>
      </w:r>
      <w:r>
        <w:t xml:space="preserve">, une méthode Scrum complète serait artificielle. Une déclinaison allégée est adoptée : backlog priorisé (GitHub Projects), sprints de deux semaines, démonstration à l’encadrant en fin de sprint, rétrospective individuelle. Cette approche conserve les bénéfices essentiels — itérations courtes, feedback régulier, priorisation explicite — sans le cérémonial d’équipe.</w:t>
      </w:r>
    </w:p>
    <w:bookmarkEnd w:id="29"/>
    <w:bookmarkStart w:id="30" w:name="planification"/>
    <w:p>
      <w:pPr>
        <w:pStyle w:val="Heading3"/>
      </w:pPr>
      <w:r>
        <w:t xml:space="preserve">1.6.2 Planification</w:t>
      </w:r>
    </w:p>
    <w:tbl>
      <w:tblPr>
        <w:tblStyle w:val="Table"/>
        <w:tblW w:type="pct" w:w="5000"/>
        <w:tblLayout w:type="fixed"/>
        <w:tblLook w:firstRow="1" w:lastRow="0" w:firstColumn="0" w:lastColumn="0" w:noHBand="0" w:noVBand="0" w:val="0020"/>
      </w:tblPr>
      <w:tblGrid>
        <w:gridCol w:w="1458"/>
        <w:gridCol w:w="1875"/>
        <w:gridCol w:w="4585"/>
      </w:tblGrid>
      <w:tr>
        <w:trPr>
          <w:tblHeader w:val="on"/>
        </w:trPr>
        <w:tc>
          <w:tcPr/>
          <w:p>
            <w:pPr>
              <w:pStyle w:val="Compact"/>
            </w:pPr>
            <w:r>
              <w:t xml:space="preserve">Phase</w:t>
            </w:r>
          </w:p>
        </w:tc>
        <w:tc>
          <w:tcPr/>
          <w:p>
            <w:pPr>
              <w:pStyle w:val="Compact"/>
            </w:pPr>
            <w:r>
              <w:t xml:space="preserve">Période</w:t>
            </w:r>
          </w:p>
        </w:tc>
        <w:tc>
          <w:tcPr/>
          <w:p>
            <w:pPr>
              <w:pStyle w:val="Compact"/>
            </w:pPr>
            <w:r>
              <w:t xml:space="preserve">Objectifs principaux</w:t>
            </w:r>
          </w:p>
        </w:tc>
      </w:tr>
      <w:tr>
        <w:tc>
          <w:tcPr/>
          <w:p>
            <w:pPr>
              <w:pStyle w:val="Compact"/>
            </w:pPr>
            <w:r>
              <w:t xml:space="preserve">Semaine 0 — Cadrage et neutralisation des risques</w:t>
            </w:r>
          </w:p>
        </w:tc>
        <w:tc>
          <w:tcPr/>
          <w:p>
            <w:pPr>
              <w:pStyle w:val="Compact"/>
            </w:pPr>
            <w:r>
              <w:t xml:space="preserve">15 – 19 juillet</w:t>
            </w:r>
          </w:p>
        </w:tc>
        <w:tc>
          <w:tcPr/>
          <w:p>
            <w:pPr>
              <w:pStyle w:val="Compact"/>
            </w:pPr>
            <w:r>
              <w:t xml:space="preserve">Création des comptes (Telegram, Google Cloud, Groq, Gemini, Hugging Face), squelette du dépôt, test de bout en bout du maillon le plus risqué (réception et téléchargement d’une note vocale), constitution du jeu de données de test</w:t>
            </w:r>
          </w:p>
        </w:tc>
      </w:tr>
      <w:tr>
        <w:tc>
          <w:tcPr/>
          <w:p>
            <w:pPr>
              <w:pStyle w:val="Compact"/>
            </w:pPr>
            <w:r>
              <w:t xml:space="preserve">Sprint 1 — Cœur IA et benchmark</w:t>
            </w:r>
          </w:p>
        </w:tc>
        <w:tc>
          <w:tcPr/>
          <w:p>
            <w:pPr>
              <w:pStyle w:val="Compact"/>
            </w:pPr>
            <w:r>
              <w:t xml:space="preserve">20 juillet – 1</w:t>
            </w:r>
            <w:r>
              <w:rPr>
                <w:vertAlign w:val="superscript"/>
              </w:rPr>
              <w:t xml:space="preserve">er</w:t>
            </w:r>
            <w:r>
              <w:t xml:space="preserve"> </w:t>
            </w:r>
            <w:r>
              <w:t xml:space="preserve">août</w:t>
            </w:r>
          </w:p>
        </w:tc>
        <w:tc>
          <w:tcPr/>
          <w:p>
            <w:pPr>
              <w:pStyle w:val="Compact"/>
            </w:pPr>
            <w:r>
              <w:t xml:space="preserve">Service FastAPI, interface d’adaptateurs STT, banc d’essai comparatif, extraction structurée et tests unitaires</w:t>
            </w:r>
          </w:p>
        </w:tc>
      </w:tr>
      <w:tr>
        <w:tc>
          <w:tcPr/>
          <w:p>
            <w:pPr>
              <w:pStyle w:val="Compact"/>
            </w:pPr>
            <w:r>
              <w:t xml:space="preserve">Sprint 2 — Chaîne complète et application Web</w:t>
            </w:r>
          </w:p>
        </w:tc>
        <w:tc>
          <w:tcPr/>
          <w:p>
            <w:pPr>
              <w:pStyle w:val="Compact"/>
            </w:pPr>
            <w:r>
              <w:t xml:space="preserve">3 – 14 août</w:t>
            </w:r>
          </w:p>
        </w:tc>
        <w:tc>
          <w:tcPr/>
          <w:p>
            <w:pPr>
              <w:pStyle w:val="Compact"/>
            </w:pPr>
            <w:r>
              <w:t xml:space="preserve">Workflow n8n complet (Sheets, notifications), formulaire React, tableau de bord v1, gestion des cas d’échec</w:t>
            </w:r>
          </w:p>
        </w:tc>
      </w:tr>
      <w:tr>
        <w:tc>
          <w:tcPr/>
          <w:p>
            <w:pPr>
              <w:pStyle w:val="Compact"/>
            </w:pPr>
            <w:r>
              <w:t xml:space="preserve">Sprint 3 — Pilote, documentation, rapport</w:t>
            </w:r>
          </w:p>
        </w:tc>
        <w:tc>
          <w:tcPr/>
          <w:p>
            <w:pPr>
              <w:pStyle w:val="Compact"/>
            </w:pPr>
            <w:r>
              <w:t xml:space="preserve">17 – 28 août</w:t>
            </w:r>
          </w:p>
        </w:tc>
        <w:tc>
          <w:tcPr/>
          <w:p>
            <w:pPr>
              <w:pStyle w:val="Compact"/>
            </w:pPr>
            <w:r>
              <w:t xml:space="preserve">Déploiement pilote, livrables documentaires du cahier des charges, rédaction finale, présentation et démonstration enregistrée</w:t>
            </w:r>
          </w:p>
        </w:tc>
      </w:tr>
      <w:tr>
        <w:tc>
          <w:tcPr/>
          <w:p>
            <w:pPr>
              <w:pStyle w:val="Compact"/>
            </w:pPr>
            <w:r>
              <w:t xml:space="preserve">Tampon</w:t>
            </w:r>
          </w:p>
        </w:tc>
        <w:tc>
          <w:tcPr/>
          <w:p>
            <w:pPr>
              <w:pStyle w:val="Compact"/>
            </w:pPr>
            <w:r>
              <w:t xml:space="preserve">28 – 31 août</w:t>
            </w:r>
          </w:p>
        </w:tc>
        <w:tc>
          <w:tcPr/>
          <w:p>
            <w:pPr>
              <w:pStyle w:val="Compact"/>
            </w:pPr>
            <w:r>
              <w:t xml:space="preserve">Finitions, répétition de la soutenance</w:t>
            </w:r>
          </w:p>
        </w:tc>
      </w:tr>
    </w:tbl>
    <w:p>
      <w:pPr>
        <w:pStyle w:val="BodyText"/>
      </w:pPr>
      <w:r>
        <w:t xml:space="preserve">Tableau 1.2 : Planning prévisionnel du projet.</w:t>
      </w:r>
    </w:p>
    <w:p>
      <w:pPr>
        <w:pStyle w:val="BodyText"/>
      </w:pPr>
      <w:r>
        <w:t xml:space="preserve">La rédaction du rapport est menée</w:t>
      </w:r>
      <w:r>
        <w:t xml:space="preserve"> </w:t>
      </w:r>
      <w:r>
        <w:rPr>
          <w:b/>
          <w:bCs/>
        </w:rPr>
        <w:t xml:space="preserve">en parallèle</w:t>
      </w:r>
      <w:r>
        <w:t xml:space="preserve"> </w:t>
      </w:r>
      <w:r>
        <w:t xml:space="preserve">des sprints (environ deux heures par jour à partir du Sprint 1) afin d’éviter l’effet tunnel d’une rédaction de dernière minute.</w:t>
      </w:r>
    </w:p>
    <w:bookmarkEnd w:id="30"/>
    <w:bookmarkStart w:id="31" w:name="gestion-des-risques"/>
    <w:p>
      <w:pPr>
        <w:pStyle w:val="Heading3"/>
      </w:pPr>
      <w:r>
        <w:t xml:space="preserve">1.6.3 Gestion des risques</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pPr>
            <w:r>
              <w:t xml:space="preserve">Risque</w:t>
            </w:r>
          </w:p>
        </w:tc>
        <w:tc>
          <w:tcPr/>
          <w:p>
            <w:pPr>
              <w:pStyle w:val="Compact"/>
            </w:pPr>
            <w:r>
              <w:t xml:space="preserve">Impact</w:t>
            </w:r>
          </w:p>
        </w:tc>
        <w:tc>
          <w:tcPr/>
          <w:p>
            <w:pPr>
              <w:pStyle w:val="Compact"/>
            </w:pPr>
            <w:r>
              <w:t xml:space="preserve">Mitigation</w:t>
            </w:r>
          </w:p>
        </w:tc>
      </w:tr>
      <w:tr>
        <w:tc>
          <w:tcPr/>
          <w:p>
            <w:pPr>
              <w:pStyle w:val="Compact"/>
            </w:pPr>
            <w:r>
              <w:t xml:space="preserve">Taux d’erreur de transcription du darija trop élevé sur tous les moteurs</w:t>
            </w:r>
          </w:p>
        </w:tc>
        <w:tc>
          <w:tcPr/>
          <w:p>
            <w:pPr>
              <w:pStyle w:val="Compact"/>
            </w:pPr>
            <w:r>
              <w:t xml:space="preserve">Fort</w:t>
            </w:r>
          </w:p>
        </w:tc>
        <w:tc>
          <w:tcPr/>
          <w:p>
            <w:pPr>
              <w:pStyle w:val="Compact"/>
            </w:pPr>
            <w:r>
              <w:t xml:space="preserve">Le modèle de langage corrige le bruit de transcription grâce au vocabulaire métier ; confirmation du résumé au technicien ; le formulaire Web reste un canal fiable</w:t>
            </w:r>
          </w:p>
        </w:tc>
      </w:tr>
      <w:tr>
        <w:tc>
          <w:tcPr/>
          <w:p>
            <w:pPr>
              <w:pStyle w:val="Compact"/>
            </w:pPr>
            <w:r>
              <w:t xml:space="preserve">Friction d’accès au canal de réception (politique de la plateforme)</w:t>
            </w:r>
          </w:p>
        </w:tc>
        <w:tc>
          <w:tcPr/>
          <w:p>
            <w:pPr>
              <w:pStyle w:val="Compact"/>
            </w:pPr>
            <w:r>
              <w:t xml:space="preserve">Fort</w:t>
            </w:r>
          </w:p>
        </w:tc>
        <w:tc>
          <w:tcPr/>
          <w:p>
            <w:pPr>
              <w:pStyle w:val="Compact"/>
            </w:pPr>
            <w:r>
              <w:t xml:space="preserve">Choix d’un canal sans processus d’approbation (cf. chapitre 2) ; conception indépendante du canal</w:t>
            </w:r>
          </w:p>
        </w:tc>
      </w:tr>
      <w:tr>
        <w:tc>
          <w:tcPr/>
          <w:p>
            <w:pPr>
              <w:pStyle w:val="Compact"/>
            </w:pPr>
            <w:r>
              <w:t xml:space="preserve">Quotas des offres gratuites</w:t>
            </w:r>
          </w:p>
        </w:tc>
        <w:tc>
          <w:tcPr/>
          <w:p>
            <w:pPr>
              <w:pStyle w:val="Compact"/>
            </w:pPr>
            <w:r>
              <w:t xml:space="preserve">Moyen</w:t>
            </w:r>
          </w:p>
        </w:tc>
        <w:tc>
          <w:tcPr/>
          <w:p>
            <w:pPr>
              <w:pStyle w:val="Compact"/>
            </w:pPr>
            <w:r>
              <w:t xml:space="preserve">Volumétrie très faible ; patron d’adaptateurs permettant de changer de fournisseur en quelques minutes</w:t>
            </w:r>
          </w:p>
        </w:tc>
      </w:tr>
      <w:tr>
        <w:tc>
          <w:tcPr/>
          <w:p>
            <w:pPr>
              <w:pStyle w:val="Compact"/>
            </w:pPr>
            <w:r>
              <w:t xml:space="preserve">Glissement de planning (développeur seul)</w:t>
            </w:r>
          </w:p>
        </w:tc>
        <w:tc>
          <w:tcPr/>
          <w:p>
            <w:pPr>
              <w:pStyle w:val="Compact"/>
            </w:pPr>
            <w:r>
              <w:t xml:space="preserve">Moyen</w:t>
            </w:r>
          </w:p>
        </w:tc>
        <w:tc>
          <w:tcPr/>
          <w:p>
            <w:pPr>
              <w:pStyle w:val="Compact"/>
            </w:pPr>
            <w:r>
              <w:t xml:space="preserve">Ordre de coupe explicite : tableau de bord → benchmark vague 2 → option Teams ; le cœur du périmètre Must est protégé</w:t>
            </w:r>
          </w:p>
        </w:tc>
      </w:tr>
    </w:tbl>
    <w:p>
      <w:pPr>
        <w:pStyle w:val="BodyText"/>
      </w:pPr>
      <w:r>
        <w:t xml:space="preserve">Tableau 1.3 : Registre des risques principaux.</w:t>
      </w:r>
    </w:p>
    <w:bookmarkEnd w:id="31"/>
    <w:bookmarkEnd w:id="32"/>
    <w:bookmarkStart w:id="33" w:name="conclusion-du-chapitre"/>
    <w:p>
      <w:pPr>
        <w:pStyle w:val="Heading2"/>
      </w:pPr>
      <w:r>
        <w:t xml:space="preserve">1.7 Conclusion du chapitre</w:t>
      </w:r>
    </w:p>
    <w:p>
      <w:pPr>
        <w:pStyle w:val="FirstParagraph"/>
      </w:pPr>
      <w:r>
        <w:t xml:space="preserve">Ce chapitre a établi le cadre du projet : un besoin métier réel — fiabiliser la remontée d’information des chantiers — contraint par l’usage (l’oral en darija), par le budget (offres gratuites uniquement) et par le calendrier (projet mené en sprints courts jusqu’à fin août). Le chapitre suivant examine l’état de l’art des deux verrous scientifiques du projet, la transcription du darija et l’extraction structurée par grands modèles de langage, et en déduit les choix technologiques.</w:t>
      </w:r>
    </w:p>
    <w:p>
      <w:r>
        <w:br w:type="page"/>
      </w:r>
    </w:p>
    <w:bookmarkEnd w:id="33"/>
    <w:bookmarkEnd w:id="34"/>
    <w:bookmarkStart w:id="49" w:name="Xa3be871949d6d48f66a4ff8424f6350a01ded69"/>
    <w:p>
      <w:pPr>
        <w:pStyle w:val="Heading1"/>
      </w:pPr>
      <w:r>
        <w:t xml:space="preserve">Chapitre 2 : État de l’art et étude technique</w:t>
      </w:r>
    </w:p>
    <w:bookmarkStart w:id="35" w:name="introduction-du-chapitre-1"/>
    <w:p>
      <w:pPr>
        <w:pStyle w:val="Heading2"/>
      </w:pPr>
      <w:r>
        <w:t xml:space="preserve">2.1 Introduction du chapitre</w:t>
      </w:r>
    </w:p>
    <w:p>
      <w:pPr>
        <w:pStyle w:val="FirstParagraph"/>
      </w:pPr>
      <w:r>
        <w:t xml:space="preserve">Ce chapitre passe en revue les fondements techniques du projet. Il examine d’abord la reconnaissance vocale de l’arabe dialectal marocain, puis l’extraction d’information structurée par grands modèles de langage. Il compare ensuite les plateformes d’orchestration et les canaux de messagerie envisageables, avant de synthétiser et de justifier les choix technologiques retenus.</w:t>
      </w:r>
    </w:p>
    <w:bookmarkEnd w:id="35"/>
    <w:bookmarkStart w:id="40" w:name="Xb0a003010259059e889bb8133d8de16559e7686"/>
    <w:p>
      <w:pPr>
        <w:pStyle w:val="Heading2"/>
      </w:pPr>
      <w:r>
        <w:t xml:space="preserve">2.2 Reconnaissance vocale de l’arabe dialectal</w:t>
      </w:r>
    </w:p>
    <w:bookmarkStart w:id="36" w:name="le-darija-une-langue-peu-dotée"/>
    <w:p>
      <w:pPr>
        <w:pStyle w:val="Heading3"/>
      </w:pPr>
      <w:r>
        <w:t xml:space="preserve">2.2.1 Le darija, une langue peu dotée</w:t>
      </w:r>
    </w:p>
    <w:p>
      <w:pPr>
        <w:pStyle w:val="FirstParagraph"/>
      </w:pPr>
      <w:r>
        <w:t xml:space="preserve">L’arabe marocain (darija) est la langue vernaculaire du Maroc. Il diffère sensiblement de l’arabe standard moderne (MSA) sur les plans phonologique, lexical et syntaxique, et se caractérise sur les chantiers par un</w:t>
      </w:r>
      <w:r>
        <w:t xml:space="preserve"> </w:t>
      </w:r>
      <w:r>
        <w:rPr>
          <w:i/>
          <w:iCs/>
        </w:rPr>
        <w:t xml:space="preserve">code-switching</w:t>
      </w:r>
      <w:r>
        <w:t xml:space="preserve"> </w:t>
      </w:r>
      <w:r>
        <w:t xml:space="preserve">permanent avec le français : les termes techniques (« goulotte », « câble », « panneau de brassage », « raccordement ») sont empruntés tels quels. Or les corpus d’entraînement des systèmes de reconnaissance vocale arabes sont dominés par le MSA ; le darija appartient à la catégorie des langues dites</w:t>
      </w:r>
      <w:r>
        <w:t xml:space="preserve"> </w:t>
      </w:r>
      <w:r>
        <w:rPr>
          <w:i/>
          <w:iCs/>
        </w:rPr>
        <w:t xml:space="preserve">low-resource</w:t>
      </w:r>
      <w:r>
        <w:t xml:space="preserve">, pour lesquelles les données annotées sont rares [1].</w:t>
      </w:r>
    </w:p>
    <w:bookmarkEnd w:id="36"/>
    <w:bookmarkStart w:id="37" w:name="les-modèles-de-bout-en-bout-whisper"/>
    <w:p>
      <w:pPr>
        <w:pStyle w:val="Heading3"/>
      </w:pPr>
      <w:r>
        <w:t xml:space="preserve">2.2.2 Les modèles de bout en bout : Whisper</w:t>
      </w:r>
    </w:p>
    <w:p>
      <w:pPr>
        <w:pStyle w:val="FirstParagraph"/>
      </w:pPr>
      <w:r>
        <w:t xml:space="preserve">L’approche dominante actuelle est le modèle de bout en bout entraîné par supervision massive et faiblement supervisée. Whisper, publié par OpenAI, est entraîné sur 680 000 heures d’audio multilingue et constitue la référence ouverte en robustesse multilingue [1]. Sa déclinaison</w:t>
      </w:r>
      <w:r>
        <w:t xml:space="preserve"> </w:t>
      </w:r>
      <w:r>
        <w:rPr>
          <w:i/>
          <w:iCs/>
        </w:rPr>
        <w:t xml:space="preserve">large-v3</w:t>
      </w:r>
      <w:r>
        <w:t xml:space="preserve"> </w:t>
      </w:r>
      <w:r>
        <w:t xml:space="preserve">prend en charge l’arabe ; ses performances sur les dialectes restent toutefois inférieures à celles obtenues sur le MSA, avec une tendance documentée à « normaliser » le dialecte vers l’arabe standard. Point favorable au cas d’usage : les emprunts français du vocabulaire du câblage sont souvent bien reconnus, précisément parce qu’ils appartiennent à une langue richement dotée.</w:t>
      </w:r>
    </w:p>
    <w:p>
      <w:pPr>
        <w:pStyle w:val="BodyText"/>
      </w:pPr>
      <w:r>
        <w:t xml:space="preserve">Whisper est accessible gratuitement à travers plusieurs fournisseurs d’inférence ; Groq propose une API d’inférence à très faible latence exposant</w:t>
      </w:r>
      <w:r>
        <w:t xml:space="preserve"> </w:t>
      </w:r>
      <w:r>
        <w:rPr>
          <w:i/>
          <w:iCs/>
        </w:rPr>
        <w:t xml:space="preserve">whisper-large-v3</w:t>
      </w:r>
      <w:r>
        <w:t xml:space="preserve"> </w:t>
      </w:r>
      <w:r>
        <w:t xml:space="preserve">avec une offre gratuite adaptée à une volumétrie de prototype [2].</w:t>
      </w:r>
    </w:p>
    <w:bookmarkEnd w:id="37"/>
    <w:bookmarkStart w:id="38" w:name="alternatives-évaluées"/>
    <w:p>
      <w:pPr>
        <w:pStyle w:val="Heading3"/>
      </w:pPr>
      <w:r>
        <w:t xml:space="preserve">2.2.3 Alternatives évaluées</w:t>
      </w:r>
    </w:p>
    <w:p>
      <w:pPr>
        <w:pStyle w:val="FirstParagraph"/>
      </w:pPr>
      <w:r>
        <w:t xml:space="preserve">Trois familles d’alternatives sont retenues pour le banc d’essai comparatif :</w:t>
      </w:r>
    </w:p>
    <w:p>
      <w:pPr>
        <w:pStyle w:val="Compact"/>
        <w:numPr>
          <w:ilvl w:val="0"/>
          <w:numId w:val="1005"/>
        </w:numPr>
      </w:pPr>
      <w:r>
        <w:rPr>
          <w:b/>
          <w:bCs/>
        </w:rPr>
        <w:t xml:space="preserve">Modèles multimodaux natifs</w:t>
      </w:r>
      <w:r>
        <w:t xml:space="preserve"> </w:t>
      </w:r>
      <w:r>
        <w:t xml:space="preserve">: les modèles Gemini de Google acceptent l’audio en entrée directe et peuvent transcrire en s’appuyant sur leur compréhension linguistique générale [3].</w:t>
      </w:r>
    </w:p>
    <w:p>
      <w:pPr>
        <w:pStyle w:val="Compact"/>
        <w:numPr>
          <w:ilvl w:val="0"/>
          <w:numId w:val="1005"/>
        </w:numPr>
      </w:pPr>
      <w:r>
        <w:rPr>
          <w:b/>
          <w:bCs/>
        </w:rPr>
        <w:t xml:space="preserve">Modèles affinés sur le darija</w:t>
      </w:r>
      <w:r>
        <w:t xml:space="preserve"> </w:t>
      </w:r>
      <w:r>
        <w:t xml:space="preserve">: la communauté Hugging Face publie des affinements (</w:t>
      </w:r>
      <w:r>
        <w:rPr>
          <w:i/>
          <w:iCs/>
        </w:rPr>
        <w:t xml:space="preserve">fine-tunes</w:t>
      </w:r>
      <w:r>
        <w:t xml:space="preserve">) de Whisper sur des corpus marocains, prometteurs mais de qualité variable et dépendants d’une API d’inférence gratuite moins fiable.</w:t>
      </w:r>
    </w:p>
    <w:p>
      <w:pPr>
        <w:pStyle w:val="Compact"/>
        <w:numPr>
          <w:ilvl w:val="0"/>
          <w:numId w:val="1005"/>
        </w:numPr>
      </w:pPr>
      <w:r>
        <w:rPr>
          <w:b/>
          <w:bCs/>
        </w:rPr>
        <w:t xml:space="preserve">Services propriétaires payants</w:t>
      </w:r>
      <w:r>
        <w:t xml:space="preserve"> </w:t>
      </w:r>
      <w:r>
        <w:t xml:space="preserve">(Azure Speech, AWS Transcribe) : exclus par la contrainte de budget nul.</w:t>
      </w:r>
    </w:p>
    <w:bookmarkEnd w:id="38"/>
    <w:bookmarkStart w:id="39" w:name="métriques-dévaluation"/>
    <w:p>
      <w:pPr>
        <w:pStyle w:val="Heading3"/>
      </w:pPr>
      <w:r>
        <w:t xml:space="preserve">2.2.4 Métriques d’évaluation</w:t>
      </w:r>
    </w:p>
    <w:p>
      <w:pPr>
        <w:pStyle w:val="FirstParagraph"/>
      </w:pPr>
      <w:r>
        <w:t xml:space="preserve">La qualité de transcription se mesure classiquement par le</w:t>
      </w:r>
      <w:r>
        <w:t xml:space="preserve"> </w:t>
      </w:r>
      <w:r>
        <w:rPr>
          <w:b/>
          <w:bCs/>
        </w:rPr>
        <w:t xml:space="preserve">WER</w:t>
      </w:r>
      <w:r>
        <w:t xml:space="preserve"> </w:t>
      </w:r>
      <w:r>
        <w:t xml:space="preserve">(</w:t>
      </w:r>
      <w:r>
        <w:rPr>
          <w:i/>
          <w:iCs/>
        </w:rPr>
        <w:t xml:space="preserve">Word Error Rate</w:t>
      </w:r>
      <w:r>
        <w:t xml:space="preserve">), proportion de mots insérés, supprimés ou substitués par rapport à une transcription de référence, et par le</w:t>
      </w:r>
      <w:r>
        <w:t xml:space="preserve"> </w:t>
      </w:r>
      <w:r>
        <w:rPr>
          <w:b/>
          <w:bCs/>
        </w:rPr>
        <w:t xml:space="preserve">CER</w:t>
      </w:r>
      <w:r>
        <w:t xml:space="preserve"> </w:t>
      </w:r>
      <w:r>
        <w:t xml:space="preserve">(</w:t>
      </w:r>
      <w:r>
        <w:rPr>
          <w:i/>
          <w:iCs/>
        </w:rPr>
        <w:t xml:space="preserve">Character Error Rate</w:t>
      </w:r>
      <w:r>
        <w:t xml:space="preserve">), plus tolérant aux variations orthographiques — pertinent pour le darija dont l’écriture n’est pas normalisée. Le projet complète ces métriques par une mesure applicative : la</w:t>
      </w:r>
      <w:r>
        <w:t xml:space="preserve"> </w:t>
      </w:r>
      <w:r>
        <w:rPr>
          <w:b/>
          <w:bCs/>
        </w:rPr>
        <w:t xml:space="preserve">justesse d’extraction en aval</w:t>
      </w:r>
      <w:r>
        <w:t xml:space="preserve">, c’est-à-dire la proportion de champs métier correctement extraits à partir de la transcription. C’est en effet cette mesure, et non le WER brut, qui reflète la valeur métier réelle.</w:t>
      </w:r>
    </w:p>
    <w:bookmarkEnd w:id="39"/>
    <w:bookmarkEnd w:id="40"/>
    <w:bookmarkStart w:id="44" w:name="Xb9a2307ab007d14c8ee8dfda3fae9d84ea631d0"/>
    <w:p>
      <w:pPr>
        <w:pStyle w:val="Heading2"/>
      </w:pPr>
      <w:r>
        <w:t xml:space="preserve">2.3 Extraction d’information structurée par grands modèles de langage</w:t>
      </w:r>
    </w:p>
    <w:bookmarkStart w:id="41" w:name="de-lextraction-classique-aux-llm"/>
    <w:p>
      <w:pPr>
        <w:pStyle w:val="Heading3"/>
      </w:pPr>
      <w:r>
        <w:t xml:space="preserve">2.3.1 De l’extraction classique aux LLM</w:t>
      </w:r>
    </w:p>
    <w:p>
      <w:pPr>
        <w:pStyle w:val="FirstParagraph"/>
      </w:pPr>
      <w:r>
        <w:t xml:space="preserve">L’extraction d’information (entités, quantités, relations) reposait classiquement sur des règles ou des modèles supervisés spécifiques. Les grands modèles de langage (LLM) ont déplacé ce paradigme : un modèle génératif correctement instruit extrait des champs arbitraires d’un texte libre sans entraînement dédié, y compris depuis un texte bruité — capacité déterminante ici, puisque la transcription du darija est imparfaite par nature. Le LLM joue alors un double rôle : extracteur de données et correcteur implicite du bruit de transcription, guidé par le vocabulaire métier fourni dans l’instruction.</w:t>
      </w:r>
    </w:p>
    <w:bookmarkEnd w:id="41"/>
    <w:bookmarkStart w:id="42" w:name="sorties-structurées-et-fiabilité"/>
    <w:p>
      <w:pPr>
        <w:pStyle w:val="Heading3"/>
      </w:pPr>
      <w:r>
        <w:t xml:space="preserve">2.3.2 Sorties structurées et fiabilité</w:t>
      </w:r>
    </w:p>
    <w:p>
      <w:pPr>
        <w:pStyle w:val="FirstParagraph"/>
      </w:pPr>
      <w:r>
        <w:t xml:space="preserve">Le risque principal des LLM est l’</w:t>
      </w:r>
      <w:r>
        <w:rPr>
          <w:b/>
          <w:bCs/>
        </w:rPr>
        <w:t xml:space="preserve">hallucination</w:t>
      </w:r>
      <w:r>
        <w:t xml:space="preserve"> </w:t>
      </w:r>
      <w:r>
        <w:t xml:space="preserve">: produire une donnée plausible mais absente de la source. Deux mécanismes le contiennent :</w:t>
      </w:r>
    </w:p>
    <w:p>
      <w:pPr>
        <w:pStyle w:val="Compact"/>
        <w:numPr>
          <w:ilvl w:val="0"/>
          <w:numId w:val="1006"/>
        </w:numPr>
      </w:pPr>
      <w:r>
        <w:rPr>
          <w:b/>
          <w:bCs/>
        </w:rPr>
        <w:t xml:space="preserve">La sortie structurée contrainte</w:t>
      </w:r>
      <w:r>
        <w:t xml:space="preserve"> </w:t>
      </w:r>
      <w:r>
        <w:t xml:space="preserve">: les API récentes permettent d’imposer un schéma JSON au modèle (fonctionnalité</w:t>
      </w:r>
      <w:r>
        <w:t xml:space="preserve"> </w:t>
      </w:r>
      <w:r>
        <w:rPr>
          <w:i/>
          <w:iCs/>
        </w:rPr>
        <w:t xml:space="preserve">structured output</w:t>
      </w:r>
      <w:r>
        <w:t xml:space="preserve"> </w:t>
      </w:r>
      <w:r>
        <w:t xml:space="preserve">de Gemini [3], mode JSON de Groq [2]), garantissant la forme de la réponse.</w:t>
      </w:r>
    </w:p>
    <w:p>
      <w:pPr>
        <w:pStyle w:val="Compact"/>
        <w:numPr>
          <w:ilvl w:val="0"/>
          <w:numId w:val="1006"/>
        </w:numPr>
      </w:pPr>
      <w:r>
        <w:rPr>
          <w:b/>
          <w:bCs/>
        </w:rPr>
        <w:t xml:space="preserve">La validation applicative</w:t>
      </w:r>
      <w:r>
        <w:t xml:space="preserve"> </w:t>
      </w:r>
      <w:r>
        <w:t xml:space="preserve">: côté service, chaque réponse est validée par un schéma de données strict (types, bornes) ; l’instruction impose la valeur nulle pour tout champ non mentionné, et la politique du projet interdit toute valeur inventée par défaut.</w:t>
      </w:r>
    </w:p>
    <w:bookmarkEnd w:id="42"/>
    <w:bookmarkStart w:id="43" w:name="modèles-candidats"/>
    <w:p>
      <w:pPr>
        <w:pStyle w:val="Heading3"/>
      </w:pPr>
      <w:r>
        <w:t xml:space="preserve">2.3.3 Modèles candidats</w:t>
      </w:r>
    </w:p>
    <w:p>
      <w:pPr>
        <w:pStyle w:val="FirstParagraph"/>
      </w:pPr>
      <w:r>
        <w:t xml:space="preserve">Sous contrainte d’offre gratuite, deux fournisseurs se distinguent :</w:t>
      </w:r>
      <w:r>
        <w:t xml:space="preserve"> </w:t>
      </w:r>
      <w:r>
        <w:rPr>
          <w:b/>
          <w:bCs/>
        </w:rPr>
        <w:t xml:space="preserve">Gemini</w:t>
      </w:r>
      <w:r>
        <w:t xml:space="preserve"> </w:t>
      </w:r>
      <w:r>
        <w:t xml:space="preserve">(Google AI Studio), doté d’une sortie structurée native et d’une forte qualité rédactionnelle en français pour la reformulation, et</w:t>
      </w:r>
      <w:r>
        <w:t xml:space="preserve"> </w:t>
      </w:r>
      <w:r>
        <w:rPr>
          <w:b/>
          <w:bCs/>
        </w:rPr>
        <w:t xml:space="preserve">Groq</w:t>
      </w:r>
      <w:r>
        <w:t xml:space="preserve">, qui sert des modèles ouverts (Llama 3.3 70B) en mode JSON avec une latence très faible. Plutôt que d’en choisir un seul, le projet les organise en</w:t>
      </w:r>
      <w:r>
        <w:t xml:space="preserve"> </w:t>
      </w:r>
      <w:r>
        <w:rPr>
          <w:b/>
          <w:bCs/>
        </w:rPr>
        <w:t xml:space="preserve">chaîne de repli</w:t>
      </w:r>
      <w:r>
        <w:t xml:space="preserve"> </w:t>
      </w:r>
      <w:r>
        <w:t xml:space="preserve">: moteur principal et moteur de secours, la défaillance des deux étant remontée comme une erreur explicite plutôt que masquée.</w:t>
      </w:r>
    </w:p>
    <w:bookmarkEnd w:id="43"/>
    <w:bookmarkEnd w:id="44"/>
    <w:bookmarkStart w:id="45" w:name="plateformes-dorchestration"/>
    <w:p>
      <w:pPr>
        <w:pStyle w:val="Heading2"/>
      </w:pPr>
      <w:r>
        <w:t xml:space="preserve">2.4 Plateformes d’orchestration</w:t>
      </w:r>
    </w:p>
    <w:p>
      <w:pPr>
        <w:pStyle w:val="FirstParagraph"/>
      </w:pPr>
      <w:r>
        <w:t xml:space="preserve">Le cahier des charges recommande n8n comme outil d’automatisation. L’étude comparative confirme ce choix :</w:t>
      </w:r>
    </w:p>
    <w:tbl>
      <w:tblPr>
        <w:tblStyle w:val="Table"/>
        <w:tblW w:type="pct" w:w="5000"/>
        <w:tblLayout w:type="fixed"/>
        <w:tblLook w:firstRow="1" w:lastRow="0" w:firstColumn="0" w:lastColumn="0" w:noHBand="0" w:noVBand="0" w:val="0020"/>
      </w:tblPr>
      <w:tblGrid>
        <w:gridCol w:w="1549"/>
        <w:gridCol w:w="860"/>
        <w:gridCol w:w="2582"/>
        <w:gridCol w:w="2926"/>
      </w:tblGrid>
      <w:tr>
        <w:trPr>
          <w:tblHeader w:val="on"/>
        </w:trPr>
        <w:tc>
          <w:tcPr/>
          <w:p>
            <w:pPr>
              <w:pStyle w:val="Compact"/>
            </w:pPr>
            <w:r>
              <w:t xml:space="preserve">Critère</w:t>
            </w:r>
          </w:p>
        </w:tc>
        <w:tc>
          <w:tcPr/>
          <w:p>
            <w:pPr>
              <w:pStyle w:val="Compact"/>
            </w:pPr>
            <w:r>
              <w:t xml:space="preserve">n8n</w:t>
            </w:r>
          </w:p>
        </w:tc>
        <w:tc>
          <w:tcPr/>
          <w:p>
            <w:pPr>
              <w:pStyle w:val="Compact"/>
            </w:pPr>
            <w:r>
              <w:t xml:space="preserve">Zapier / Make</w:t>
            </w:r>
          </w:p>
        </w:tc>
        <w:tc>
          <w:tcPr/>
          <w:p>
            <w:pPr>
              <w:pStyle w:val="Compact"/>
            </w:pPr>
            <w:r>
              <w:t xml:space="preserve">Code sur mesure</w:t>
            </w:r>
          </w:p>
        </w:tc>
      </w:tr>
      <w:tr>
        <w:tc>
          <w:tcPr/>
          <w:p>
            <w:pPr>
              <w:pStyle w:val="Compact"/>
            </w:pPr>
            <w:r>
              <w:t xml:space="preserve">Coût</w:t>
            </w:r>
          </w:p>
        </w:tc>
        <w:tc>
          <w:tcPr/>
          <w:p>
            <w:pPr>
              <w:pStyle w:val="Compact"/>
            </w:pPr>
            <w:r>
              <w:t xml:space="preserve">Gratuit (auto-hébergé, licence</w:t>
            </w:r>
            <w:r>
              <w:t xml:space="preserve"> </w:t>
            </w:r>
            <w:r>
              <w:rPr>
                <w:i/>
                <w:iCs/>
              </w:rPr>
              <w:t xml:space="preserve">fair-code</w:t>
            </w:r>
            <w:r>
              <w:t xml:space="preserve">)</w:t>
            </w:r>
          </w:p>
        </w:tc>
        <w:tc>
          <w:tcPr/>
          <w:p>
            <w:pPr>
              <w:pStyle w:val="Compact"/>
            </w:pPr>
            <w:r>
              <w:t xml:space="preserve">Quotas gratuits restrictifs</w:t>
            </w:r>
          </w:p>
        </w:tc>
        <w:tc>
          <w:tcPr/>
          <w:p>
            <w:pPr>
              <w:pStyle w:val="Compact"/>
            </w:pPr>
            <w:r>
              <w:t xml:space="preserve">Gratuit</w:t>
            </w:r>
          </w:p>
        </w:tc>
      </w:tr>
      <w:tr>
        <w:tc>
          <w:tcPr/>
          <w:p>
            <w:pPr>
              <w:pStyle w:val="Compact"/>
            </w:pPr>
            <w:r>
              <w:t xml:space="preserve">Hébergement</w:t>
            </w:r>
          </w:p>
        </w:tc>
        <w:tc>
          <w:tcPr/>
          <w:p>
            <w:pPr>
              <w:pStyle w:val="Compact"/>
            </w:pPr>
            <w:r>
              <w:t xml:space="preserve">Docker local ou serveur</w:t>
            </w:r>
          </w:p>
        </w:tc>
        <w:tc>
          <w:tcPr/>
          <w:p>
            <w:pPr>
              <w:pStyle w:val="Compact"/>
            </w:pPr>
            <w:r>
              <w:t xml:space="preserve">SaaS uniquement</w:t>
            </w:r>
          </w:p>
        </w:tc>
        <w:tc>
          <w:tcPr/>
          <w:p>
            <w:pPr>
              <w:pStyle w:val="Compact"/>
            </w:pPr>
            <w:r>
              <w:t xml:space="preserve">Au choix</w:t>
            </w:r>
          </w:p>
        </w:tc>
      </w:tr>
      <w:tr>
        <w:tc>
          <w:tcPr/>
          <w:p>
            <w:pPr>
              <w:pStyle w:val="Compact"/>
            </w:pPr>
            <w:r>
              <w:t xml:space="preserve">Intégrations (messageries, Sheets, e-mail)</w:t>
            </w:r>
          </w:p>
        </w:tc>
        <w:tc>
          <w:tcPr/>
          <w:p>
            <w:pPr>
              <w:pStyle w:val="Compact"/>
            </w:pPr>
            <w:r>
              <w:t xml:space="preserve">Natives</w:t>
            </w:r>
          </w:p>
        </w:tc>
        <w:tc>
          <w:tcPr/>
          <w:p>
            <w:pPr>
              <w:pStyle w:val="Compact"/>
            </w:pPr>
            <w:r>
              <w:t xml:space="preserve">Natives</w:t>
            </w:r>
          </w:p>
        </w:tc>
        <w:tc>
          <w:tcPr/>
          <w:p>
            <w:pPr>
              <w:pStyle w:val="Compact"/>
            </w:pPr>
            <w:r>
              <w:t xml:space="preserve">À développer</w:t>
            </w:r>
          </w:p>
        </w:tc>
      </w:tr>
      <w:tr>
        <w:tc>
          <w:tcPr/>
          <w:p>
            <w:pPr>
              <w:pStyle w:val="Compact"/>
            </w:pPr>
            <w:r>
              <w:t xml:space="preserve">Logique personnalisée</w:t>
            </w:r>
          </w:p>
        </w:tc>
        <w:tc>
          <w:tcPr/>
          <w:p>
            <w:pPr>
              <w:pStyle w:val="Compact"/>
            </w:pPr>
            <w:r>
              <w:t xml:space="preserve">Nœuds de code JavaScript</w:t>
            </w:r>
          </w:p>
        </w:tc>
        <w:tc>
          <w:tcPr/>
          <w:p>
            <w:pPr>
              <w:pStyle w:val="Compact"/>
            </w:pPr>
            <w:r>
              <w:t xml:space="preserve">Limitée</w:t>
            </w:r>
          </w:p>
        </w:tc>
        <w:tc>
          <w:tcPr/>
          <w:p>
            <w:pPr>
              <w:pStyle w:val="Compact"/>
            </w:pPr>
            <w:r>
              <w:t xml:space="preserve">Totale</w:t>
            </w:r>
          </w:p>
        </w:tc>
      </w:tr>
      <w:tr>
        <w:tc>
          <w:tcPr/>
          <w:p>
            <w:pPr>
              <w:pStyle w:val="Compact"/>
            </w:pPr>
            <w:r>
              <w:t xml:space="preserve">Valeur pédagogique / maintenance</w:t>
            </w:r>
          </w:p>
        </w:tc>
        <w:tc>
          <w:tcPr/>
          <w:p>
            <w:pPr>
              <w:pStyle w:val="Compact"/>
            </w:pPr>
            <w:r>
              <w:t xml:space="preserve">Workflows visuels documentables</w:t>
            </w:r>
          </w:p>
        </w:tc>
        <w:tc>
          <w:tcPr/>
          <w:p>
            <w:pPr>
              <w:pStyle w:val="Compact"/>
            </w:pPr>
            <w:r>
              <w:t xml:space="preserve">Boîte noire</w:t>
            </w:r>
          </w:p>
        </w:tc>
        <w:tc>
          <w:tcPr/>
          <w:p>
            <w:pPr>
              <w:pStyle w:val="Compact"/>
            </w:pPr>
            <w:r>
              <w:t xml:space="preserve">Coût de maintenance élevé</w:t>
            </w:r>
          </w:p>
        </w:tc>
      </w:tr>
    </w:tbl>
    <w:p>
      <w:pPr>
        <w:pStyle w:val="BodyText"/>
      </w:pPr>
      <w:r>
        <w:t xml:space="preserve">Tableau 2.1 : Comparaison des solutions d’orchestration.</w:t>
      </w:r>
    </w:p>
    <w:p>
      <w:pPr>
        <w:pStyle w:val="BodyText"/>
      </w:pPr>
      <w:r>
        <w:t xml:space="preserve">n8n auto-hébergé en Docker combine gratuité, intégrations prêtes à l’emploi et possibilité d’insérer du code JavaScript dans les workflows. Le choix architectural du projet — détaillé au chapitre 3 — est toutefois</w:t>
      </w:r>
      <w:r>
        <w:t xml:space="preserve"> </w:t>
      </w:r>
      <w:r>
        <w:rPr>
          <w:b/>
          <w:bCs/>
        </w:rPr>
        <w:t xml:space="preserve">hybride</w:t>
      </w:r>
      <w:r>
        <w:t xml:space="preserve"> </w:t>
      </w:r>
      <w:r>
        <w:t xml:space="preserve">: n8n orchestre les intégrations, mais le cœur IA est un microservice codé sur mesure, testable et versionné, ce qui répond à la fois au cahier des charges (workflow n8n documenté) et à l’exigence d’ingénierie du PFE.</w:t>
      </w:r>
    </w:p>
    <w:bookmarkEnd w:id="45"/>
    <w:bookmarkStart w:id="46" w:name="canal-de-réception-étude-comparative"/>
    <w:p>
      <w:pPr>
        <w:pStyle w:val="Heading2"/>
      </w:pPr>
      <w:r>
        <w:t xml:space="preserve">2.5 Canal de réception : étude comparative</w:t>
      </w:r>
    </w:p>
    <w:p>
      <w:pPr>
        <w:pStyle w:val="FirstParagraph"/>
      </w:pPr>
      <w:r>
        <w:t xml:space="preserve">Le cahier des charges cite WhatsApp Business API « ou passerelle équivalente ». L’étude pratique des deux principaux candidats a été déterminante pour le projet :</w:t>
      </w:r>
    </w:p>
    <w:tbl>
      <w:tblPr>
        <w:tblStyle w:val="Table"/>
        <w:tblW w:type="pct" w:w="5000"/>
        <w:tblLayout w:type="fixed"/>
        <w:tblLook w:firstRow="1" w:lastRow="0" w:firstColumn="0" w:lastColumn="0" w:noHBand="0" w:noVBand="0" w:val="0020"/>
      </w:tblPr>
      <w:tblGrid>
        <w:gridCol w:w="1250"/>
        <w:gridCol w:w="4168"/>
        <w:gridCol w:w="2501"/>
      </w:tblGrid>
      <w:tr>
        <w:trPr>
          <w:tblHeader w:val="on"/>
        </w:trPr>
        <w:tc>
          <w:tcPr/>
          <w:p>
            <w:pPr>
              <w:pStyle w:val="Compact"/>
            </w:pPr>
            <w:r>
              <w:t xml:space="preserve">Critère</w:t>
            </w:r>
          </w:p>
        </w:tc>
        <w:tc>
          <w:tcPr/>
          <w:p>
            <w:pPr>
              <w:pStyle w:val="Compact"/>
            </w:pPr>
            <w:r>
              <w:t xml:space="preserve">WhatsApp Business API (Meta)</w:t>
            </w:r>
          </w:p>
        </w:tc>
        <w:tc>
          <w:tcPr/>
          <w:p>
            <w:pPr>
              <w:pStyle w:val="Compact"/>
            </w:pPr>
            <w:r>
              <w:t xml:space="preserve">Telegram Bot API</w:t>
            </w:r>
          </w:p>
        </w:tc>
      </w:tr>
      <w:tr>
        <w:tc>
          <w:tcPr/>
          <w:p>
            <w:pPr>
              <w:pStyle w:val="Compact"/>
            </w:pPr>
            <w:r>
              <w:t xml:space="preserve">Processus d’accès</w:t>
            </w:r>
          </w:p>
        </w:tc>
        <w:tc>
          <w:tcPr/>
          <w:p>
            <w:pPr>
              <w:pStyle w:val="Compact"/>
            </w:pPr>
            <w:r>
              <w:t xml:space="preserve">Compte développeur Meta, application, validation d’entreprise pour la production</w:t>
            </w:r>
          </w:p>
        </w:tc>
        <w:tc>
          <w:tcPr/>
          <w:p>
            <w:pPr>
              <w:pStyle w:val="Compact"/>
            </w:pPr>
            <w:r>
              <w:t xml:space="preserve">Création d’un bot en une minute (BotFather)</w:t>
            </w:r>
          </w:p>
        </w:tc>
      </w:tr>
      <w:tr>
        <w:tc>
          <w:tcPr/>
          <w:p>
            <w:pPr>
              <w:pStyle w:val="Compact"/>
            </w:pPr>
            <w:r>
              <w:t xml:space="preserve">Jeton d’accès (mode test)</w:t>
            </w:r>
          </w:p>
        </w:tc>
        <w:tc>
          <w:tcPr/>
          <w:p>
            <w:pPr>
              <w:pStyle w:val="Compact"/>
            </w:pPr>
            <w:r>
              <w:t xml:space="preserve">Expiration toutes les 24 h</w:t>
            </w:r>
          </w:p>
        </w:tc>
        <w:tc>
          <w:tcPr/>
          <w:p>
            <w:pPr>
              <w:pStyle w:val="Compact"/>
            </w:pPr>
            <w:r>
              <w:t xml:space="preserve">Permanent</w:t>
            </w:r>
          </w:p>
        </w:tc>
      </w:tr>
      <w:tr>
        <w:tc>
          <w:tcPr/>
          <w:p>
            <w:pPr>
              <w:pStyle w:val="Compact"/>
            </w:pPr>
            <w:r>
              <w:t xml:space="preserve">Destinataires (mode test)</w:t>
            </w:r>
          </w:p>
        </w:tc>
        <w:tc>
          <w:tcPr/>
          <w:p>
            <w:pPr>
              <w:pStyle w:val="Compact"/>
            </w:pPr>
            <w:r>
              <w:t xml:space="preserve">Liste blanche limitée à 5 numéros</w:t>
            </w:r>
          </w:p>
        </w:tc>
        <w:tc>
          <w:tcPr/>
          <w:p>
            <w:pPr>
              <w:pStyle w:val="Compact"/>
            </w:pPr>
            <w:r>
              <w:t xml:space="preserve">Illimité</w:t>
            </w:r>
          </w:p>
        </w:tc>
      </w:tr>
      <w:tr>
        <w:tc>
          <w:tcPr/>
          <w:p>
            <w:pPr>
              <w:pStyle w:val="Compact"/>
            </w:pPr>
            <w:r>
              <w:t xml:space="preserve">Fenêtre de réponse</w:t>
            </w:r>
          </w:p>
        </w:tc>
        <w:tc>
          <w:tcPr/>
          <w:p>
            <w:pPr>
              <w:pStyle w:val="Compact"/>
            </w:pPr>
            <w:r>
              <w:t xml:space="preserve">24 h (au-delà : modèles de messages payants à faire approuver)</w:t>
            </w:r>
          </w:p>
        </w:tc>
        <w:tc>
          <w:tcPr/>
          <w:p>
            <w:pPr>
              <w:pStyle w:val="Compact"/>
            </w:pPr>
            <w:r>
              <w:t xml:space="preserve">Aucune restriction</w:t>
            </w:r>
          </w:p>
        </w:tc>
      </w:tr>
      <w:tr>
        <w:tc>
          <w:tcPr/>
          <w:p>
            <w:pPr>
              <w:pStyle w:val="Compact"/>
            </w:pPr>
            <w:r>
              <w:t xml:space="preserve">Réception des messages</w:t>
            </w:r>
          </w:p>
        </w:tc>
        <w:tc>
          <w:tcPr/>
          <w:p>
            <w:pPr>
              <w:pStyle w:val="Compact"/>
            </w:pPr>
            <w:r>
              <w:t xml:space="preserve">Webhook obligatoire (URL publique HTTPS + poignée de main de vérification)</w:t>
            </w:r>
          </w:p>
        </w:tc>
        <w:tc>
          <w:tcPr/>
          <w:p>
            <w:pPr>
              <w:pStyle w:val="Compact"/>
            </w:pPr>
            <w:r>
              <w:t xml:space="preserve">Webhook</w:t>
            </w:r>
            <w:r>
              <w:t xml:space="preserve"> </w:t>
            </w:r>
            <w:r>
              <w:rPr>
                <w:b/>
                <w:bCs/>
              </w:rPr>
              <w:t xml:space="preserve">ou</w:t>
            </w:r>
            <w:r>
              <w:t xml:space="preserve"> </w:t>
            </w:r>
            <w:r>
              <w:t xml:space="preserve">interrogation périodique (</w:t>
            </w:r>
            <w:r>
              <w:rPr>
                <w:i/>
                <w:iCs/>
              </w:rPr>
              <w:t xml:space="preserve">long polling</w:t>
            </w:r>
            <w:r>
              <w:t xml:space="preserve">), compatible avec un poste de développement sans exposition publique</w:t>
            </w:r>
          </w:p>
        </w:tc>
      </w:tr>
      <w:tr>
        <w:tc>
          <w:tcPr/>
          <w:p>
            <w:pPr>
              <w:pStyle w:val="Compact"/>
            </w:pPr>
            <w:r>
              <w:t xml:space="preserve">Coût</w:t>
            </w:r>
          </w:p>
        </w:tc>
        <w:tc>
          <w:tcPr/>
          <w:p>
            <w:pPr>
              <w:pStyle w:val="Compact"/>
            </w:pPr>
            <w:r>
              <w:t xml:space="preserve">Gratuit en test, conversations facturées en production</w:t>
            </w:r>
          </w:p>
        </w:tc>
        <w:tc>
          <w:tcPr/>
          <w:p>
            <w:pPr>
              <w:pStyle w:val="Compact"/>
            </w:pPr>
            <w:r>
              <w:t xml:space="preserve">Gratuit</w:t>
            </w:r>
          </w:p>
        </w:tc>
      </w:tr>
      <w:tr>
        <w:tc>
          <w:tcPr/>
          <w:p>
            <w:pPr>
              <w:pStyle w:val="Compact"/>
            </w:pPr>
            <w:r>
              <w:t xml:space="preserve">Adoption par le public cible</w:t>
            </w:r>
          </w:p>
        </w:tc>
        <w:tc>
          <w:tcPr/>
          <w:p>
            <w:pPr>
              <w:pStyle w:val="Compact"/>
            </w:pPr>
            <w:r>
              <w:t xml:space="preserve">Très forte au Maroc</w:t>
            </w:r>
          </w:p>
        </w:tc>
        <w:tc>
          <w:tcPr/>
          <w:p>
            <w:pPr>
              <w:pStyle w:val="Compact"/>
            </w:pPr>
            <w:r>
              <w:t xml:space="preserve">Moyenne</w:t>
            </w:r>
          </w:p>
        </w:tc>
      </w:tr>
    </w:tbl>
    <w:p>
      <w:pPr>
        <w:pStyle w:val="BodyText"/>
      </w:pPr>
      <w:r>
        <w:t xml:space="preserve">Tableau 2.2 : Comparaison des canaux de réception.</w:t>
      </w:r>
    </w:p>
    <w:p>
      <w:pPr>
        <w:pStyle w:val="BodyText"/>
      </w:pPr>
      <w:r>
        <w:t xml:space="preserve">En phase de développement, les contraintes du mode test de Meta (jetons expirant quotidiennement, liste blanche de cinq numéros, webhook public obligatoire) consommaient un temps disproportionné. Le projet a donc basculé vers</w:t>
      </w:r>
      <w:r>
        <w:t xml:space="preserve"> </w:t>
      </w:r>
      <w:r>
        <w:rPr>
          <w:b/>
          <w:bCs/>
        </w:rPr>
        <w:t xml:space="preserve">Telegram</w:t>
      </w:r>
      <w:r>
        <w:t xml:space="preserve"> </w:t>
      </w:r>
      <w:r>
        <w:t xml:space="preserve">pour le développement et le pilote — décision couverte par la clause « passerelle équivalente » du cahier des charges. La conception étant</w:t>
      </w:r>
      <w:r>
        <w:t xml:space="preserve"> </w:t>
      </w:r>
      <w:r>
        <w:rPr>
          <w:b/>
          <w:bCs/>
        </w:rPr>
        <w:t xml:space="preserve">indépendante du canal</w:t>
      </w:r>
      <w:r>
        <w:t xml:space="preserve"> </w:t>
      </w:r>
      <w:r>
        <w:t xml:space="preserve">(seule la couche de réception n8n change, le service IA restant inchangé), la migration vers WhatsApp Business API est documentée comme évolution de production et ne remet aucun composant en cause.</w:t>
      </w:r>
    </w:p>
    <w:bookmarkEnd w:id="46"/>
    <w:bookmarkStart w:id="47" w:name="synthèse-des-choix-technologiques"/>
    <w:p>
      <w:pPr>
        <w:pStyle w:val="Heading2"/>
      </w:pPr>
      <w:r>
        <w:t xml:space="preserve">2.6 Synthèse des choix technologiques</w:t>
      </w:r>
    </w:p>
    <w:tbl>
      <w:tblPr>
        <w:tblStyle w:val="Table"/>
        <w:tblW w:type="pct" w:w="5000"/>
        <w:tblLayout w:type="fixed"/>
        <w:tblLook w:firstRow="1" w:lastRow="0" w:firstColumn="0" w:lastColumn="0" w:noHBand="0" w:noVBand="0" w:val="0020"/>
      </w:tblPr>
      <w:tblGrid>
        <w:gridCol w:w="1712"/>
        <w:gridCol w:w="1498"/>
        <w:gridCol w:w="4709"/>
      </w:tblGrid>
      <w:tr>
        <w:trPr>
          <w:tblHeader w:val="on"/>
        </w:trPr>
        <w:tc>
          <w:tcPr/>
          <w:p>
            <w:pPr>
              <w:pStyle w:val="Compact"/>
            </w:pPr>
            <w:r>
              <w:t xml:space="preserve">Besoin</w:t>
            </w:r>
          </w:p>
        </w:tc>
        <w:tc>
          <w:tcPr/>
          <w:p>
            <w:pPr>
              <w:pStyle w:val="Compact"/>
            </w:pPr>
            <w:r>
              <w:t xml:space="preserve">Choix</w:t>
            </w:r>
          </w:p>
        </w:tc>
        <w:tc>
          <w:tcPr/>
          <w:p>
            <w:pPr>
              <w:pStyle w:val="Compact"/>
            </w:pPr>
            <w:r>
              <w:t xml:space="preserve">Justification résumée</w:t>
            </w:r>
          </w:p>
        </w:tc>
      </w:tr>
      <w:tr>
        <w:tc>
          <w:tcPr/>
          <w:p>
            <w:pPr>
              <w:pStyle w:val="Compact"/>
            </w:pPr>
            <w:r>
              <w:t xml:space="preserve">Canal de réception</w:t>
            </w:r>
          </w:p>
        </w:tc>
        <w:tc>
          <w:tcPr/>
          <w:p>
            <w:pPr>
              <w:pStyle w:val="Compact"/>
            </w:pPr>
            <w:r>
              <w:t xml:space="preserve">Telegram Bot API</w:t>
            </w:r>
          </w:p>
        </w:tc>
        <w:tc>
          <w:tcPr/>
          <w:p>
            <w:pPr>
              <w:pStyle w:val="Compact"/>
            </w:pPr>
            <w:r>
              <w:t xml:space="preserve">Gratuit, sans approbation, jeton permanent,</w:t>
            </w:r>
            <w:r>
              <w:t xml:space="preserve"> </w:t>
            </w:r>
            <w:r>
              <w:rPr>
                <w:i/>
                <w:iCs/>
              </w:rPr>
              <w:t xml:space="preserve">polling</w:t>
            </w:r>
            <w:r>
              <w:t xml:space="preserve"> </w:t>
            </w:r>
            <w:r>
              <w:t xml:space="preserve">possible en local</w:t>
            </w:r>
          </w:p>
        </w:tc>
      </w:tr>
      <w:tr>
        <w:tc>
          <w:tcPr/>
          <w:p>
            <w:pPr>
              <w:pStyle w:val="Compact"/>
            </w:pPr>
            <w:r>
              <w:t xml:space="preserve">Orchestration</w:t>
            </w:r>
          </w:p>
        </w:tc>
        <w:tc>
          <w:tcPr/>
          <w:p>
            <w:pPr>
              <w:pStyle w:val="Compact"/>
            </w:pPr>
            <w:r>
              <w:t xml:space="preserve">n8n (Docker, auto-hébergé)</w:t>
            </w:r>
          </w:p>
        </w:tc>
        <w:tc>
          <w:tcPr/>
          <w:p>
            <w:pPr>
              <w:pStyle w:val="Compact"/>
            </w:pPr>
            <w:r>
              <w:t xml:space="preserve">Recommandé par le cahier des charges, gratuit, intégrations natives</w:t>
            </w:r>
          </w:p>
        </w:tc>
      </w:tr>
      <w:tr>
        <w:tc>
          <w:tcPr/>
          <w:p>
            <w:pPr>
              <w:pStyle w:val="Compact"/>
            </w:pPr>
            <w:r>
              <w:t xml:space="preserve">Transcription</w:t>
            </w:r>
          </w:p>
        </w:tc>
        <w:tc>
          <w:tcPr/>
          <w:p>
            <w:pPr>
              <w:pStyle w:val="Compact"/>
            </w:pPr>
            <w:r>
              <w:t xml:space="preserve">Whisper large-v3 via Groq (par défaut), Gemini et affinement darija en benchmark</w:t>
            </w:r>
          </w:p>
        </w:tc>
        <w:tc>
          <w:tcPr/>
          <w:p>
            <w:pPr>
              <w:pStyle w:val="Compact"/>
            </w:pPr>
            <w:r>
              <w:t xml:space="preserve">Référence robuste multilingue ; choix final arbitré par le banc d’essai</w:t>
            </w:r>
          </w:p>
        </w:tc>
      </w:tr>
      <w:tr>
        <w:tc>
          <w:tcPr/>
          <w:p>
            <w:pPr>
              <w:pStyle w:val="Compact"/>
            </w:pPr>
            <w:r>
              <w:t xml:space="preserve">Extraction / reformulation</w:t>
            </w:r>
          </w:p>
        </w:tc>
        <w:tc>
          <w:tcPr/>
          <w:p>
            <w:pPr>
              <w:pStyle w:val="Compact"/>
            </w:pPr>
            <w:r>
              <w:t xml:space="preserve">Gemini (principal) + Llama 3.3 via Groq (repli)</w:t>
            </w:r>
          </w:p>
        </w:tc>
        <w:tc>
          <w:tcPr/>
          <w:p>
            <w:pPr>
              <w:pStyle w:val="Compact"/>
            </w:pPr>
            <w:r>
              <w:t xml:space="preserve">Sortie structurée native ; chaîne de repli explicite</w:t>
            </w:r>
          </w:p>
        </w:tc>
      </w:tr>
      <w:tr>
        <w:tc>
          <w:tcPr/>
          <w:p>
            <w:pPr>
              <w:pStyle w:val="Compact"/>
            </w:pPr>
            <w:r>
              <w:t xml:space="preserve">Service IA</w:t>
            </w:r>
          </w:p>
        </w:tc>
        <w:tc>
          <w:tcPr/>
          <w:p>
            <w:pPr>
              <w:pStyle w:val="Compact"/>
            </w:pPr>
            <w:r>
              <w:t xml:space="preserve">Python / FastAPI</w:t>
            </w:r>
          </w:p>
        </w:tc>
        <w:tc>
          <w:tcPr/>
          <w:p>
            <w:pPr>
              <w:pStyle w:val="Compact"/>
            </w:pPr>
            <w:r>
              <w:t xml:space="preserve">Écosystème IA, validation Pydantic, tests, documentation OpenAPI automatique</w:t>
            </w:r>
          </w:p>
        </w:tc>
      </w:tr>
      <w:tr>
        <w:tc>
          <w:tcPr/>
          <w:p>
            <w:pPr>
              <w:pStyle w:val="Compact"/>
            </w:pPr>
            <w:r>
              <w:t xml:space="preserve">Interface Web</w:t>
            </w:r>
          </w:p>
        </w:tc>
        <w:tc>
          <w:tcPr/>
          <w:p>
            <w:pPr>
              <w:pStyle w:val="Compact"/>
            </w:pPr>
            <w:r>
              <w:t xml:space="preserve">React (TypeScript)</w:t>
            </w:r>
          </w:p>
        </w:tc>
        <w:tc>
          <w:tcPr/>
          <w:p>
            <w:pPr>
              <w:pStyle w:val="Compact"/>
            </w:pPr>
            <w:r>
              <w:t xml:space="preserve">Standard industriel, hébergement gratuit (Vercel)</w:t>
            </w:r>
          </w:p>
        </w:tc>
      </w:tr>
      <w:tr>
        <w:tc>
          <w:tcPr/>
          <w:p>
            <w:pPr>
              <w:pStyle w:val="Compact"/>
            </w:pPr>
            <w:r>
              <w:t xml:space="preserve">Stockage</w:t>
            </w:r>
          </w:p>
        </w:tc>
        <w:tc>
          <w:tcPr/>
          <w:p>
            <w:pPr>
              <w:pStyle w:val="Compact"/>
            </w:pPr>
            <w:r>
              <w:t xml:space="preserve">Google Sheets</w:t>
            </w:r>
          </w:p>
        </w:tc>
        <w:tc>
          <w:tcPr/>
          <w:p>
            <w:pPr>
              <w:pStyle w:val="Compact"/>
            </w:pPr>
            <w:r>
              <w:t xml:space="preserve">Imposé par le cahier des charges (MVP) ; évolution base de données documentée</w:t>
            </w:r>
          </w:p>
        </w:tc>
      </w:tr>
    </w:tbl>
    <w:p>
      <w:pPr>
        <w:pStyle w:val="BodyText"/>
      </w:pPr>
      <w:r>
        <w:t xml:space="preserve">Tableau 2.3 : Récapitulatif des choix technologiques.</w:t>
      </w:r>
    </w:p>
    <w:bookmarkEnd w:id="47"/>
    <w:bookmarkStart w:id="48" w:name="conclusion-du-chapitre-1"/>
    <w:p>
      <w:pPr>
        <w:pStyle w:val="Heading2"/>
      </w:pPr>
      <w:r>
        <w:t xml:space="preserve">2.7 Conclusion du chapitre</w:t>
      </w:r>
    </w:p>
    <w:p>
      <w:pPr>
        <w:pStyle w:val="FirstParagraph"/>
      </w:pPr>
      <w:r>
        <w:t xml:space="preserve">L’état de l’art confirme la faisabilité du projet sous ses contraintes : Whisper fournit une base de transcription multilingue robuste dont les limites sur le darija sont compensées en aval par l’extraction LLM ; les sorties structurées contraintes et la validation stricte contiennent le risque d’hallucination ; et l’écosystème gratuit (Telegram, n8n, Groq, Gemini) couvre l’intégralité de la chaîne. Le chapitre suivant traduit ces choix en une conception détaillée.</w:t>
      </w:r>
    </w:p>
    <w:p>
      <w:r>
        <w:br w:type="page"/>
      </w:r>
    </w:p>
    <w:bookmarkEnd w:id="48"/>
    <w:bookmarkEnd w:id="49"/>
    <w:bookmarkStart w:id="69" w:name="chapitre-3-conception-de-la-solution"/>
    <w:p>
      <w:pPr>
        <w:pStyle w:val="Heading1"/>
      </w:pPr>
      <w:r>
        <w:t xml:space="preserve">Chapitre 3 : Conception de la solution</w:t>
      </w:r>
    </w:p>
    <w:bookmarkStart w:id="50" w:name="introduction-du-chapitre-2"/>
    <w:p>
      <w:pPr>
        <w:pStyle w:val="Heading2"/>
      </w:pPr>
      <w:r>
        <w:t xml:space="preserve">3.1 Introduction du chapitre</w:t>
      </w:r>
    </w:p>
    <w:p>
      <w:pPr>
        <w:pStyle w:val="FirstParagraph"/>
      </w:pPr>
      <w:r>
        <w:t xml:space="preserve">Ce chapitre présente la conception de la solution : l’architecture générale hybride, le modèle de données qui constitue le contrat entre les composants, la conception détaillée du service d’intelligence artificielle (patrons de conception, chaîne de repli, contrat d’erreurs), celle du workflow d’orchestration, et les dispositions de sécurité.</w:t>
      </w:r>
    </w:p>
    <w:bookmarkEnd w:id="50"/>
    <w:bookmarkStart w:id="54" w:name="architecture-générale"/>
    <w:p>
      <w:pPr>
        <w:pStyle w:val="Heading2"/>
      </w:pPr>
      <w:r>
        <w:t xml:space="preserve">3.2 Architecture générale</w:t>
      </w:r>
    </w:p>
    <w:bookmarkStart w:id="51" w:name="le-choix-dune-architecture-hybride"/>
    <w:p>
      <w:pPr>
        <w:pStyle w:val="Heading3"/>
      </w:pPr>
      <w:r>
        <w:t xml:space="preserve">3.2.1 Le choix d’une architecture hybride</w:t>
      </w:r>
    </w:p>
    <w:p>
      <w:pPr>
        <w:pStyle w:val="FirstParagraph"/>
      </w:pPr>
      <w:r>
        <w:t xml:space="preserve">Deux approches extrêmes étaient possibles : tout construire dans n8n (fidèle à la lettre du cahier des charges, mais logique IA enfouie dans des nœuds difficiles à tester), ou tout coder sur mesure (maîtrise totale, mais réécriture coûteuse d’intégrations que n8n fournit nativement). L’architecture retenue est</w:t>
      </w:r>
      <w:r>
        <w:t xml:space="preserve"> </w:t>
      </w:r>
      <w:r>
        <w:rPr>
          <w:b/>
          <w:bCs/>
        </w:rPr>
        <w:t xml:space="preserve">hybride</w:t>
      </w:r>
      <w:r>
        <w:t xml:space="preserve"> </w:t>
      </w:r>
      <w:r>
        <w:t xml:space="preserve">et répartit les responsabilités selon la valeur ajoutée de chaque outil :</w:t>
      </w:r>
    </w:p>
    <w:p>
      <w:pPr>
        <w:pStyle w:val="Compact"/>
        <w:numPr>
          <w:ilvl w:val="0"/>
          <w:numId w:val="1007"/>
        </w:numPr>
      </w:pPr>
      <w:r>
        <w:rPr>
          <w:b/>
          <w:bCs/>
        </w:rPr>
        <w:t xml:space="preserve">n8n (orchestration)</w:t>
      </w:r>
      <w:r>
        <w:t xml:space="preserve"> </w:t>
      </w:r>
      <w:r>
        <w:t xml:space="preserve">: réception des messages Telegram, téléchargement des fichiers audio, appel du service IA, écriture dans Google Sheets, notifications, réponse de confirmation au technicien.</w:t>
      </w:r>
    </w:p>
    <w:p>
      <w:pPr>
        <w:pStyle w:val="Compact"/>
        <w:numPr>
          <w:ilvl w:val="0"/>
          <w:numId w:val="1007"/>
        </w:numPr>
      </w:pPr>
      <w:r>
        <w:rPr>
          <w:b/>
          <w:bCs/>
        </w:rPr>
        <w:t xml:space="preserve">Service IA (FastAPI, sur mesure)</w:t>
      </w:r>
      <w:r>
        <w:t xml:space="preserve"> </w:t>
      </w:r>
      <w:r>
        <w:t xml:space="preserve">: transcription, extraction structurée, reformulation — le cœur algorithmique, versionné, testé unitairement et documenté.</w:t>
      </w:r>
    </w:p>
    <w:p>
      <w:pPr>
        <w:pStyle w:val="Compact"/>
        <w:numPr>
          <w:ilvl w:val="0"/>
          <w:numId w:val="1007"/>
        </w:numPr>
      </w:pPr>
      <w:r>
        <w:rPr>
          <w:b/>
          <w:bCs/>
        </w:rPr>
        <w:t xml:space="preserve">Application Web (React)</w:t>
      </w:r>
      <w:r>
        <w:t xml:space="preserve"> </w:t>
      </w:r>
      <w:r>
        <w:t xml:space="preserve">: formulaire de saisie alternative et tableau de bord de consultation.</w:t>
      </w:r>
    </w:p>
    <w:p>
      <w:pPr>
        <w:pStyle w:val="FirstParagraph"/>
      </w:pPr>
      <w:r>
        <w:t xml:space="preserve">Figure 3.1 : Architecture générale de la solution. [FIGURE À INSÉRER — schéma d’architecture : Technicien → Telegram → n8n → Service IA → n8n → Google Sheets + notifications ; formulaire React → Service IA ; tableau de bord → Sheets API]</w:t>
      </w:r>
    </w:p>
    <w:bookmarkEnd w:id="51"/>
    <w:bookmarkStart w:id="52" w:name="flux-nominal"/>
    <w:p>
      <w:pPr>
        <w:pStyle w:val="Heading3"/>
      </w:pPr>
      <w:r>
        <w:t xml:space="preserve">3.2.2 Flux nominal</w:t>
      </w:r>
    </w:p>
    <w:p>
      <w:pPr>
        <w:pStyle w:val="Compact"/>
        <w:numPr>
          <w:ilvl w:val="0"/>
          <w:numId w:val="1008"/>
        </w:numPr>
      </w:pPr>
      <w:r>
        <w:t xml:space="preserve">Le technicien envoie une note vocale au bot Telegram en fin de journée.</w:t>
      </w:r>
    </w:p>
    <w:p>
      <w:pPr>
        <w:pStyle w:val="Compact"/>
        <w:numPr>
          <w:ilvl w:val="0"/>
          <w:numId w:val="1008"/>
        </w:numPr>
      </w:pPr>
      <w:r>
        <w:t xml:space="preserve">Le workflow n8n détecte le message, télécharge le fichier audio et appelle le service IA (</w:t>
      </w:r>
      <w:r>
        <w:rPr>
          <w:rStyle w:val="VerbatimChar"/>
        </w:rPr>
        <w:t xml:space="preserve">POST /process</w:t>
      </w:r>
      <w:r>
        <w:t xml:space="preserve">, envoi multipart).</w:t>
      </w:r>
    </w:p>
    <w:p>
      <w:pPr>
        <w:pStyle w:val="Compact"/>
        <w:numPr>
          <w:ilvl w:val="0"/>
          <w:numId w:val="1008"/>
        </w:numPr>
      </w:pPr>
      <w:r>
        <w:t xml:space="preserve">Le service transcrit l’audio, extrait les champs métier, produit le résumé français et renvoie une réponse JSON structurée.</w:t>
      </w:r>
    </w:p>
    <w:p>
      <w:pPr>
        <w:pStyle w:val="Compact"/>
        <w:numPr>
          <w:ilvl w:val="0"/>
          <w:numId w:val="1008"/>
        </w:numPr>
      </w:pPr>
      <w:r>
        <w:t xml:space="preserve">n8n enrichit la réponse des métadonnées de contexte (date, heure, identité du technicien, lien vers l’audio) — le service IA ne renvoyant que ce qui est dérivable du contenu lui-même, par séparation des responsabilités.</w:t>
      </w:r>
    </w:p>
    <w:p>
      <w:pPr>
        <w:pStyle w:val="Compact"/>
        <w:numPr>
          <w:ilvl w:val="0"/>
          <w:numId w:val="1008"/>
        </w:numPr>
      </w:pPr>
      <w:r>
        <w:t xml:space="preserve">n8n ajoute une ligne au tableau Google Sheets, notifie les responsables par e-mail et envoie la confirmation (avec le résumé) au technicien dans la conversation Telegram.</w:t>
      </w:r>
    </w:p>
    <w:bookmarkEnd w:id="52"/>
    <w:bookmarkStart w:id="53" w:name="diagrammes-uml"/>
    <w:p>
      <w:pPr>
        <w:pStyle w:val="Heading3"/>
      </w:pPr>
      <w:r>
        <w:t xml:space="preserve">3.2.3 Diagrammes UML</w:t>
      </w:r>
    </w:p>
    <w:p>
      <w:pPr>
        <w:pStyle w:val="FirstParagraph"/>
      </w:pPr>
      <w:r>
        <w:t xml:space="preserve">Figure 3.2 : Diagramme de cas d’utilisation. [FIGURE À INSÉRER — acteurs : Technicien (envoyer note vocale, saisir formulaire, recevoir confirmation), Responsable (recevoir notification, consulter tableau de bord), Système]</w:t>
      </w:r>
    </w:p>
    <w:p>
      <w:pPr>
        <w:pStyle w:val="BodyText"/>
      </w:pPr>
      <w:r>
        <w:t xml:space="preserve">Figure 3.3 : Diagramme de séquence du traitement d’une note vocale. [FIGURE À INSÉRER — séquence : Technicien → Telegram → n8n → API /process → fournisseur STT → LLM extraction → retour JSON → Sheets → notifications]</w:t>
      </w:r>
    </w:p>
    <w:bookmarkEnd w:id="53"/>
    <w:bookmarkEnd w:id="54"/>
    <w:bookmarkStart w:id="57" w:name="modèle-de-données"/>
    <w:p>
      <w:pPr>
        <w:pStyle w:val="Heading2"/>
      </w:pPr>
      <w:r>
        <w:t xml:space="preserve">3.3 Modèle de données</w:t>
      </w:r>
    </w:p>
    <w:bookmarkStart w:id="55" w:name="le-rapport-structuré-contrat-central"/>
    <w:p>
      <w:pPr>
        <w:pStyle w:val="Heading3"/>
      </w:pPr>
      <w:r>
        <w:t xml:space="preserve">3.3.1 Le rapport structuré, contrat central</w:t>
      </w:r>
    </w:p>
    <w:p>
      <w:pPr>
        <w:pStyle w:val="FirstParagraph"/>
      </w:pPr>
      <w:r>
        <w:t xml:space="preserve">Le schéma du rapport extrait constitue le</w:t>
      </w:r>
      <w:r>
        <w:t xml:space="preserve"> </w:t>
      </w:r>
      <w:r>
        <w:rPr>
          <w:b/>
          <w:bCs/>
        </w:rPr>
        <w:t xml:space="preserve">contrat de données</w:t>
      </w:r>
      <w:r>
        <w:t xml:space="preserve"> </w:t>
      </w:r>
      <w:r>
        <w:t xml:space="preserve">entre le service IA, n8n et le tableau Google Sheets : toute évolution de ce schéma se répercute sur les instructions des modèles de langage, les colonnes du tableau et les correspondances n8n. Les champs reprennent le cahier des charges :</w:t>
      </w:r>
    </w:p>
    <w:tbl>
      <w:tblPr>
        <w:tblStyle w:val="Table"/>
        <w:tblW w:type="pct" w:w="5000"/>
        <w:tblLayout w:type="fixed"/>
        <w:tblLook w:firstRow="1" w:lastRow="0" w:firstColumn="0" w:lastColumn="0" w:noHBand="0" w:noVBand="0" w:val="0020"/>
      </w:tblPr>
      <w:tblGrid>
        <w:gridCol w:w="2132"/>
        <w:gridCol w:w="1827"/>
        <w:gridCol w:w="3960"/>
      </w:tblGrid>
      <w:tr>
        <w:trPr>
          <w:tblHeader w:val="on"/>
        </w:trPr>
        <w:tc>
          <w:tcPr/>
          <w:p>
            <w:pPr>
              <w:pStyle w:val="Compact"/>
            </w:pPr>
            <w:r>
              <w:t xml:space="preserve">Champ</w:t>
            </w:r>
          </w:p>
        </w:tc>
        <w:tc>
          <w:tcPr/>
          <w:p>
            <w:pPr>
              <w:pStyle w:val="Compact"/>
            </w:pPr>
            <w:r>
              <w:t xml:space="preserve">Type</w:t>
            </w:r>
          </w:p>
        </w:tc>
        <w:tc>
          <w:tcPr/>
          <w:p>
            <w:pPr>
              <w:pStyle w:val="Compact"/>
            </w:pPr>
            <w:r>
              <w:t xml:space="preserve">Description</w:t>
            </w:r>
          </w:p>
        </w:tc>
      </w:tr>
      <w:tr>
        <w:tc>
          <w:tcPr/>
          <w:p>
            <w:pPr>
              <w:pStyle w:val="Compact"/>
            </w:pPr>
            <w:r>
              <w:t xml:space="preserve">chantier</w:t>
            </w:r>
          </w:p>
        </w:tc>
        <w:tc>
          <w:tcPr/>
          <w:p>
            <w:pPr>
              <w:pStyle w:val="Compact"/>
            </w:pPr>
            <w:r>
              <w:t xml:space="preserve">texte, optionnel</w:t>
            </w:r>
          </w:p>
        </w:tc>
        <w:tc>
          <w:tcPr/>
          <w:p>
            <w:pPr>
              <w:pStyle w:val="Compact"/>
            </w:pPr>
            <w:r>
              <w:t xml:space="preserve">Nom du chantier mentionné</w:t>
            </w:r>
          </w:p>
        </w:tc>
      </w:tr>
      <w:tr>
        <w:tc>
          <w:tcPr/>
          <w:p>
            <w:pPr>
              <w:pStyle w:val="Compact"/>
            </w:pPr>
            <w:r>
              <w:t xml:space="preserve">client</w:t>
            </w:r>
          </w:p>
        </w:tc>
        <w:tc>
          <w:tcPr/>
          <w:p>
            <w:pPr>
              <w:pStyle w:val="Compact"/>
            </w:pPr>
            <w:r>
              <w:t xml:space="preserve">texte, optionnel</w:t>
            </w:r>
          </w:p>
        </w:tc>
        <w:tc>
          <w:tcPr/>
          <w:p>
            <w:pPr>
              <w:pStyle w:val="Compact"/>
            </w:pPr>
            <w:r>
              <w:t xml:space="preserve">Nom du client</w:t>
            </w:r>
          </w:p>
        </w:tc>
      </w:tr>
      <w:tr>
        <w:tc>
          <w:tcPr/>
          <w:p>
            <w:pPr>
              <w:pStyle w:val="Compact"/>
            </w:pPr>
            <w:r>
              <w:t xml:space="preserve">type_activite</w:t>
            </w:r>
          </w:p>
        </w:tc>
        <w:tc>
          <w:tcPr/>
          <w:p>
            <w:pPr>
              <w:pStyle w:val="Compact"/>
            </w:pPr>
            <w:r>
              <w:t xml:space="preserve">texte, optionnel</w:t>
            </w:r>
          </w:p>
        </w:tc>
        <w:tc>
          <w:tcPr/>
          <w:p>
            <w:pPr>
              <w:pStyle w:val="Compact"/>
            </w:pPr>
            <w:r>
              <w:t xml:space="preserve">Activité principale (ex. câblage, finition)</w:t>
            </w:r>
          </w:p>
        </w:tc>
      </w:tr>
      <w:tr>
        <w:tc>
          <w:tcPr/>
          <w:p>
            <w:pPr>
              <w:pStyle w:val="Compact"/>
            </w:pPr>
            <w:r>
              <w:t xml:space="preserve">goulottes_m</w:t>
            </w:r>
          </w:p>
        </w:tc>
        <w:tc>
          <w:tcPr/>
          <w:p>
            <w:pPr>
              <w:pStyle w:val="Compact"/>
            </w:pPr>
            <w:r>
              <w:t xml:space="preserve">nombre ≥ 0, optionnel</w:t>
            </w:r>
          </w:p>
        </w:tc>
        <w:tc>
          <w:tcPr/>
          <w:p>
            <w:pPr>
              <w:pStyle w:val="Compact"/>
            </w:pPr>
            <w:r>
              <w:t xml:space="preserve">Mètres de goulotte installés</w:t>
            </w:r>
          </w:p>
        </w:tc>
      </w:tr>
      <w:tr>
        <w:tc>
          <w:tcPr/>
          <w:p>
            <w:pPr>
              <w:pStyle w:val="Compact"/>
            </w:pPr>
            <w:r>
              <w:t xml:space="preserve">cables_m</w:t>
            </w:r>
          </w:p>
        </w:tc>
        <w:tc>
          <w:tcPr/>
          <w:p>
            <w:pPr>
              <w:pStyle w:val="Compact"/>
            </w:pPr>
            <w:r>
              <w:t xml:space="preserve">nombre ≥ 0, optionnel</w:t>
            </w:r>
          </w:p>
        </w:tc>
        <w:tc>
          <w:tcPr/>
          <w:p>
            <w:pPr>
              <w:pStyle w:val="Compact"/>
            </w:pPr>
            <w:r>
              <w:t xml:space="preserve">Mètres de câble réseau posés</w:t>
            </w:r>
          </w:p>
        </w:tc>
      </w:tr>
      <w:tr>
        <w:tc>
          <w:tcPr/>
          <w:p>
            <w:pPr>
              <w:pStyle w:val="Compact"/>
            </w:pPr>
            <w:r>
              <w:t xml:space="preserve">bureaux_termines</w:t>
            </w:r>
          </w:p>
        </w:tc>
        <w:tc>
          <w:tcPr/>
          <w:p>
            <w:pPr>
              <w:pStyle w:val="Compact"/>
            </w:pPr>
            <w:r>
              <w:t xml:space="preserve">entier ≥ 0, optionnel</w:t>
            </w:r>
          </w:p>
        </w:tc>
        <w:tc>
          <w:tcPr/>
          <w:p>
            <w:pPr>
              <w:pStyle w:val="Compact"/>
            </w:pPr>
            <w:r>
              <w:t xml:space="preserve">Nombre de bureaux terminés</w:t>
            </w:r>
          </w:p>
        </w:tc>
      </w:tr>
      <w:tr>
        <w:tc>
          <w:tcPr/>
          <w:p>
            <w:pPr>
              <w:pStyle w:val="Compact"/>
            </w:pPr>
            <w:r>
              <w:t xml:space="preserve">panneaux_raccordes</w:t>
            </w:r>
          </w:p>
        </w:tc>
        <w:tc>
          <w:tcPr/>
          <w:p>
            <w:pPr>
              <w:pStyle w:val="Compact"/>
            </w:pPr>
            <w:r>
              <w:t xml:space="preserve">entier ≥ 0, optionnel</w:t>
            </w:r>
          </w:p>
        </w:tc>
        <w:tc>
          <w:tcPr/>
          <w:p>
            <w:pPr>
              <w:pStyle w:val="Compact"/>
            </w:pPr>
            <w:r>
              <w:t xml:space="preserve">Panneaux de brassage raccordés</w:t>
            </w:r>
          </w:p>
        </w:tc>
      </w:tr>
      <w:tr>
        <w:tc>
          <w:tcPr/>
          <w:p>
            <w:pPr>
              <w:pStyle w:val="Compact"/>
            </w:pPr>
            <w:r>
              <w:t xml:space="preserve">autres_travaux</w:t>
            </w:r>
          </w:p>
        </w:tc>
        <w:tc>
          <w:tcPr/>
          <w:p>
            <w:pPr>
              <w:pStyle w:val="Compact"/>
            </w:pPr>
            <w:r>
              <w:t xml:space="preserve">texte, optionnel</w:t>
            </w:r>
          </w:p>
        </w:tc>
        <w:tc>
          <w:tcPr/>
          <w:p>
            <w:pPr>
              <w:pStyle w:val="Compact"/>
            </w:pPr>
            <w:r>
              <w:t xml:space="preserve">Travaux hors quantités standards</w:t>
            </w:r>
          </w:p>
        </w:tc>
      </w:tr>
      <w:tr>
        <w:tc>
          <w:tcPr/>
          <w:p>
            <w:pPr>
              <w:pStyle w:val="Compact"/>
            </w:pPr>
            <w:r>
              <w:t xml:space="preserve">observations</w:t>
            </w:r>
          </w:p>
        </w:tc>
        <w:tc>
          <w:tcPr/>
          <w:p>
            <w:pPr>
              <w:pStyle w:val="Compact"/>
            </w:pPr>
            <w:r>
              <w:t xml:space="preserve">texte, optionnel</w:t>
            </w:r>
          </w:p>
        </w:tc>
        <w:tc>
          <w:tcPr/>
          <w:p>
            <w:pPr>
              <w:pStyle w:val="Compact"/>
            </w:pPr>
            <w:r>
              <w:t xml:space="preserve">Problèmes, remarques, besoins matériels</w:t>
            </w:r>
          </w:p>
        </w:tc>
      </w:tr>
      <w:tr>
        <w:tc>
          <w:tcPr/>
          <w:p>
            <w:pPr>
              <w:pStyle w:val="Compact"/>
            </w:pPr>
            <w:r>
              <w:t xml:space="preserve">resume</w:t>
            </w:r>
          </w:p>
        </w:tc>
        <w:tc>
          <w:tcPr/>
          <w:p>
            <w:pPr>
              <w:pStyle w:val="Compact"/>
            </w:pPr>
            <w:r>
              <w:t xml:space="preserve">texte, obligatoire</w:t>
            </w:r>
          </w:p>
        </w:tc>
        <w:tc>
          <w:tcPr/>
          <w:p>
            <w:pPr>
              <w:pStyle w:val="Compact"/>
            </w:pPr>
            <w:r>
              <w:t xml:space="preserve">Résumé professionnel en français (2 à 4 phrases)</w:t>
            </w:r>
          </w:p>
        </w:tc>
      </w:tr>
    </w:tbl>
    <w:p>
      <w:pPr>
        <w:pStyle w:val="BodyText"/>
      </w:pPr>
      <w:r>
        <w:t xml:space="preserve">Tableau 3.1 : Schéma du rapport extrait (</w:t>
      </w:r>
      <w:r>
        <w:rPr>
          <w:rStyle w:val="VerbatimChar"/>
        </w:rPr>
        <w:t xml:space="preserve">ExtractedReport</w:t>
      </w:r>
      <w:r>
        <w:t xml:space="preserve">).</w:t>
      </w:r>
    </w:p>
    <w:p>
      <w:pPr>
        <w:pStyle w:val="BodyText"/>
      </w:pPr>
      <w:r>
        <w:t xml:space="preserve">Les métadonnées de contexte (date, heure, technicien, lien audio) sont ajoutées par n8n, qui seul connaît le contexte du message. Le vocabulaire du schéma reste</w:t>
      </w:r>
      <w:r>
        <w:t xml:space="preserve"> </w:t>
      </w:r>
      <w:r>
        <w:rPr>
          <w:b/>
          <w:bCs/>
        </w:rPr>
        <w:t xml:space="preserve">français</w:t>
      </w:r>
      <w:r>
        <w:t xml:space="preserve"> </w:t>
      </w:r>
      <w:r>
        <w:t xml:space="preserve">(chantier, goulottes_m, resume) : il correspond au cahier des charges et aux colonnes du tableau de suivi.</w:t>
      </w:r>
    </w:p>
    <w:bookmarkEnd w:id="55"/>
    <w:bookmarkStart w:id="56" w:name="politique-aucune-donnée-inventée"/>
    <w:p>
      <w:pPr>
        <w:pStyle w:val="Heading3"/>
      </w:pPr>
      <w:r>
        <w:t xml:space="preserve">3.3.2 Politique « aucune donnée inventée »</w:t>
      </w:r>
    </w:p>
    <w:p>
      <w:pPr>
        <w:pStyle w:val="FirstParagraph"/>
      </w:pPr>
      <w:r>
        <w:t xml:space="preserve">Tous les champs métier sont optionnels et valent nul par défaut. L’instruction transmise au modèle de langage impose explicitement la valeur nulle pour toute information absente de la transcription ; la validation Pydantic rejette les valeurs hors bornes (quantités négatives). Cette politique traduit le besoin BNF3 : une case vide est une information fiable, une valeur inventée est une corruption silencieuse.</w:t>
      </w:r>
    </w:p>
    <w:bookmarkEnd w:id="56"/>
    <w:bookmarkEnd w:id="57"/>
    <w:bookmarkStart w:id="63" w:name="Xb9fcba7273af4088fa4c7f66dbb5dd7a2456079"/>
    <w:p>
      <w:pPr>
        <w:pStyle w:val="Heading2"/>
      </w:pPr>
      <w:r>
        <w:t xml:space="preserve">3.4 Conception du service d’intelligence artificielle</w:t>
      </w:r>
    </w:p>
    <w:bookmarkStart w:id="58" w:name="interface-unique"/>
    <w:p>
      <w:pPr>
        <w:pStyle w:val="Heading3"/>
      </w:pPr>
      <w:r>
        <w:t xml:space="preserve">3.4.1 Interface unique</w:t>
      </w:r>
    </w:p>
    <w:p>
      <w:pPr>
        <w:pStyle w:val="FirstParagraph"/>
      </w:pPr>
      <w:r>
        <w:t xml:space="preserve">Le service expose un point d’entrée principal,</w:t>
      </w:r>
      <w:r>
        <w:t xml:space="preserve"> </w:t>
      </w:r>
      <w:r>
        <w:rPr>
          <w:rStyle w:val="VerbatimChar"/>
        </w:rPr>
        <w:t xml:space="preserve">POST /process</w:t>
      </w:r>
      <w:r>
        <w:t xml:space="preserve">, acceptant exactement une des deux entrées : un fichier</w:t>
      </w:r>
      <w:r>
        <w:t xml:space="preserve"> </w:t>
      </w:r>
      <w:r>
        <w:rPr>
          <w:rStyle w:val="VerbatimChar"/>
        </w:rPr>
        <w:t xml:space="preserve">audio</w:t>
      </w:r>
      <w:r>
        <w:t xml:space="preserve"> </w:t>
      </w:r>
      <w:r>
        <w:t xml:space="preserve">(mode vocal) ou un champ</w:t>
      </w:r>
      <w:r>
        <w:t xml:space="preserve"> </w:t>
      </w:r>
      <w:r>
        <w:rPr>
          <w:rStyle w:val="VerbatimChar"/>
        </w:rPr>
        <w:t xml:space="preserve">text</w:t>
      </w:r>
      <w:r>
        <w:t xml:space="preserve"> </w:t>
      </w:r>
      <w:r>
        <w:t xml:space="preserve">(mode formulaire). Les deux modes convergent vers le même pipeline d’extraction, garantissant un traitement identique quel que soit le canal — c’est cette propriété qui rend la solution indépendante du canal de réception.</w:t>
      </w:r>
    </w:p>
    <w:bookmarkEnd w:id="58"/>
    <w:bookmarkStart w:id="59" w:name="patron-stratégie-pour-la-transcription"/>
    <w:p>
      <w:pPr>
        <w:pStyle w:val="Heading3"/>
      </w:pPr>
      <w:r>
        <w:t xml:space="preserve">3.4.2 Patron Stratégie pour la transcription</w:t>
      </w:r>
    </w:p>
    <w:p>
      <w:pPr>
        <w:pStyle w:val="FirstParagraph"/>
      </w:pPr>
      <w:r>
        <w:t xml:space="preserve">Le choix du moteur de transcription étant arbitré par un banc d’essai (chapitre 4), la conception doit rendre les moteurs interchangeables. Le patron</w:t>
      </w:r>
      <w:r>
        <w:t xml:space="preserve"> </w:t>
      </w:r>
      <w:r>
        <w:rPr>
          <w:b/>
          <w:bCs/>
        </w:rPr>
        <w:t xml:space="preserve">Stratégie</w:t>
      </w:r>
      <w:r>
        <w:t xml:space="preserve"> </w:t>
      </w:r>
      <w:r>
        <w:t xml:space="preserve">est appliqué : une classe abstraite</w:t>
      </w:r>
      <w:r>
        <w:t xml:space="preserve"> </w:t>
      </w:r>
      <w:r>
        <w:rPr>
          <w:rStyle w:val="VerbatimChar"/>
        </w:rPr>
        <w:t xml:space="preserve">TranscriptionProvider</w:t>
      </w:r>
      <w:r>
        <w:t xml:space="preserve"> </w:t>
      </w:r>
      <w:r>
        <w:t xml:space="preserve">définit le contrat (</w:t>
      </w:r>
      <w:r>
        <w:rPr>
          <w:rStyle w:val="VerbatimChar"/>
        </w:rPr>
        <w:t xml:space="preserve">transcribe(audio, mime_type) → texte, latence</w:t>
      </w:r>
      <w:r>
        <w:t xml:space="preserve">), et chaque moteur (Groq Whisper, Gemini audio, affinement darija Hugging Face) est un adaptateur concret enregistré dans un registre par un décorateur</w:t>
      </w:r>
      <w:r>
        <w:t xml:space="preserve"> </w:t>
      </w:r>
      <w:r>
        <w:rPr>
          <w:rStyle w:val="VerbatimChar"/>
        </w:rPr>
        <w:t xml:space="preserve">@register("nom")</w:t>
      </w:r>
      <w:r>
        <w:t xml:space="preserve">. Le moteur actif est désigné par simple configuration, et un nouveau moteur s’ajoute sans modifier le code appelant.</w:t>
      </w:r>
    </w:p>
    <w:p>
      <w:pPr>
        <w:pStyle w:val="BodyText"/>
      </w:pPr>
      <w:r>
        <w:t xml:space="preserve">Figure 3.4 : Diagramme de classes du service IA. [FIGURE À INSÉRER — TranscriptionProvider (abstraite) ← GroqWhisperProvider / GeminiProvider / HFDarijaProvider ; registre ; ExtractedReport ; ProcessResponse]</w:t>
      </w:r>
    </w:p>
    <w:bookmarkEnd w:id="59"/>
    <w:bookmarkStart w:id="60" w:name="extraction-en-chaîne-de-repli"/>
    <w:p>
      <w:pPr>
        <w:pStyle w:val="Heading3"/>
      </w:pPr>
      <w:r>
        <w:t xml:space="preserve">3.4.3 Extraction en chaîne de repli</w:t>
      </w:r>
    </w:p>
    <w:p>
      <w:pPr>
        <w:pStyle w:val="FirstParagraph"/>
      </w:pPr>
      <w:r>
        <w:t xml:space="preserve">L’extraction s’exécute en deux niveaux :</w:t>
      </w:r>
      <w:r>
        <w:t xml:space="preserve"> </w:t>
      </w:r>
      <w:r>
        <w:rPr>
          <w:b/>
          <w:bCs/>
        </w:rPr>
        <w:t xml:space="preserve">Gemini</w:t>
      </w:r>
      <w:r>
        <w:t xml:space="preserve"> </w:t>
      </w:r>
      <w:r>
        <w:t xml:space="preserve">en moteur principal (sortie structurée contrainte par le schéma), puis, en cas d’échec (indisponibilité, quota, réponse invalide),</w:t>
      </w:r>
      <w:r>
        <w:t xml:space="preserve"> </w:t>
      </w:r>
      <w:r>
        <w:rPr>
          <w:b/>
          <w:bCs/>
        </w:rPr>
        <w:t xml:space="preserve">Llama 3.3 via Groq</w:t>
      </w:r>
      <w:r>
        <w:t xml:space="preserve"> </w:t>
      </w:r>
      <w:r>
        <w:t xml:space="preserve">en mode JSON. Si les deux échouent, le service lève une erreur d’extraction combinée détaillant les deux causes — jamais de repli silencieux : un échec masqué produirait des lignes vides inexpliquées dans le tableau de suivi.</w:t>
      </w:r>
    </w:p>
    <w:bookmarkEnd w:id="60"/>
    <w:bookmarkStart w:id="61" w:name="contrat-derreurs"/>
    <w:p>
      <w:pPr>
        <w:pStyle w:val="Heading3"/>
      </w:pPr>
      <w:r>
        <w:t xml:space="preserve">3.4.4 Contrat d’erreurs</w:t>
      </w:r>
    </w:p>
    <w:p>
      <w:pPr>
        <w:pStyle w:val="FirstParagraph"/>
      </w:pPr>
      <w:r>
        <w:t xml:space="preserve">Le contrat d’erreurs est conçu pour l’appelant n8n :</w:t>
      </w:r>
    </w:p>
    <w:tbl>
      <w:tblPr>
        <w:tblStyle w:val="Table"/>
        <w:tblW w:type="pct" w:w="5000"/>
        <w:tblLayout w:type="fixed"/>
        <w:tblLook w:firstRow="1" w:lastRow="0" w:firstColumn="0" w:lastColumn="0" w:noHBand="0" w:noVBand="0" w:val="0020"/>
      </w:tblPr>
      <w:tblGrid>
        <w:gridCol w:w="1675"/>
        <w:gridCol w:w="1675"/>
        <w:gridCol w:w="4569"/>
      </w:tblGrid>
      <w:tr>
        <w:trPr>
          <w:tblHeader w:val="on"/>
        </w:trPr>
        <w:tc>
          <w:tcPr/>
          <w:p>
            <w:pPr>
              <w:pStyle w:val="Compact"/>
            </w:pPr>
            <w:r>
              <w:t xml:space="preserve">Situation</w:t>
            </w:r>
          </w:p>
        </w:tc>
        <w:tc>
          <w:tcPr/>
          <w:p>
            <w:pPr>
              <w:pStyle w:val="Compact"/>
            </w:pPr>
            <w:r>
              <w:t xml:space="preserve">Code HTTP</w:t>
            </w:r>
          </w:p>
        </w:tc>
        <w:tc>
          <w:tcPr/>
          <w:p>
            <w:pPr>
              <w:pStyle w:val="Compact"/>
            </w:pPr>
            <w:r>
              <w:t xml:space="preserve">Comportement attendu de n8n</w:t>
            </w:r>
          </w:p>
        </w:tc>
      </w:tr>
      <w:tr>
        <w:tc>
          <w:tcPr/>
          <w:p>
            <w:pPr>
              <w:pStyle w:val="Compact"/>
            </w:pPr>
            <w:r>
              <w:t xml:space="preserve">Entrée invalide (ni audio ni texte, fournisseur inconnu)</w:t>
            </w:r>
          </w:p>
        </w:tc>
        <w:tc>
          <w:tcPr/>
          <w:p>
            <w:pPr>
              <w:pStyle w:val="Compact"/>
            </w:pPr>
            <w:r>
              <w:t xml:space="preserve">422</w:t>
            </w:r>
          </w:p>
        </w:tc>
        <w:tc>
          <w:tcPr/>
          <w:p>
            <w:pPr>
              <w:pStyle w:val="Compact"/>
            </w:pPr>
            <w:r>
              <w:t xml:space="preserve">Erreur de configuration à corriger</w:t>
            </w:r>
          </w:p>
        </w:tc>
      </w:tr>
      <w:tr>
        <w:tc>
          <w:tcPr/>
          <w:p>
            <w:pPr>
              <w:pStyle w:val="Compact"/>
            </w:pPr>
            <w:r>
              <w:t xml:space="preserve">Défaillance d’un moteur (transcription ou extraction)</w:t>
            </w:r>
          </w:p>
        </w:tc>
        <w:tc>
          <w:tcPr/>
          <w:p>
            <w:pPr>
              <w:pStyle w:val="Compact"/>
            </w:pPr>
            <w:r>
              <w:t xml:space="preserve">502</w:t>
            </w:r>
          </w:p>
        </w:tc>
        <w:tc>
          <w:tcPr/>
          <w:p>
            <w:pPr>
              <w:pStyle w:val="Compact"/>
            </w:pPr>
            <w:r>
              <w:t xml:space="preserve">Marquage de la ligne en anomalie, lien vers l’audio brut, notification du responsable</w:t>
            </w:r>
          </w:p>
        </w:tc>
      </w:tr>
      <w:tr>
        <w:tc>
          <w:tcPr/>
          <w:p>
            <w:pPr>
              <w:pStyle w:val="Compact"/>
            </w:pPr>
            <w:r>
              <w:t xml:space="preserve">Transcription anormalement courte (&lt; 10 caractères)</w:t>
            </w:r>
          </w:p>
        </w:tc>
        <w:tc>
          <w:tcPr/>
          <w:p>
            <w:pPr>
              <w:pStyle w:val="Compact"/>
            </w:pPr>
            <w:r>
              <w:t xml:space="preserve">200 + avertissement</w:t>
            </w:r>
            <w:r>
              <w:t xml:space="preserve"> </w:t>
            </w:r>
            <w:r>
              <w:rPr>
                <w:rStyle w:val="VerbatimChar"/>
              </w:rPr>
              <w:t xml:space="preserve">short_transcription</w:t>
            </w:r>
          </w:p>
        </w:tc>
        <w:tc>
          <w:tcPr/>
          <w:p>
            <w:pPr>
              <w:pStyle w:val="Compact"/>
            </w:pPr>
            <w:r>
              <w:t xml:space="preserve">Ligne enregistrée mais signalée pour vérification humaine</w:t>
            </w:r>
          </w:p>
        </w:tc>
      </w:tr>
    </w:tbl>
    <w:p>
      <w:pPr>
        <w:pStyle w:val="BodyText"/>
      </w:pPr>
      <w:r>
        <w:t xml:space="preserve">Tableau 3.2 : Contrat d’erreurs du service IA.</w:t>
      </w:r>
    </w:p>
    <w:p>
      <w:pPr>
        <w:pStyle w:val="BodyText"/>
      </w:pPr>
      <w:r>
        <w:t xml:space="preserve">La distinction 422/502 sépare les erreurs</w:t>
      </w:r>
      <w:r>
        <w:t xml:space="preserve"> </w:t>
      </w:r>
      <w:r>
        <w:rPr>
          <w:i/>
          <w:iCs/>
        </w:rPr>
        <w:t xml:space="preserve">de l’appelant</w:t>
      </w:r>
      <w:r>
        <w:t xml:space="preserve"> </w:t>
      </w:r>
      <w:r>
        <w:t xml:space="preserve">des défaillances</w:t>
      </w:r>
      <w:r>
        <w:t xml:space="preserve"> </w:t>
      </w:r>
      <w:r>
        <w:rPr>
          <w:i/>
          <w:iCs/>
        </w:rPr>
        <w:t xml:space="preserve">des moteurs externes</w:t>
      </w:r>
      <w:r>
        <w:t xml:space="preserve">, et le cas « transcription courte » illustre un principe de conception : un signal de qualité douteuse est un avertissement structuré, pas une erreur bloquante ni un silence.</w:t>
      </w:r>
    </w:p>
    <w:bookmarkEnd w:id="61"/>
    <w:bookmarkStart w:id="62" w:name="configuration"/>
    <w:p>
      <w:pPr>
        <w:pStyle w:val="Heading3"/>
      </w:pPr>
      <w:r>
        <w:t xml:space="preserve">3.4.5 Configuration</w:t>
      </w:r>
    </w:p>
    <w:p>
      <w:pPr>
        <w:pStyle w:val="FirstParagraph"/>
      </w:pPr>
      <w:r>
        <w:t xml:space="preserve">Toute la configuration (clés d’API, choix des modèles, moteur STT par défaut) est externalisée dans des variables d’environnement lues au démarrage. Les clés sont optionnelles au lancement et vérifiées à l’appel : le service démarre sans secret (nécessaire aux tests automatisés) mais échoue avec un message explicite si un appel requiert une clé absente.</w:t>
      </w:r>
    </w:p>
    <w:bookmarkEnd w:id="62"/>
    <w:bookmarkEnd w:id="63"/>
    <w:bookmarkStart w:id="66" w:name="conception-du-workflow-dorchestration"/>
    <w:p>
      <w:pPr>
        <w:pStyle w:val="Heading2"/>
      </w:pPr>
      <w:r>
        <w:t xml:space="preserve">3.5 Conception du workflow d’orchestration</w:t>
      </w:r>
    </w:p>
    <w:bookmarkStart w:id="64" w:name="réception-par-interrogation-périodique"/>
    <w:p>
      <w:pPr>
        <w:pStyle w:val="Heading3"/>
      </w:pPr>
      <w:r>
        <w:t xml:space="preserve">3.5.1 Réception par interrogation périodique</w:t>
      </w:r>
    </w:p>
    <w:p>
      <w:pPr>
        <w:pStyle w:val="FirstParagraph"/>
      </w:pPr>
      <w:r>
        <w:t xml:space="preserve">L’API Telegram offre deux modes de réception : le</w:t>
      </w:r>
      <w:r>
        <w:t xml:space="preserve"> </w:t>
      </w:r>
      <w:r>
        <w:rPr>
          <w:i/>
          <w:iCs/>
        </w:rPr>
        <w:t xml:space="preserve">webhook</w:t>
      </w:r>
      <w:r>
        <w:t xml:space="preserve"> </w:t>
      </w:r>
      <w:r>
        <w:t xml:space="preserve">(Telegram pousse les messages vers une URL publique HTTPS) et l’interrogation périodique</w:t>
      </w:r>
      <w:r>
        <w:t xml:space="preserve"> </w:t>
      </w:r>
      <w:r>
        <w:rPr>
          <w:rStyle w:val="VerbatimChar"/>
        </w:rPr>
        <w:t xml:space="preserve">getUpdates</w:t>
      </w:r>
      <w:r>
        <w:t xml:space="preserve"> </w:t>
      </w:r>
      <w:r>
        <w:t xml:space="preserve">(</w:t>
      </w:r>
      <w:r>
        <w:rPr>
          <w:i/>
          <w:iCs/>
        </w:rPr>
        <w:t xml:space="preserve">long polling</w:t>
      </w:r>
      <w:r>
        <w:t xml:space="preserve">, connexions sortantes uniquement). En phase de développement sur poste local, l’exposition d’une URL publique imposerait un tunnel tiers ; le mode</w:t>
      </w:r>
      <w:r>
        <w:t xml:space="preserve"> </w:t>
      </w:r>
      <w:r>
        <w:rPr>
          <w:b/>
          <w:bCs/>
        </w:rPr>
        <w:t xml:space="preserve">polling</w:t>
      </w:r>
      <w:r>
        <w:t xml:space="preserve"> </w:t>
      </w:r>
      <w:r>
        <w:t xml:space="preserve">est donc retenu pour le développement, le webhook restant l’option documentée pour un déploiement serveur.</w:t>
      </w:r>
    </w:p>
    <w:bookmarkEnd w:id="64"/>
    <w:bookmarkStart w:id="65" w:name="structure-du-workflow"/>
    <w:p>
      <w:pPr>
        <w:pStyle w:val="Heading3"/>
      </w:pPr>
      <w:r>
        <w:t xml:space="preserve">3.5.2 Structure du workflow</w:t>
      </w:r>
    </w:p>
    <w:p>
      <w:pPr>
        <w:pStyle w:val="FirstParagraph"/>
      </w:pPr>
      <w:r>
        <w:t xml:space="preserve">Le workflow n8n se compose de sept nœuds :</w:t>
      </w:r>
    </w:p>
    <w:p>
      <w:pPr>
        <w:pStyle w:val="Compact"/>
        <w:numPr>
          <w:ilvl w:val="0"/>
          <w:numId w:val="1009"/>
        </w:numPr>
      </w:pPr>
      <w:r>
        <w:rPr>
          <w:b/>
          <w:bCs/>
        </w:rPr>
        <w:t xml:space="preserve">Déclencheur périodique</w:t>
      </w:r>
      <w:r>
        <w:t xml:space="preserve"> </w:t>
      </w:r>
      <w:r>
        <w:t xml:space="preserve">(toutes les 15 secondes) ;</w:t>
      </w:r>
    </w:p>
    <w:p>
      <w:pPr>
        <w:pStyle w:val="Compact"/>
        <w:numPr>
          <w:ilvl w:val="0"/>
          <w:numId w:val="1009"/>
        </w:numPr>
      </w:pPr>
      <w:r>
        <w:rPr>
          <w:b/>
          <w:bCs/>
        </w:rPr>
        <w:t xml:space="preserve">Calcul du décalage</w:t>
      </w:r>
      <w:r>
        <w:t xml:space="preserve"> </w:t>
      </w:r>
      <w:r>
        <w:t xml:space="preserve">(</w:t>
      </w:r>
      <w:r>
        <w:rPr>
          <w:i/>
          <w:iCs/>
        </w:rPr>
        <w:t xml:space="preserve">offset</w:t>
      </w:r>
      <w:r>
        <w:t xml:space="preserve">) : lecture du dernier identifiant de mise à jour traité, persisté dans les données statiques du workflow, afin de ne jamais retraiter un message ;</w:t>
      </w:r>
    </w:p>
    <w:p>
      <w:pPr>
        <w:pStyle w:val="Compact"/>
        <w:numPr>
          <w:ilvl w:val="0"/>
          <w:numId w:val="1009"/>
        </w:numPr>
      </w:pPr>
      <w:r>
        <w:rPr>
          <w:b/>
          <w:bCs/>
        </w:rPr>
        <w:t xml:space="preserve">Appel</w:t>
      </w:r>
      <w:r>
        <w:rPr>
          <w:b/>
          <w:bCs/>
        </w:rPr>
        <w:t xml:space="preserve"> </w:t>
      </w:r>
      <w:r>
        <w:rPr>
          <w:rStyle w:val="VerbatimChar"/>
          <w:b/>
          <w:bCs/>
        </w:rPr>
        <w:t xml:space="preserve">getUpdates</w:t>
      </w:r>
      <w:r>
        <w:t xml:space="preserve"> </w:t>
      </w:r>
      <w:r>
        <w:t xml:space="preserve">de l’API Telegram avec cet offset ;</w:t>
      </w:r>
    </w:p>
    <w:p>
      <w:pPr>
        <w:pStyle w:val="Compact"/>
        <w:numPr>
          <w:ilvl w:val="0"/>
          <w:numId w:val="1009"/>
        </w:numPr>
      </w:pPr>
      <w:r>
        <w:rPr>
          <w:b/>
          <w:bCs/>
        </w:rPr>
        <w:t xml:space="preserve">Filtrage des messages vocaux</w:t>
      </w:r>
      <w:r>
        <w:t xml:space="preserve"> </w:t>
      </w:r>
      <w:r>
        <w:t xml:space="preserve">: avancée de l’offset et émission d’un élément par note vocale (identifiant de fichier, identifiant de conversation, nom du technicien) ;</w:t>
      </w:r>
    </w:p>
    <w:p>
      <w:pPr>
        <w:pStyle w:val="Compact"/>
        <w:numPr>
          <w:ilvl w:val="0"/>
          <w:numId w:val="1009"/>
        </w:numPr>
      </w:pPr>
      <w:r>
        <w:rPr>
          <w:b/>
          <w:bCs/>
        </w:rPr>
        <w:t xml:space="preserve">Téléchargement du fichier audio</w:t>
      </w:r>
      <w:r>
        <w:t xml:space="preserve"> </w:t>
      </w:r>
      <w:r>
        <w:t xml:space="preserve">;</w:t>
      </w:r>
    </w:p>
    <w:p>
      <w:pPr>
        <w:pStyle w:val="Compact"/>
        <w:numPr>
          <w:ilvl w:val="0"/>
          <w:numId w:val="1009"/>
        </w:numPr>
      </w:pPr>
      <w:r>
        <w:rPr>
          <w:b/>
          <w:bCs/>
        </w:rPr>
        <w:t xml:space="preserve">Appel du service IA</w:t>
      </w:r>
      <w:r>
        <w:t xml:space="preserve"> </w:t>
      </w:r>
      <w:r>
        <w:t xml:space="preserve">(</w:t>
      </w:r>
      <w:r>
        <w:rPr>
          <w:rStyle w:val="VerbatimChar"/>
        </w:rPr>
        <w:t xml:space="preserve">POST /process</w:t>
      </w:r>
      <w:r>
        <w:t xml:space="preserve">, multipart) ;</w:t>
      </w:r>
    </w:p>
    <w:p>
      <w:pPr>
        <w:pStyle w:val="Compact"/>
        <w:numPr>
          <w:ilvl w:val="0"/>
          <w:numId w:val="1009"/>
        </w:numPr>
      </w:pPr>
      <w:r>
        <w:rPr>
          <w:b/>
          <w:bCs/>
        </w:rPr>
        <w:t xml:space="preserve">Réponse de confirmation</w:t>
      </w:r>
      <w:r>
        <w:t xml:space="preserve"> </w:t>
      </w:r>
      <w:r>
        <w:t xml:space="preserve">au technicien avec le résumé français.</w:t>
      </w:r>
    </w:p>
    <w:p>
      <w:pPr>
        <w:pStyle w:val="FirstParagraph"/>
      </w:pPr>
      <w:r>
        <w:t xml:space="preserve">Figure 3.5 : Workflow n8n de réception Telegram. [FIGURE À INSÉRER — capture d’écran du canvas n8n]</w:t>
      </w:r>
    </w:p>
    <w:p>
      <w:pPr>
        <w:pStyle w:val="BodyText"/>
      </w:pPr>
      <w:r>
        <w:t xml:space="preserve">[À COMPLÉTER — Sprint 2 : nœuds d’ajout Google Sheets et de notification e-mail.]</w:t>
      </w:r>
    </w:p>
    <w:bookmarkEnd w:id="65"/>
    <w:bookmarkEnd w:id="66"/>
    <w:bookmarkStart w:id="67" w:name="sécurité"/>
    <w:p>
      <w:pPr>
        <w:pStyle w:val="Heading2"/>
      </w:pPr>
      <w:r>
        <w:t xml:space="preserve">3.6 Sécurité</w:t>
      </w:r>
    </w:p>
    <w:p>
      <w:pPr>
        <w:pStyle w:val="Compact"/>
        <w:numPr>
          <w:ilvl w:val="0"/>
          <w:numId w:val="1010"/>
        </w:numPr>
      </w:pPr>
      <w:r>
        <w:rPr>
          <w:b/>
          <w:bCs/>
        </w:rPr>
        <w:t xml:space="preserve">Secrets hors du code</w:t>
      </w:r>
      <w:r>
        <w:t xml:space="preserve"> </w:t>
      </w:r>
      <w:r>
        <w:t xml:space="preserve">: jetons (bot Telegram, clés Groq/Gemini) dans un fichier d’environnement non versionné ; le dépôt Git ne contient aucun secret.</w:t>
      </w:r>
    </w:p>
    <w:p>
      <w:pPr>
        <w:pStyle w:val="Compact"/>
        <w:numPr>
          <w:ilvl w:val="0"/>
          <w:numId w:val="1010"/>
        </w:numPr>
      </w:pPr>
      <w:r>
        <w:rPr>
          <w:b/>
          <w:bCs/>
        </w:rPr>
        <w:t xml:space="preserve">Validation des entrées</w:t>
      </w:r>
      <w:r>
        <w:t xml:space="preserve"> </w:t>
      </w:r>
      <w:r>
        <w:t xml:space="preserve">: tout ce qui entre dans le service est validé par des schémas Pydantic stricts ; le type MIME de l’audio est normalisé avant transmission aux moteurs.</w:t>
      </w:r>
    </w:p>
    <w:p>
      <w:pPr>
        <w:pStyle w:val="Compact"/>
        <w:numPr>
          <w:ilvl w:val="0"/>
          <w:numId w:val="1010"/>
        </w:numPr>
      </w:pPr>
      <w:r>
        <w:rPr>
          <w:b/>
          <w:bCs/>
        </w:rPr>
        <w:t xml:space="preserve">Surface d’exposition minimale</w:t>
      </w:r>
      <w:r>
        <w:t xml:space="preserve"> </w:t>
      </w:r>
      <w:r>
        <w:t xml:space="preserve">: en développement, aucune URL publique n’est exposée (polling sortant uniquement) ; le service IA n’est accessible que sur le réseau local.</w:t>
      </w:r>
    </w:p>
    <w:p>
      <w:pPr>
        <w:pStyle w:val="Compact"/>
        <w:numPr>
          <w:ilvl w:val="0"/>
          <w:numId w:val="1010"/>
        </w:numPr>
      </w:pPr>
      <w:r>
        <w:rPr>
          <w:b/>
          <w:bCs/>
        </w:rPr>
        <w:t xml:space="preserve">Moindre privilège</w:t>
      </w:r>
      <w:r>
        <w:t xml:space="preserve"> </w:t>
      </w:r>
      <w:r>
        <w:t xml:space="preserve">: le compte de service Google (Sprint 2) n’aura accès qu’au tableau de suivi concerné.</w:t>
      </w:r>
    </w:p>
    <w:bookmarkEnd w:id="67"/>
    <w:bookmarkStart w:id="68" w:name="conclusion-du-chapitre-2"/>
    <w:p>
      <w:pPr>
        <w:pStyle w:val="Heading2"/>
      </w:pPr>
      <w:r>
        <w:t xml:space="preserve">3.7 Conclusion du chapitre</w:t>
      </w:r>
    </w:p>
    <w:p>
      <w:pPr>
        <w:pStyle w:val="FirstParagraph"/>
      </w:pPr>
      <w:r>
        <w:t xml:space="preserve">La conception traduit les contraintes du projet en structures : une architecture hybride qui affecte chaque responsabilité à l’outil le plus adapté, un contrat de données unique partagé par tous les composants, un patron Stratégie qui prépare le banc d’essai des moteurs, une chaîne de repli explicite et un contrat d’erreurs qui refuse les échecs silencieux. Le chapitre suivant décrit la mise en œuvre de cette conception et les résultats obtenus.</w:t>
      </w:r>
    </w:p>
    <w:p>
      <w:r>
        <w:br w:type="page"/>
      </w:r>
    </w:p>
    <w:bookmarkEnd w:id="68"/>
    <w:bookmarkEnd w:id="69"/>
    <w:bookmarkStart w:id="87" w:name="Xebeec607f6b41c35aae0b8d9cb82495873dcfd3"/>
    <w:p>
      <w:pPr>
        <w:pStyle w:val="Heading1"/>
      </w:pPr>
      <w:r>
        <w:t xml:space="preserve">Chapitre 4 : Réalisation, tests et résultats</w:t>
      </w:r>
    </w:p>
    <w:bookmarkStart w:id="70" w:name="introduction-du-chapitre-3"/>
    <w:p>
      <w:pPr>
        <w:pStyle w:val="Heading2"/>
      </w:pPr>
      <w:r>
        <w:t xml:space="preserve">4.1 Introduction du chapitre</w:t>
      </w:r>
    </w:p>
    <w:p>
      <w:pPr>
        <w:pStyle w:val="FirstParagraph"/>
      </w:pPr>
      <w:r>
        <w:t xml:space="preserve">Ce chapitre décrit la mise en œuvre de la conception : l’environnement de développement, la réalisation du service d’intelligence artificielle et du workflow d’orchestration, les difficultés techniques rencontrées et leur résolution, la stratégie de test, puis les résultats obtenus à ce stade du projet.</w:t>
      </w:r>
    </w:p>
    <w:bookmarkEnd w:id="70"/>
    <w:bookmarkStart w:id="71" w:name="environnement-et-outils-de-développement"/>
    <w:p>
      <w:pPr>
        <w:pStyle w:val="Heading2"/>
      </w:pPr>
      <w:r>
        <w:t xml:space="preserve">4.2 Environnement et outils de développement</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Outil</w:t>
            </w:r>
          </w:p>
        </w:tc>
        <w:tc>
          <w:tcPr/>
          <w:p>
            <w:pPr>
              <w:pStyle w:val="Compact"/>
            </w:pPr>
            <w:r>
              <w:t xml:space="preserve">Rôle</w:t>
            </w:r>
          </w:p>
        </w:tc>
      </w:tr>
      <w:tr>
        <w:tc>
          <w:tcPr/>
          <w:p>
            <w:pPr>
              <w:pStyle w:val="Compact"/>
            </w:pPr>
            <w:r>
              <w:t xml:space="preserve">Python 3.9 / FastAPI / Pydantic</w:t>
            </w:r>
          </w:p>
        </w:tc>
        <w:tc>
          <w:tcPr/>
          <w:p>
            <w:pPr>
              <w:pStyle w:val="Compact"/>
            </w:pPr>
            <w:r>
              <w:t xml:space="preserve">Service IA</w:t>
            </w:r>
          </w:p>
        </w:tc>
      </w:tr>
      <w:tr>
        <w:tc>
          <w:tcPr/>
          <w:p>
            <w:pPr>
              <w:pStyle w:val="Compact"/>
            </w:pPr>
            <w:r>
              <w:t xml:space="preserve">pytest</w:t>
            </w:r>
          </w:p>
        </w:tc>
        <w:tc>
          <w:tcPr/>
          <w:p>
            <w:pPr>
              <w:pStyle w:val="Compact"/>
            </w:pPr>
            <w:r>
              <w:t xml:space="preserve">Tests automatisés du service</w:t>
            </w:r>
          </w:p>
        </w:tc>
      </w:tr>
      <w:tr>
        <w:tc>
          <w:tcPr/>
          <w:p>
            <w:pPr>
              <w:pStyle w:val="Compact"/>
            </w:pPr>
            <w:r>
              <w:t xml:space="preserve">Docker / Docker Compose</w:t>
            </w:r>
          </w:p>
        </w:tc>
        <w:tc>
          <w:tcPr/>
          <w:p>
            <w:pPr>
              <w:pStyle w:val="Compact"/>
            </w:pPr>
            <w:r>
              <w:t xml:space="preserve">Exécution de n8n en conteneur</w:t>
            </w:r>
          </w:p>
        </w:tc>
      </w:tr>
      <w:tr>
        <w:tc>
          <w:tcPr/>
          <w:p>
            <w:pPr>
              <w:pStyle w:val="Compact"/>
            </w:pPr>
            <w:r>
              <w:t xml:space="preserve">n8n</w:t>
            </w:r>
          </w:p>
        </w:tc>
        <w:tc>
          <w:tcPr/>
          <w:p>
            <w:pPr>
              <w:pStyle w:val="Compact"/>
            </w:pPr>
            <w:r>
              <w:t xml:space="preserve">Orchestration des workflows</w:t>
            </w:r>
          </w:p>
        </w:tc>
      </w:tr>
      <w:tr>
        <w:tc>
          <w:tcPr/>
          <w:p>
            <w:pPr>
              <w:pStyle w:val="Compact"/>
            </w:pPr>
            <w:r>
              <w:t xml:space="preserve">Git / GitHub</w:t>
            </w:r>
          </w:p>
        </w:tc>
        <w:tc>
          <w:tcPr/>
          <w:p>
            <w:pPr>
              <w:pStyle w:val="Compact"/>
            </w:pPr>
            <w:r>
              <w:t xml:space="preserve">Versionnage, branches par fonctionnalité, commits conventionnels</w:t>
            </w:r>
          </w:p>
        </w:tc>
      </w:tr>
      <w:tr>
        <w:tc>
          <w:tcPr/>
          <w:p>
            <w:pPr>
              <w:pStyle w:val="Compact"/>
            </w:pPr>
            <w:r>
              <w:t xml:space="preserve">Groq API, Google AI Studio</w:t>
            </w:r>
          </w:p>
        </w:tc>
        <w:tc>
          <w:tcPr/>
          <w:p>
            <w:pPr>
              <w:pStyle w:val="Compact"/>
            </w:pPr>
            <w:r>
              <w:t xml:space="preserve">Inférence IA (offres gratuites)</w:t>
            </w:r>
          </w:p>
        </w:tc>
      </w:tr>
    </w:tbl>
    <w:p>
      <w:pPr>
        <w:pStyle w:val="BodyText"/>
      </w:pPr>
      <w:r>
        <w:t xml:space="preserve">Tableau 4.1 : Environnement de développement.</w:t>
      </w:r>
    </w:p>
    <w:p>
      <w:pPr>
        <w:pStyle w:val="BodyText"/>
      </w:pPr>
      <w:r>
        <w:t xml:space="preserve">Le dépôt est organisé en modules :</w:t>
      </w:r>
      <w:r>
        <w:t xml:space="preserve"> </w:t>
      </w:r>
      <w:r>
        <w:rPr>
          <w:rStyle w:val="VerbatimChar"/>
        </w:rPr>
        <w:t xml:space="preserve">api/</w:t>
      </w:r>
      <w:r>
        <w:t xml:space="preserve"> </w:t>
      </w:r>
      <w:r>
        <w:t xml:space="preserve">(service IA),</w:t>
      </w:r>
      <w:r>
        <w:t xml:space="preserve"> </w:t>
      </w:r>
      <w:r>
        <w:rPr>
          <w:rStyle w:val="VerbatimChar"/>
        </w:rPr>
        <w:t xml:space="preserve">n8n/</w:t>
      </w:r>
      <w:r>
        <w:t xml:space="preserve"> </w:t>
      </w:r>
      <w:r>
        <w:t xml:space="preserve">(workflows exportés et documentation),</w:t>
      </w:r>
      <w:r>
        <w:t xml:space="preserve"> </w:t>
      </w:r>
      <w:r>
        <w:rPr>
          <w:rStyle w:val="VerbatimChar"/>
        </w:rPr>
        <w:t xml:space="preserve">benchmark/</w:t>
      </w:r>
      <w:r>
        <w:t xml:space="preserve"> </w:t>
      </w:r>
      <w:r>
        <w:t xml:space="preserve">(banc d’essai STT),</w:t>
      </w:r>
      <w:r>
        <w:t xml:space="preserve"> </w:t>
      </w:r>
      <w:r>
        <w:rPr>
          <w:rStyle w:val="VerbatimChar"/>
        </w:rPr>
        <w:t xml:space="preserve">docs/</w:t>
      </w:r>
      <w:r>
        <w:t xml:space="preserve"> </w:t>
      </w:r>
      <w:r>
        <w:t xml:space="preserve">(cahier des charges),</w:t>
      </w:r>
      <w:r>
        <w:t xml:space="preserve"> </w:t>
      </w:r>
      <w:r>
        <w:rPr>
          <w:rStyle w:val="VerbatimChar"/>
        </w:rPr>
        <w:t xml:space="preserve">web/</w:t>
      </w:r>
      <w:r>
        <w:t xml:space="preserve"> </w:t>
      </w:r>
      <w:r>
        <w:t xml:space="preserve">(application React, Sprint 2).</w:t>
      </w:r>
    </w:p>
    <w:bookmarkEnd w:id="71"/>
    <w:bookmarkStart w:id="77" w:name="X84d30246b367384b490b838601a58d22a4668a8"/>
    <w:p>
      <w:pPr>
        <w:pStyle w:val="Heading2"/>
      </w:pPr>
      <w:r>
        <w:t xml:space="preserve">4.3 Réalisation du service d’intelligence artificielle</w:t>
      </w:r>
    </w:p>
    <w:bookmarkStart w:id="72" w:name="point-dentrée-process"/>
    <w:p>
      <w:pPr>
        <w:pStyle w:val="Heading3"/>
      </w:pPr>
      <w:r>
        <w:t xml:space="preserve">4.3.1 Point d’entrée</w:t>
      </w:r>
      <w:r>
        <w:t xml:space="preserve"> </w:t>
      </w:r>
      <w:r>
        <w:rPr>
          <w:rStyle w:val="VerbatimChar"/>
        </w:rPr>
        <w:t xml:space="preserve">/process</w:t>
      </w:r>
    </w:p>
    <w:p>
      <w:pPr>
        <w:pStyle w:val="FirstParagraph"/>
      </w:pPr>
      <w:r>
        <w:t xml:space="preserve">Le service expose</w:t>
      </w:r>
      <w:r>
        <w:t xml:space="preserve"> </w:t>
      </w:r>
      <w:r>
        <w:rPr>
          <w:rStyle w:val="VerbatimChar"/>
        </w:rPr>
        <w:t xml:space="preserve">POST /process</w:t>
      </w:r>
      <w:r>
        <w:t xml:space="preserve"> </w:t>
      </w:r>
      <w:r>
        <w:t xml:space="preserve">conformément à la conception : un fichier</w:t>
      </w:r>
      <w:r>
        <w:t xml:space="preserve"> </w:t>
      </w:r>
      <w:r>
        <w:rPr>
          <w:rStyle w:val="VerbatimChar"/>
        </w:rPr>
        <w:t xml:space="preserve">audio</w:t>
      </w:r>
      <w:r>
        <w:t xml:space="preserve"> </w:t>
      </w:r>
      <w:r>
        <w:rPr>
          <w:b/>
          <w:bCs/>
        </w:rPr>
        <w:t xml:space="preserve">ou</w:t>
      </w:r>
      <w:r>
        <w:t xml:space="preserve"> </w:t>
      </w:r>
      <w:r>
        <w:t xml:space="preserve">un texte, jamais les deux. En mode vocal, le fichier est transcrit par le fournisseur STT actif puis le texte transcrit alimente l’extraction ; en mode texte, l’extraction est directe. La réponse contient le rapport structuré, le texte intégral, les informations de transcription (fournisseur, latence — conservées pour le banc d’essai et l’audit) et une liste d’avertissements de qualité.</w:t>
      </w:r>
    </w:p>
    <w:bookmarkEnd w:id="72"/>
    <w:bookmarkStart w:id="73" w:name="adaptateurs-de-transcription"/>
    <w:p>
      <w:pPr>
        <w:pStyle w:val="Heading3"/>
      </w:pPr>
      <w:r>
        <w:t xml:space="preserve">4.3.2 Adaptateurs de transcription</w:t>
      </w:r>
    </w:p>
    <w:p>
      <w:pPr>
        <w:pStyle w:val="FirstParagraph"/>
      </w:pPr>
      <w:r>
        <w:t xml:space="preserve">Les trois adaptateurs (Groq Whisper, Gemini audio, affinement darija) implémentent l’interface commune et s’enregistrent dans le registre à l’importation. Les bibliothèques externes sont importées</w:t>
      </w:r>
      <w:r>
        <w:t xml:space="preserve"> </w:t>
      </w:r>
      <w:r>
        <w:rPr>
          <w:b/>
          <w:bCs/>
        </w:rPr>
        <w:t xml:space="preserve">paresseusement</w:t>
      </w:r>
      <w:r>
        <w:t xml:space="preserve">, à l’intérieur des fonctions : le service et sa suite de tests fonctionnent ainsi sans aucune clé d’API ni dépendance réseau, les appels externes étant simulés (</w:t>
      </w:r>
      <w:r>
        <w:rPr>
          <w:i/>
          <w:iCs/>
        </w:rPr>
        <w:t xml:space="preserve">mocks</w:t>
      </w:r>
      <w:r>
        <w:t xml:space="preserve">) aux frontières.</w:t>
      </w:r>
    </w:p>
    <w:bookmarkEnd w:id="73"/>
    <w:bookmarkStart w:id="74" w:name="extraction-et-reformulation"/>
    <w:p>
      <w:pPr>
        <w:pStyle w:val="Heading3"/>
      </w:pPr>
      <w:r>
        <w:t xml:space="preserve">4.3.3 Extraction et reformulation</w:t>
      </w:r>
    </w:p>
    <w:p>
      <w:pPr>
        <w:pStyle w:val="FirstParagraph"/>
      </w:pPr>
      <w:r>
        <w:t xml:space="preserve">L’extraction principale utilise la sortie structurée de Gemini, contrainte par le schéma</w:t>
      </w:r>
      <w:r>
        <w:t xml:space="preserve"> </w:t>
      </w:r>
      <w:r>
        <w:rPr>
          <w:rStyle w:val="VerbatimChar"/>
        </w:rPr>
        <w:t xml:space="preserve">ExtractedReport</w:t>
      </w:r>
      <w:r>
        <w:t xml:space="preserve"> </w:t>
      </w:r>
      <w:r>
        <w:t xml:space="preserve">; le repli utilise Llama 3.3 via Groq en mode JSON. L’instruction (en français) fournit le vocabulaire métier du câblage et impose la règle « champ absent = nul ». Le résumé professionnel est produit dans le même appel, ce qui économise une requête par rapport.</w:t>
      </w:r>
    </w:p>
    <w:bookmarkEnd w:id="74"/>
    <w:bookmarkStart w:id="75" w:name="difficultés-rencontrées-et-résolutions"/>
    <w:p>
      <w:pPr>
        <w:pStyle w:val="Heading3"/>
      </w:pPr>
      <w:r>
        <w:t xml:space="preserve">4.3.4 Difficultés rencontrées et résolutions</w:t>
      </w:r>
    </w:p>
    <w:p>
      <w:pPr>
        <w:pStyle w:val="FirstParagraph"/>
      </w:pPr>
      <w:r>
        <w:t xml:space="preserve">La mise au point sur conditions réelles a révélé trois défauts non détectables par les tests hors-ligne, dont la résolution illustre la démarche d’ingénierie :</w:t>
      </w:r>
    </w:p>
    <w:p>
      <w:pPr>
        <w:pStyle w:val="Compact"/>
        <w:numPr>
          <w:ilvl w:val="0"/>
          <w:numId w:val="1011"/>
        </w:numPr>
      </w:pPr>
      <w:r>
        <w:rPr>
          <w:b/>
          <w:bCs/>
        </w:rPr>
        <w:t xml:space="preserve">Validation de format de Groq.</w:t>
      </w:r>
      <w:r>
        <w:t xml:space="preserve"> </w:t>
      </w:r>
      <w:r>
        <w:t xml:space="preserve">L’API Whisper de Groq valide l’</w:t>
      </w:r>
      <w:r>
        <w:rPr>
          <w:b/>
          <w:bCs/>
        </w:rPr>
        <w:t xml:space="preserve">extension du nom de fichier</w:t>
      </w:r>
      <w:r>
        <w:t xml:space="preserve"> </w:t>
      </w:r>
      <w:r>
        <w:t xml:space="preserve">avant même de décoder les octets ; or les notes vocales Telegram arrivent en</w:t>
      </w:r>
      <w:r>
        <w:t xml:space="preserve"> </w:t>
      </w:r>
      <w:r>
        <w:rPr>
          <w:rStyle w:val="VerbatimChar"/>
        </w:rPr>
        <w:t xml:space="preserve">audio/ogg</w:t>
      </w:r>
      <w:r>
        <w:t xml:space="preserve"> </w:t>
      </w:r>
      <w:r>
        <w:t xml:space="preserve">parfois présenté comme</w:t>
      </w:r>
      <w:r>
        <w:t xml:space="preserve"> </w:t>
      </w:r>
      <w:r>
        <w:rPr>
          <w:rStyle w:val="VerbatimChar"/>
        </w:rPr>
        <w:t xml:space="preserve">application/octet-stream</w:t>
      </w:r>
      <w:r>
        <w:t xml:space="preserve">, produisant un nom de fichier rejeté. Résolution : normalisation du type MIME vers une table d’extensions acceptées (avec table d’alias, ex.</w:t>
      </w:r>
      <w:r>
        <w:t xml:space="preserve"> </w:t>
      </w:r>
      <w:r>
        <w:rPr>
          <w:rStyle w:val="VerbatimChar"/>
        </w:rPr>
        <w:t xml:space="preserve">oga → ogg</w:t>
      </w:r>
      <w:r>
        <w:t xml:space="preserve">) et repli sur</w:t>
      </w:r>
      <w:r>
        <w:t xml:space="preserve"> </w:t>
      </w:r>
      <w:r>
        <w:rPr>
          <w:rStyle w:val="VerbatimChar"/>
        </w:rPr>
        <w:t xml:space="preserve">ogg</w:t>
      </w:r>
      <w:r>
        <w:t xml:space="preserve">, format des notes vocales.</w:t>
      </w:r>
    </w:p>
    <w:p>
      <w:pPr>
        <w:pStyle w:val="Compact"/>
        <w:numPr>
          <w:ilvl w:val="0"/>
          <w:numId w:val="1011"/>
        </w:numPr>
      </w:pPr>
      <w:r>
        <w:rPr>
          <w:b/>
          <w:bCs/>
        </w:rPr>
        <w:t xml:space="preserve">Rotation des modèles Gemini.</w:t>
      </w:r>
      <w:r>
        <w:t xml:space="preserve"> </w:t>
      </w:r>
      <w:r>
        <w:t xml:space="preserve">Le modèle épinglé initialement (</w:t>
      </w:r>
      <w:r>
        <w:rPr>
          <w:rStyle w:val="VerbatimChar"/>
        </w:rPr>
        <w:t xml:space="preserve">gemini-2.5-flash</w:t>
      </w:r>
      <w:r>
        <w:t xml:space="preserve">) a été retiré par Google en cours de projet (erreur 404), et l’alias du modèle phare répondait 503 en heures de pointe sur l’offre gratuite. Résolution : sondage systématique des modèles candidats puis bascule vers l’alias</w:t>
      </w:r>
      <w:r>
        <w:t xml:space="preserve"> </w:t>
      </w:r>
      <w:r>
        <w:rPr>
          <w:rStyle w:val="VerbatimChar"/>
        </w:rPr>
        <w:t xml:space="preserve">gemini-flash-lite-latest</w:t>
      </w:r>
      <w:r>
        <w:t xml:space="preserve">, vérifié opérationnel et suffisant pour l’extraction structurée. Cet épisode valide a posteriori le patron d’adaptateurs et la configuration externalisée : le changement de modèle est une modification d’une ligne de configuration.</w:t>
      </w:r>
    </w:p>
    <w:p>
      <w:pPr>
        <w:pStyle w:val="Compact"/>
        <w:numPr>
          <w:ilvl w:val="0"/>
          <w:numId w:val="1011"/>
        </w:numPr>
      </w:pPr>
      <w:r>
        <w:rPr>
          <w:b/>
          <w:bCs/>
        </w:rPr>
        <w:t xml:space="preserve">Chaînes « null » des LLM.</w:t>
      </w:r>
      <w:r>
        <w:t xml:space="preserve"> </w:t>
      </w:r>
      <w:r>
        <w:t xml:space="preserve">En mode JSON, Llama émet parfois la</w:t>
      </w:r>
      <w:r>
        <w:t xml:space="preserve"> </w:t>
      </w:r>
      <w:r>
        <w:rPr>
          <w:i/>
          <w:iCs/>
        </w:rPr>
        <w:t xml:space="preserve">chaîne de caractères</w:t>
      </w:r>
      <w:r>
        <w:t xml:space="preserve"> </w:t>
      </w:r>
      <w:r>
        <w:rPr>
          <w:rStyle w:val="VerbatimChar"/>
        </w:rPr>
        <w:t xml:space="preserve">"null"</w:t>
      </w:r>
      <w:r>
        <w:t xml:space="preserve"> </w:t>
      </w:r>
      <w:r>
        <w:t xml:space="preserve">au lieu de la valeur nulle, provoquant un rejet de validation sur les champs numériques. Résolution : un validateur de pré-traitement normalise les chaînes « null », « none » et vides vers la valeur nulle avant le typage strict.</w:t>
      </w:r>
    </w:p>
    <w:bookmarkEnd w:id="75"/>
    <w:bookmarkStart w:id="76" w:name="stratégie-de-test"/>
    <w:p>
      <w:pPr>
        <w:pStyle w:val="Heading3"/>
      </w:pPr>
      <w:r>
        <w:t xml:space="preserve">4.3.5 Stratégie de test</w:t>
      </w:r>
    </w:p>
    <w:p>
      <w:pPr>
        <w:pStyle w:val="FirstParagraph"/>
      </w:pPr>
      <w:r>
        <w:t xml:space="preserve">La suite compte</w:t>
      </w:r>
      <w:r>
        <w:t xml:space="preserve"> </w:t>
      </w:r>
      <w:r>
        <w:rPr>
          <w:b/>
          <w:bCs/>
        </w:rPr>
        <w:t xml:space="preserve">24 tests automatisés</w:t>
      </w:r>
      <w:r>
        <w:t xml:space="preserve">, exécutables sans aucune clé d’API : validation des deux modes d’entrée, exclusion mutuelle audio/texte, contrat d’erreurs (422/502), avertissement de transcription courte, registre des fournisseurs, chaîne de repli d’extraction (échec du principal → repli ; échec des deux → erreur combinée), normalisation des chaînes « null ». Les moteurs externes sont simulés aux frontières ; cette propriété est une règle du projet : la suite doit rester exécutable par quiconque clone le dépôt.</w:t>
      </w:r>
    </w:p>
    <w:bookmarkEnd w:id="76"/>
    <w:bookmarkEnd w:id="77"/>
    <w:bookmarkStart w:id="78" w:name="X2c6a241a83fa26350b2d506cdf562d0f2f7fd6d"/>
    <w:p>
      <w:pPr>
        <w:pStyle w:val="Heading2"/>
      </w:pPr>
      <w:r>
        <w:t xml:space="preserve">4.4 Réalisation du workflow de réception Telegram</w:t>
      </w:r>
    </w:p>
    <w:p>
      <w:pPr>
        <w:pStyle w:val="FirstParagraph"/>
      </w:pPr>
      <w:r>
        <w:t xml:space="preserve">Le workflow de réception suit la conception du chapitre 3 (sept nœuds, polling</w:t>
      </w:r>
      <w:r>
        <w:t xml:space="preserve"> </w:t>
      </w:r>
      <w:r>
        <w:rPr>
          <w:rStyle w:val="VerbatimChar"/>
        </w:rPr>
        <w:t xml:space="preserve">getUpdates</w:t>
      </w:r>
      <w:r>
        <w:t xml:space="preserve">). Points notables de réalisation :</w:t>
      </w:r>
    </w:p>
    <w:p>
      <w:pPr>
        <w:pStyle w:val="Compact"/>
        <w:numPr>
          <w:ilvl w:val="0"/>
          <w:numId w:val="1012"/>
        </w:numPr>
      </w:pPr>
      <w:r>
        <w:t xml:space="preserve">La persistance de l’offset utilise les données statiques globales du workflow n8n, qui ne sont conservées qu’en mode production (workflow activé) — une subtilité documentée pour la reproductibilité.</w:t>
      </w:r>
    </w:p>
    <w:p>
      <w:pPr>
        <w:pStyle w:val="Compact"/>
        <w:numPr>
          <w:ilvl w:val="0"/>
          <w:numId w:val="1012"/>
        </w:numPr>
      </w:pPr>
      <w:r>
        <w:t xml:space="preserve">n8n s’exécutant en conteneur Docker, le service IA local est joint via</w:t>
      </w:r>
      <w:r>
        <w:t xml:space="preserve"> </w:t>
      </w:r>
      <w:r>
        <w:rPr>
          <w:rStyle w:val="VerbatimChar"/>
        </w:rPr>
        <w:t xml:space="preserve">host.docker.internal</w:t>
      </w:r>
      <w:r>
        <w:t xml:space="preserve">, et le service doit écouter sur toutes les interfaces réseau et non sur la seule boucle locale.</w:t>
      </w:r>
    </w:p>
    <w:p>
      <w:pPr>
        <w:pStyle w:val="Compact"/>
        <w:numPr>
          <w:ilvl w:val="0"/>
          <w:numId w:val="1012"/>
        </w:numPr>
      </w:pPr>
      <w:r>
        <w:t xml:space="preserve">En cas de webhook résiduel enregistré auprès de Telegram, l’API</w:t>
      </w:r>
      <w:r>
        <w:t xml:space="preserve"> </w:t>
      </w:r>
      <w:r>
        <w:rPr>
          <w:rStyle w:val="VerbatimChar"/>
        </w:rPr>
        <w:t xml:space="preserve">getUpdates</w:t>
      </w:r>
      <w:r>
        <w:t xml:space="preserve"> </w:t>
      </w:r>
      <w:r>
        <w:t xml:space="preserve">répond par un conflit (409) ; la procédure de suppression du webhook est documentée.</w:t>
      </w:r>
    </w:p>
    <w:p>
      <w:pPr>
        <w:pStyle w:val="FirstParagraph"/>
      </w:pPr>
      <w:r>
        <w:t xml:space="preserve">Figure 4.1 : Exécution du workflow dans n8n. [FIGURE À INSÉRER — capture d’écran d’une exécution réussie]</w:t>
      </w:r>
    </w:p>
    <w:p>
      <w:pPr>
        <w:pStyle w:val="BodyText"/>
      </w:pPr>
      <w:r>
        <w:t xml:space="preserve">Figure 4.2 : Confirmation reçue par le technicien. [FIGURE À INSÉRER — capture d’écran de la conversation Telegram : note vocale envoyée, réponse « ✅ Rapport enregistré » avec résumé]</w:t>
      </w:r>
    </w:p>
    <w:bookmarkEnd w:id="78"/>
    <w:bookmarkStart w:id="85" w:name="résultats-intermédiaires"/>
    <w:p>
      <w:pPr>
        <w:pStyle w:val="Heading2"/>
      </w:pPr>
      <w:r>
        <w:t xml:space="preserve">4.5 Résultats intermédiaires</w:t>
      </w:r>
    </w:p>
    <w:bookmarkStart w:id="79" w:name="chaîne-de-bout-en-bout-opérationnelle"/>
    <w:p>
      <w:pPr>
        <w:pStyle w:val="Heading3"/>
      </w:pPr>
      <w:r>
        <w:t xml:space="preserve">4.5.1 Chaîne de bout en bout opérationnelle</w:t>
      </w:r>
    </w:p>
    <w:p>
      <w:pPr>
        <w:pStyle w:val="FirstParagraph"/>
      </w:pPr>
      <w:r>
        <w:t xml:space="preserve">Le</w:t>
      </w:r>
      <w:r>
        <w:t xml:space="preserve"> </w:t>
      </w:r>
      <w:r>
        <w:rPr>
          <w:b/>
          <w:bCs/>
        </w:rPr>
        <w:t xml:space="preserve">17 juillet 2026</w:t>
      </w:r>
      <w:r>
        <w:t xml:space="preserve"> </w:t>
      </w:r>
      <w:r>
        <w:t xml:space="preserve">— dès la semaine 0, alors que le planning la prévoyait au Sprint 2 — la chaîne complète a été validée en conditions réelles : note vocale envoyée au bot Telegram → détection par polling → téléchargement → transcription Whisper (Groq) → extraction (Gemini, repli Groq) → résumé français → réponse de confirmation dans la conversation. Le risque d’intégration majeur du projet est ainsi neutralisé très tôt.</w:t>
      </w:r>
    </w:p>
    <w:p>
      <w:pPr>
        <w:pStyle w:val="BodyText"/>
      </w:pPr>
      <w:r>
        <w:t xml:space="preserve">Lors de ces essais, le repli d’extraction s’est déclenché en production réelle (indisponibilité 503 de Gemini en soirée) : la chaîne a produit son rapport via Llama sans intervention, validant la conception de la chaîne de repli.</w:t>
      </w:r>
    </w:p>
    <w:bookmarkEnd w:id="79"/>
    <w:bookmarkStart w:id="80" w:name="vérification-isolée-des-moteurs"/>
    <w:p>
      <w:pPr>
        <w:pStyle w:val="Heading3"/>
      </w:pPr>
      <w:r>
        <w:t xml:space="preserve">4.5.2 Vérification isolée des moteurs</w:t>
      </w:r>
    </w:p>
    <w:p>
      <w:pPr>
        <w:pStyle w:val="FirstParagraph"/>
      </w:pPr>
      <w:r>
        <w:t xml:space="preserve">Un script de contrôle sonde chaque moteur isolément avec un texte de test en darija représentatif du domaine. Résultats observés :</w:t>
      </w:r>
    </w:p>
    <w:tbl>
      <w:tblPr>
        <w:tblStyle w:val="Table"/>
        <w:tblW w:type="pct" w:w="5000"/>
        <w:tblLayout w:type="fixed"/>
        <w:tblLook w:firstRow="1" w:lastRow="0" w:firstColumn="0" w:lastColumn="0" w:noHBand="0" w:noVBand="0" w:val="0020"/>
      </w:tblPr>
      <w:tblGrid>
        <w:gridCol w:w="1508"/>
        <w:gridCol w:w="1131"/>
        <w:gridCol w:w="1885"/>
        <w:gridCol w:w="3394"/>
      </w:tblGrid>
      <w:tr>
        <w:trPr>
          <w:tblHeader w:val="on"/>
        </w:trPr>
        <w:tc>
          <w:tcPr/>
          <w:p>
            <w:pPr>
              <w:pStyle w:val="Compact"/>
            </w:pPr>
            <w:r>
              <w:t xml:space="preserve">Moteur</w:t>
            </w:r>
          </w:p>
        </w:tc>
        <w:tc>
          <w:tcPr/>
          <w:p>
            <w:pPr>
              <w:pStyle w:val="Compact"/>
            </w:pPr>
            <w:r>
              <w:t xml:space="preserve">Rôle</w:t>
            </w:r>
          </w:p>
        </w:tc>
        <w:tc>
          <w:tcPr/>
          <w:p>
            <w:pPr>
              <w:pStyle w:val="Compact"/>
            </w:pPr>
            <w:r>
              <w:t xml:space="preserve">Résultat</w:t>
            </w:r>
          </w:p>
        </w:tc>
        <w:tc>
          <w:tcPr/>
          <w:p>
            <w:pPr>
              <w:pStyle w:val="Compact"/>
            </w:pPr>
            <w:r>
              <w:t xml:space="preserve">Latence observée</w:t>
            </w:r>
          </w:p>
        </w:tc>
      </w:tr>
      <w:tr>
        <w:tc>
          <w:tcPr/>
          <w:p>
            <w:pPr>
              <w:pStyle w:val="Compact"/>
            </w:pPr>
            <w:r>
              <w:t xml:space="preserve">Groq Whisper large-v3</w:t>
            </w:r>
          </w:p>
        </w:tc>
        <w:tc>
          <w:tcPr/>
          <w:p>
            <w:pPr>
              <w:pStyle w:val="Compact"/>
            </w:pPr>
            <w:r>
              <w:t xml:space="preserve">Transcription</w:t>
            </w:r>
          </w:p>
        </w:tc>
        <w:tc>
          <w:tcPr/>
          <w:p>
            <w:pPr>
              <w:pStyle w:val="Compact"/>
            </w:pPr>
            <w:r>
              <w:t xml:space="preserve">Opérationnel</w:t>
            </w:r>
          </w:p>
        </w:tc>
        <w:tc>
          <w:tcPr/>
          <w:p>
            <w:pPr>
              <w:pStyle w:val="Compact"/>
            </w:pPr>
            <w:r>
              <w:t xml:space="preserve">≈ 1 s (audio de test)</w:t>
            </w:r>
          </w:p>
        </w:tc>
      </w:tr>
      <w:tr>
        <w:tc>
          <w:tcPr/>
          <w:p>
            <w:pPr>
              <w:pStyle w:val="Compact"/>
            </w:pPr>
            <w:r>
              <w:t xml:space="preserve">Gemini flash-lite</w:t>
            </w:r>
          </w:p>
        </w:tc>
        <w:tc>
          <w:tcPr/>
          <w:p>
            <w:pPr>
              <w:pStyle w:val="Compact"/>
            </w:pPr>
            <w:r>
              <w:t xml:space="preserve">Extraction</w:t>
            </w:r>
          </w:p>
        </w:tc>
        <w:tc>
          <w:tcPr/>
          <w:p>
            <w:pPr>
              <w:pStyle w:val="Compact"/>
            </w:pPr>
            <w:r>
              <w:t xml:space="preserve">Opérationnel, champs corrects</w:t>
            </w:r>
          </w:p>
        </w:tc>
        <w:tc>
          <w:tcPr/>
          <w:p>
            <w:pPr>
              <w:pStyle w:val="Compact"/>
            </w:pPr>
            <w:r>
              <w:t xml:space="preserve">[À MESURER]</w:t>
            </w:r>
          </w:p>
        </w:tc>
      </w:tr>
      <w:tr>
        <w:tc>
          <w:tcPr/>
          <w:p>
            <w:pPr>
              <w:pStyle w:val="Compact"/>
            </w:pPr>
            <w:r>
              <w:t xml:space="preserve">Groq Llama 3.3 70B</w:t>
            </w:r>
          </w:p>
        </w:tc>
        <w:tc>
          <w:tcPr/>
          <w:p>
            <w:pPr>
              <w:pStyle w:val="Compact"/>
            </w:pPr>
            <w:r>
              <w:t xml:space="preserve">Extraction (repli)</w:t>
            </w:r>
          </w:p>
        </w:tc>
        <w:tc>
          <w:tcPr/>
          <w:p>
            <w:pPr>
              <w:pStyle w:val="Compact"/>
            </w:pPr>
            <w:r>
              <w:t xml:space="preserve">Opérationnel — extraction parfaite des champs du texte de test (chantier, client, 45 m goulottes, 120 m câbles, 3 bureaux, 2 panneaux) et résumé français professionnel</w:t>
            </w:r>
          </w:p>
        </w:tc>
        <w:tc>
          <w:tcPr/>
          <w:p>
            <w:pPr>
              <w:pStyle w:val="Compact"/>
            </w:pPr>
            <w:r>
              <w:t xml:space="preserve">[À MESURER]</w:t>
            </w:r>
          </w:p>
        </w:tc>
      </w:tr>
    </w:tbl>
    <w:p>
      <w:pPr>
        <w:pStyle w:val="BodyText"/>
      </w:pPr>
      <w:r>
        <w:t xml:space="preserve">Tableau 4.2 : Vérification isolée des moteurs (juillet 2026).</w:t>
      </w:r>
    </w:p>
    <w:bookmarkEnd w:id="80"/>
    <w:bookmarkStart w:id="81" w:name="X7c0a5b52c1f481400cc5546dacdbf164a5b7d1f"/>
    <w:p>
      <w:pPr>
        <w:pStyle w:val="Heading3"/>
      </w:pPr>
      <w:r>
        <w:t xml:space="preserve">4.5.3 Observations qualitatives sur la transcription du darija</w:t>
      </w:r>
    </w:p>
    <w:p>
      <w:pPr>
        <w:pStyle w:val="FirstParagraph"/>
      </w:pPr>
      <w:r>
        <w:t xml:space="preserve">Les premiers essais confirment l’analyse de l’état de l’art : Whisper transcrit le darija avec un biais vers l’arabe standard, mais les termes techniques français (« goulotte », « panneau ») sont bien reconnus, et l’extraction LLM en aval reconstitue correctement les champs métier malgré le bruit de transcription. Un artefact connu a également été observé : sur un audio silencieux, Whisper produit une hallucination textuelle typique, ce qui renforce l’intérêt de l’avertissement « transcription courte » et du futur seuil de confiance. La quantification rigoureuse (WER/CER par moteur) relève du banc d’essai du Sprint 1.</w:t>
      </w:r>
    </w:p>
    <w:bookmarkEnd w:id="81"/>
    <w:bookmarkStart w:id="82" w:name="benchmark-des-moteurs-de-transcription"/>
    <w:p>
      <w:pPr>
        <w:pStyle w:val="Heading3"/>
      </w:pPr>
      <w:r>
        <w:t xml:space="preserve">4.5.4 Benchmark des moteurs de transcription</w:t>
      </w:r>
    </w:p>
    <w:p>
      <w:pPr>
        <w:pStyle w:val="FirstParagraph"/>
      </w:pPr>
      <w:r>
        <w:t xml:space="preserve">[À COMPLÉTER — Sprint 1 : protocole (15–20 notes vocales simulées avec transcriptions de référence), résultats WER/CER par moteur, justesse d’extraction en aval, choix final du moteur par défaut, discussion.]</w:t>
      </w:r>
    </w:p>
    <w:bookmarkEnd w:id="82"/>
    <w:bookmarkStart w:id="83" w:name="Xb73d63e184657a98e94801056a14beedd4889d0"/>
    <w:p>
      <w:pPr>
        <w:pStyle w:val="Heading3"/>
      </w:pPr>
      <w:r>
        <w:t xml:space="preserve">4.5.5 Intégration Google Sheets, notifications et application Web</w:t>
      </w:r>
    </w:p>
    <w:p>
      <w:pPr>
        <w:pStyle w:val="FirstParagraph"/>
      </w:pPr>
      <w:r>
        <w:t xml:space="preserve">[À COMPLÉTER — Sprint 2 : structure du tableau Google Sheets, nœuds d’écriture et de notification e-mail, formulaire React (mode texte), tableau de bord, gestion du chemin d’échec (ligne marquée en anomalie). Captures d’écran et mesure de la latence de bout en bout (objectif &lt; 60 s).]</w:t>
      </w:r>
    </w:p>
    <w:bookmarkEnd w:id="83"/>
    <w:bookmarkStart w:id="84" w:name="pilote"/>
    <w:p>
      <w:pPr>
        <w:pStyle w:val="Heading3"/>
      </w:pPr>
      <w:r>
        <w:t xml:space="preserve">4.5.6 Pilote</w:t>
      </w:r>
    </w:p>
    <w:p>
      <w:pPr>
        <w:pStyle w:val="FirstParagraph"/>
      </w:pPr>
      <w:r>
        <w:t xml:space="preserve">[À COMPLÉTER — Sprint 3 : déploiement pilote, retours des utilisateurs réels, deuxième vague de benchmark le cas échéant.]</w:t>
      </w:r>
    </w:p>
    <w:bookmarkEnd w:id="84"/>
    <w:bookmarkEnd w:id="85"/>
    <w:bookmarkStart w:id="86" w:name="conclusion-du-chapitre-3"/>
    <w:p>
      <w:pPr>
        <w:pStyle w:val="Heading2"/>
      </w:pPr>
      <w:r>
        <w:t xml:space="preserve">4.6 Conclusion du chapitre</w:t>
      </w:r>
    </w:p>
    <w:p>
      <w:pPr>
        <w:pStyle w:val="FirstParagraph"/>
      </w:pPr>
      <w:r>
        <w:t xml:space="preserve">La réalisation a concrétisé la conception et l’a confrontée au réel : trois défauts d’intégration invisibles hors-ligne (validation de format, rotation de modèles, chaînes « null ») ont été diagnostiqués et corrigés, et la chaîne complète fonctionne de bout en bout depuis la semaine 0, repli compris. Les jalons restants — benchmark quantitatif, intégration Google Sheets et notifications, application Web, pilote — disposent d’une base validée sur laquelle s’appuyer.</w:t>
      </w:r>
    </w:p>
    <w:p>
      <w:r>
        <w:br w:type="page"/>
      </w:r>
    </w:p>
    <w:bookmarkEnd w:id="86"/>
    <w:bookmarkEnd w:id="87"/>
    <w:bookmarkStart w:id="88" w:name="conclusion-générale-et-perspectives"/>
    <w:p>
      <w:pPr>
        <w:pStyle w:val="Heading1"/>
      </w:pPr>
      <w:r>
        <w:t xml:space="preserve">Conclusion générale et perspectives</w:t>
      </w:r>
    </w:p>
    <w:p>
      <w:pPr>
        <w:pStyle w:val="FirstParagraph"/>
      </w:pPr>
      <w:r>
        <w:rPr>
          <w:b/>
          <w:bCs/>
        </w:rPr>
        <w:t xml:space="preserve">Rappel des objectifs.</w:t>
      </w:r>
      <w:r>
        <w:t xml:space="preserve"> </w:t>
      </w:r>
      <w:r>
        <w:t xml:space="preserve">Ce projet de fin d’études visait à automatiser la production des rapports journaliers des techniciens de câblage d’AZNET : permettre à un technicien de transmettre son compte rendu par une simple note vocale en darija, et obtenir automatiquement un rapport structuré en français professionnel, centralisé dans un tableau de suivi et notifié aux responsables — le tout sans budget logiciel.</w:t>
      </w:r>
    </w:p>
    <w:p>
      <w:pPr>
        <w:pStyle w:val="BodyText"/>
      </w:pPr>
      <w:r>
        <w:rPr>
          <w:b/>
          <w:bCs/>
        </w:rPr>
        <w:t xml:space="preserve">Contributions.</w:t>
      </w:r>
      <w:r>
        <w:t xml:space="preserve"> </w:t>
      </w:r>
      <w:r>
        <w:t xml:space="preserve">Le travail réalisé apporte : (1) une</w:t>
      </w:r>
      <w:r>
        <w:t xml:space="preserve"> </w:t>
      </w:r>
      <w:r>
        <w:rPr>
          <w:b/>
          <w:bCs/>
        </w:rPr>
        <w:t xml:space="preserve">architecture hybride</w:t>
      </w:r>
      <w:r>
        <w:t xml:space="preserve"> </w:t>
      </w:r>
      <w:r>
        <w:t xml:space="preserve">originale combinant orchestration low-code (n8n) et microservice d’intelligence artificielle sur mesure (FastAPI), qui satisfait à la fois le cahier des charges de l’entreprise et l’exigence d’ingénierie du PFE ; (2) un</w:t>
      </w:r>
      <w:r>
        <w:t xml:space="preserve"> </w:t>
      </w:r>
      <w:r>
        <w:rPr>
          <w:b/>
          <w:bCs/>
        </w:rPr>
        <w:t xml:space="preserve">service d’extraction</w:t>
      </w:r>
      <w:r>
        <w:t xml:space="preserve"> </w:t>
      </w:r>
      <w:r>
        <w:t xml:space="preserve">fondé sur les grands modèles de langage avec sortie structurée contrainte, chaîne de repli explicite entre deux fournisseurs et politique stricte d’absence de données inventées ; (3) une</w:t>
      </w:r>
      <w:r>
        <w:t xml:space="preserve"> </w:t>
      </w:r>
      <w:r>
        <w:rPr>
          <w:b/>
          <w:bCs/>
        </w:rPr>
        <w:t xml:space="preserve">conception indépendante du canal de réception</w:t>
      </w:r>
      <w:r>
        <w:t xml:space="preserve">, démontrée en pratique par la bascule de WhatsApp vers Telegram sans modification du cœur du système ; (4) un</w:t>
      </w:r>
      <w:r>
        <w:t xml:space="preserve"> </w:t>
      </w:r>
      <w:r>
        <w:rPr>
          <w:b/>
          <w:bCs/>
        </w:rPr>
        <w:t xml:space="preserve">banc d’essai comparatif</w:t>
      </w:r>
      <w:r>
        <w:t xml:space="preserve"> </w:t>
      </w:r>
      <w:r>
        <w:t xml:space="preserve">des moteurs de transcription du darija, langue peu dotée, avec une métrique applicative (justesse d’extraction en aval) plus pertinente que le seul taux d’erreur mot. [À COMPLÉTER : résultats chiffrés]</w:t>
      </w:r>
    </w:p>
    <w:p>
      <w:pPr>
        <w:pStyle w:val="BodyText"/>
      </w:pPr>
      <w:r>
        <w:rPr>
          <w:b/>
          <w:bCs/>
        </w:rPr>
        <w:t xml:space="preserve">Résultats.</w:t>
      </w:r>
      <w:r>
        <w:t xml:space="preserve"> </w:t>
      </w:r>
      <w:r>
        <w:t xml:space="preserve">La chaîne complète — note vocale Telegram → transcription Whisper → extraction LLM → résumé français → confirmation au technicien — est opérationnelle depuis la première semaine du projet, avec un mécanisme de repli validé en conditions réelles. La suite de tests automatisés (24 tests, exécutables sans clés d’API) sécurise les évolutions. [À COMPLÉTER : latence de bout en bout mesurée, résultats du benchmark, bilan du pilote.]</w:t>
      </w:r>
    </w:p>
    <w:p>
      <w:pPr>
        <w:pStyle w:val="BodyText"/>
      </w:pPr>
      <w:r>
        <w:rPr>
          <w:b/>
          <w:bCs/>
        </w:rPr>
        <w:t xml:space="preserve">Limites.</w:t>
      </w:r>
      <w:r>
        <w:t xml:space="preserve"> </w:t>
      </w:r>
      <w:r>
        <w:t xml:space="preserve">À ce stade, l’écriture dans Google Sheets, les notifications aux responsables et l’application Web restent à intégrer ; la qualité de transcription du darija n’est pas encore quantifiée ; et le pilote en conditions réelles avec les techniciens n’a pas débuté. [À METTRE À JOUR en fin de projet.]</w:t>
      </w:r>
    </w:p>
    <w:p>
      <w:pPr>
        <w:pStyle w:val="BodyText"/>
      </w:pPr>
      <w:r>
        <w:rPr>
          <w:b/>
          <w:bCs/>
        </w:rPr>
        <w:t xml:space="preserve">Perspectives.</w:t>
      </w:r>
      <w:r>
        <w:t xml:space="preserve"> </w:t>
      </w:r>
      <w:r>
        <w:t xml:space="preserve">Plusieurs évolutions prolongent naturellement ce travail : la</w:t>
      </w:r>
      <w:r>
        <w:t xml:space="preserve"> </w:t>
      </w:r>
      <w:r>
        <w:rPr>
          <w:b/>
          <w:bCs/>
        </w:rPr>
        <w:t xml:space="preserve">migration vers WhatsApp Business API</w:t>
      </w:r>
      <w:r>
        <w:t xml:space="preserve"> </w:t>
      </w:r>
      <w:r>
        <w:t xml:space="preserve">en production, documentée dès la conception (validation d’entreprise Meta et modèles de messages) ; le remplacement de Google Sheets par une</w:t>
      </w:r>
      <w:r>
        <w:t xml:space="preserve"> </w:t>
      </w:r>
      <w:r>
        <w:rPr>
          <w:b/>
          <w:bCs/>
        </w:rPr>
        <w:t xml:space="preserve">base de données</w:t>
      </w:r>
      <w:r>
        <w:t xml:space="preserve"> </w:t>
      </w:r>
      <w:r>
        <w:t xml:space="preserve">(PostgreSQL/Supabase) lorsque la volumétrie le justifiera ; l’extension du tableau de bord vers de l’</w:t>
      </w:r>
      <w:r>
        <w:rPr>
          <w:b/>
          <w:bCs/>
        </w:rPr>
        <w:t xml:space="preserve">analytique de chantier</w:t>
      </w:r>
      <w:r>
        <w:t xml:space="preserve"> </w:t>
      </w:r>
      <w:r>
        <w:t xml:space="preserve">(avancement par site, consommation de matériel, alertes de stock) ; l’</w:t>
      </w:r>
      <w:r>
        <w:rPr>
          <w:b/>
          <w:bCs/>
        </w:rPr>
        <w:t xml:space="preserve">affinement d’un modèle de transcription</w:t>
      </w:r>
      <w:r>
        <w:t xml:space="preserve"> </w:t>
      </w:r>
      <w:r>
        <w:t xml:space="preserve">sur un corpus darija du domaine du câblage, constitué progressivement par les rapports réels ; et la généralisation multi-équipes ou multi-entreprises de la plateforme.</w:t>
      </w:r>
    </w:p>
    <w:p>
      <w:pPr>
        <w:pStyle w:val="BodyText"/>
      </w:pPr>
      <w:r>
        <w:t xml:space="preserve">Au-delà du système livré, ce projet illustre une conviction d’ingénierie : dans les applications des grands modèles de langage, la valeur ne réside pas seulement dans le choix des modèles, mais dans l’architecture qui les entoure — contrats de données stricts, chaînes de repli explicites, refus des échecs silencieux et bancs d’essai reproductibles.</w:t>
      </w:r>
    </w:p>
    <w:p>
      <w:r>
        <w:br w:type="page"/>
      </w:r>
    </w:p>
    <w:bookmarkEnd w:id="88"/>
    <w:bookmarkStart w:id="89" w:name="références-bibliographiques"/>
    <w:p>
      <w:pPr>
        <w:pStyle w:val="Heading1"/>
      </w:pPr>
      <w:r>
        <w:t xml:space="preserve">Références bibliographiques</w:t>
      </w:r>
    </w:p>
    <w:p>
      <w:pPr>
        <w:pStyle w:val="FirstParagraph"/>
      </w:pPr>
      <w:r>
        <w:t xml:space="preserve">[1] A. Radford, J. W. Kim, T. Xu, G. Brockman, C. McLeavey et I. Sutskever, « Robust Speech Recognition via Large-Scale Weak Supervision »,</w:t>
      </w:r>
      <w:r>
        <w:t xml:space="preserve"> </w:t>
      </w:r>
      <w:r>
        <w:rPr>
          <w:i/>
          <w:iCs/>
        </w:rPr>
        <w:t xml:space="preserve">Proceedings of the 40th International Conference on Machine Learning (ICML)</w:t>
      </w:r>
      <w:r>
        <w:t xml:space="preserve">, PMLR vol. 202, pp. 28492–28518, 2023.</w:t>
      </w:r>
    </w:p>
    <w:p>
      <w:pPr>
        <w:pStyle w:val="BodyText"/>
      </w:pPr>
      <w:r>
        <w:t xml:space="preserve">[2] Groq, « GroqCloud Documentation — Speech to Text &amp; Chat Completions », Disponible sur : https://console.groq.com/docs (consulté le 17/07/2026).</w:t>
      </w:r>
    </w:p>
    <w:p>
      <w:pPr>
        <w:pStyle w:val="BodyText"/>
      </w:pPr>
      <w:r>
        <w:t xml:space="preserve">[3] Google, « Gemini API Documentation — Structured Output &amp; Audio Understanding », Disponible sur : https://ai.google.dev/gemini-api/docs (consulté le 17/07/2026).</w:t>
      </w:r>
    </w:p>
    <w:p>
      <w:pPr>
        <w:pStyle w:val="BodyText"/>
      </w:pPr>
      <w:r>
        <w:t xml:space="preserve">[4] Telegram, « Telegram Bot API », Disponible sur : https://core.telegram.org/bots/api (consulté le 17/07/2026).</w:t>
      </w:r>
    </w:p>
    <w:p>
      <w:pPr>
        <w:pStyle w:val="BodyText"/>
      </w:pPr>
      <w:r>
        <w:t xml:space="preserve">[5] Meta, « WhatsApp Business Platform — Cloud API Documentation », Disponible sur : https://developers.facebook.com/docs/whatsapp (consulté le 16/07/2026).</w:t>
      </w:r>
    </w:p>
    <w:p>
      <w:pPr>
        <w:pStyle w:val="BodyText"/>
      </w:pPr>
      <w:r>
        <w:t xml:space="preserve">[6] n8n, « n8n Documentation — Workflow Automation », Disponible sur : https://docs.n8n.io (consulté le 17/07/2026).</w:t>
      </w:r>
    </w:p>
    <w:p>
      <w:pPr>
        <w:pStyle w:val="BodyText"/>
      </w:pPr>
      <w:r>
        <w:t xml:space="preserve">[7] S. Ramírez, « FastAPI Documentation », Disponible sur : https://fastapi.tiangolo.com (consulté le 17/07/2026).</w:t>
      </w:r>
    </w:p>
    <w:p>
      <w:pPr>
        <w:pStyle w:val="BodyText"/>
      </w:pPr>
      <w:r>
        <w:t xml:space="preserve">[8] Pydantic, « Pydantic Documentation — Data Validation », Disponible sur : https://docs.pydantic.dev (consulté le 17/07/2026).</w:t>
      </w:r>
    </w:p>
    <w:p>
      <w:pPr>
        <w:pStyle w:val="BodyText"/>
      </w:pPr>
      <w:r>
        <w:t xml:space="preserve">[9] K. Schwaber et J. Sutherland,</w:t>
      </w:r>
      <w:r>
        <w:t xml:space="preserve"> </w:t>
      </w:r>
      <w:r>
        <w:rPr>
          <w:i/>
          <w:iCs/>
        </w:rPr>
        <w:t xml:space="preserve">The Scrum Guide</w:t>
      </w:r>
      <w:r>
        <w:t xml:space="preserve">, 2020. Disponible sur : https://scrumguides.org (consulté le 17/07/2026).</w:t>
      </w:r>
    </w:p>
    <w:p>
      <w:pPr>
        <w:pStyle w:val="BodyText"/>
      </w:pPr>
      <w:r>
        <w:t xml:space="preserve">[10] E. Gamma, R. Helm, R. Johnson et J. Vlissides,</w:t>
      </w:r>
      <w:r>
        <w:t xml:space="preserve"> </w:t>
      </w:r>
      <w:r>
        <w:rPr>
          <w:i/>
          <w:iCs/>
        </w:rPr>
        <w:t xml:space="preserve">Design Patterns: Elements of Reusable Object-Oriented Software</w:t>
      </w:r>
      <w:r>
        <w:t xml:space="preserve">, Addison-Wesley, 1994.</w:t>
      </w:r>
    </w:p>
    <w:p>
      <w:pPr>
        <w:pStyle w:val="BodyText"/>
      </w:pPr>
      <w:r>
        <w:t xml:space="preserve">[À COMPLÉTER : références additionnelles sur l’ASR de l’arabe dialectal / darija (articles académiques du benchmark) et sur l’extraction d’information par LLM.]</w:t>
      </w:r>
    </w:p>
    <w:p>
      <w:r>
        <w:br w:type="page"/>
      </w:r>
    </w:p>
    <w:bookmarkEnd w:id="89"/>
    <w:bookmarkStart w:id="97" w:name="annexes"/>
    <w:p>
      <w:pPr>
        <w:pStyle w:val="Heading1"/>
      </w:pPr>
      <w:r>
        <w:t xml:space="preserve">Annexes</w:t>
      </w:r>
    </w:p>
    <w:bookmarkStart w:id="90" w:name="annexe-a-cahier-des-charges"/>
    <w:p>
      <w:pPr>
        <w:pStyle w:val="Heading2"/>
      </w:pPr>
      <w:r>
        <w:t xml:space="preserve">Annexe A : Cahier des charges</w:t>
      </w:r>
    </w:p>
    <w:p>
      <w:pPr>
        <w:pStyle w:val="FirstParagraph"/>
      </w:pPr>
      <w:r>
        <w:t xml:space="preserve">[À INSÉRER — cahier des charges fourni par l’entreprise (« MVP Rapport Journalier des Techniciens Câblage »), reproduit intégralement.]</w:t>
      </w:r>
    </w:p>
    <w:bookmarkEnd w:id="90"/>
    <w:bookmarkStart w:id="91" w:name="X32e70b60c6d879e694a4389de51555c09c82202"/>
    <w:p>
      <w:pPr>
        <w:pStyle w:val="Heading2"/>
      </w:pPr>
      <w:r>
        <w:t xml:space="preserve">Annexe B : Schéma de données et contrat d’API</w:t>
      </w:r>
    </w:p>
    <w:p>
      <w:pPr>
        <w:pStyle w:val="FirstParagraph"/>
      </w:pPr>
      <w:r>
        <w:t xml:space="preserve">[À INSÉRER — schéma JSON complet de la réponse</w:t>
      </w:r>
      <w:r>
        <w:t xml:space="preserve"> </w:t>
      </w:r>
      <w:r>
        <w:rPr>
          <w:rStyle w:val="VerbatimChar"/>
        </w:rPr>
        <w:t xml:space="preserve">/process</w:t>
      </w:r>
      <w:r>
        <w:t xml:space="preserve"> </w:t>
      </w:r>
      <w:r>
        <w:t xml:space="preserve">(ProcessResponse / ExtractedReport / TranscriptionInfo) et exemple de réponse réelle anonymisée.]</w:t>
      </w:r>
    </w:p>
    <w:bookmarkEnd w:id="91"/>
    <w:bookmarkStart w:id="92" w:name="Xa03c31fd9b313d4d007825bba2e723ad328989b"/>
    <w:p>
      <w:pPr>
        <w:pStyle w:val="Heading2"/>
      </w:pPr>
      <w:r>
        <w:t xml:space="preserve">Annexe C : Instructions (prompts) des modèles de langage</w:t>
      </w:r>
    </w:p>
    <w:p>
      <w:pPr>
        <w:pStyle w:val="FirstParagraph"/>
      </w:pPr>
      <w:r>
        <w:t xml:space="preserve">[À INSÉRER — instruction d’extraction Gemini et instruction de repli Groq/Llama, conformément au livrable « Prompts IA » du cahier des charges.]</w:t>
      </w:r>
    </w:p>
    <w:bookmarkEnd w:id="92"/>
    <w:bookmarkStart w:id="93" w:name="annexe-d-workflow-n8n-documenté"/>
    <w:p>
      <w:pPr>
        <w:pStyle w:val="Heading2"/>
      </w:pPr>
      <w:r>
        <w:t xml:space="preserve">Annexe D : Workflow n8n documenté</w:t>
      </w:r>
    </w:p>
    <w:p>
      <w:pPr>
        <w:pStyle w:val="FirstParagraph"/>
      </w:pPr>
      <w:r>
        <w:t xml:space="preserve">[À INSÉRER — export JSON du workflow de réception Telegram et captures d’écran annotées, conformément au livrable « Workflow n8n entièrement documenté ».]</w:t>
      </w:r>
    </w:p>
    <w:bookmarkEnd w:id="93"/>
    <w:bookmarkStart w:id="94" w:name="annexe-e-documentation-dinstallation"/>
    <w:p>
      <w:pPr>
        <w:pStyle w:val="Heading2"/>
      </w:pPr>
      <w:r>
        <w:t xml:space="preserve">Annexe E : Documentation d’installation</w:t>
      </w:r>
    </w:p>
    <w:p>
      <w:pPr>
        <w:pStyle w:val="FirstParagraph"/>
      </w:pPr>
      <w:r>
        <w:t xml:space="preserve">[À INSÉRER — procédure d’installation : prérequis, Docker Compose, variables d’environnement, lancement du service IA, activation du workflow.]</w:t>
      </w:r>
    </w:p>
    <w:bookmarkEnd w:id="94"/>
    <w:bookmarkStart w:id="95" w:name="annexe-f-guide-utilisateur"/>
    <w:p>
      <w:pPr>
        <w:pStyle w:val="Heading2"/>
      </w:pPr>
      <w:r>
        <w:t xml:space="preserve">Annexe F : Guide utilisateur</w:t>
      </w:r>
    </w:p>
    <w:p>
      <w:pPr>
        <w:pStyle w:val="FirstParagraph"/>
      </w:pPr>
      <w:r>
        <w:t xml:space="preserve">[À INSÉRER — guide d’une page : comment envoyer son rapport vocal, que faire en cas d’erreur, utilisation du formulaire Web.]</w:t>
      </w:r>
    </w:p>
    <w:bookmarkEnd w:id="95"/>
    <w:bookmarkStart w:id="96" w:name="Xba6ea711cc714e70aad77fd90dccf3121c9596d"/>
    <w:p>
      <w:pPr>
        <w:pStyle w:val="Heading2"/>
      </w:pPr>
      <w:r>
        <w:t xml:space="preserve">Annexe G : Protocole et données du benchmark</w:t>
      </w:r>
    </w:p>
    <w:p>
      <w:pPr>
        <w:pStyle w:val="FirstParagraph"/>
      </w:pPr>
      <w:r>
        <w:t xml:space="preserve">[À INSÉRER — Sprint 1 : liste des énoncés du jeu de données simulé, transcriptions de référence, résultats bruts par moteur.]</w:t>
      </w:r>
    </w:p>
    <w:bookmarkEnd w:id="96"/>
    <w:bookmarkEnd w:id="97"/>
    <w:sectPr>
      <w:footnotePr>
        <w:numRestart w:val="eachSect"/>
      </w:footnotePr>
      <w:pgMar w:bottom="1417" w:left="1701"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heme="majorBidi" w:eastAsiaTheme="majorEastAsia" w:hAnsi="Times New Roman" w:hAnsiTheme="majorHAnsi"/>
      <w:b/>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240" w:lineRule="auto"/>
      <w:outlineLvl w:val="0"/>
    </w:pPr>
    <w:rPr>
      <w:rFonts w:ascii="Times New Roman" w:asciiTheme="majorHAnsi" w:cstheme="majorBidi" w:eastAsiaTheme="majorEastAsia" w:hAnsi="Times New Roman" w:hAnsiTheme="majorHAnsi"/>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240" w:lineRule="auto"/>
      <w:outlineLvl w:val="1"/>
    </w:pPr>
    <w:rPr>
      <w:rFonts w:ascii="Times New Roman" w:asciiTheme="majorHAnsi" w:cstheme="majorBidi" w:eastAsiaTheme="majorEastAsia" w:hAnsi="Times New Roman" w:hAnsiTheme="majorHAnsi"/>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240" w:lineRule="auto"/>
      <w:outlineLvl w:val="2"/>
    </w:pPr>
    <w:rPr>
      <w:rFonts w:ascii="Times New Roman" w:cstheme="majorBidi"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rFonts w:ascii="Times New Roman" w:hAnsi="Times New Roman"/>
      <w:sz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hAnsi="Times New Roman"/>
      <w:i/>
      <w:sz w:val="20"/>
    </w:rPr>
  </w:style>
  <w:style w:customStyle="1" w:styleId="TableCaption" w:type="paragraph">
    <w:name w:val="Table Caption"/>
    <w:basedOn w:val="Caption"/>
    <w:pPr>
      <w:keepNext/>
    </w:pPr>
    <w:rPr>
      <w:rFonts w:ascii="Times New Roman" w:hAnsi="Times New Roman"/>
      <w:sz w:val="20"/>
    </w:rPr>
  </w:style>
  <w:style w:customStyle="1" w:styleId="ImageCaption" w:type="paragraph">
    <w:name w:val="Image Caption"/>
    <w:basedOn w:val="Caption"/>
    <w:rPr>
      <w:rFonts w:ascii="Times New Roman" w:hAnsi="Times New Roman"/>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2026-07-17T22:19:54Z</dcterms:created>
  <dcterms:modified xsi:type="dcterms:W3CDTF">2026-07-17T22:19:54Z</dcterms:modified>
</cp:coreProperties>
</file>

<file path=docProps/custom.xml><?xml version="1.0" encoding="utf-8"?>
<Properties xmlns="http://schemas.openxmlformats.org/officeDocument/2006/custom-properties" xmlns:vt="http://schemas.openxmlformats.org/officeDocument/2006/docPropsVTypes"/>
</file>