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merciements"/>
    <w:bookmarkEnd w:id="9"/>
    <w:bookmarkStart w:id="10" w:name="résumé"/>
    <w:bookmarkEnd w:id="10"/>
    <w:bookmarkStart w:id="11" w:name="abstract"/>
    <w:bookmarkEnd w:id="11"/>
    <w:bookmarkStart w:id="12" w:name="ملخص"/>
    <w:bookmarkEnd w:id="12"/>
    <w:bookmarkStart w:id="13" w:name="table-des-matières"/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</w:r>
          <w:r>
            <w:instrText xml:space="preserve"> TOC \o "1-3" \h \z \u </w:instrText>
          </w:r>
          <w:r>
            <w:fldChar w:fldCharType="separate"/>
          </w:r>
          <w:r>
            <w:t>Ouvrir dans Word puis appuyer sur F9 pour générer la table des matières.</w:t>
          </w:r>
          <w:r>
            <w:fldChar w:fldCharType="end"/>
          </w:r>
        </w:p>
      </w:sdtContent>
    </w:sdt>
    <w:bookmarkEnd w:id="13"/>
    <w:bookmarkStart w:id="14" w:name="liste-des-figures"/>
    <w:bookmarkEnd w:id="14"/>
    <w:bookmarkStart w:id="15" w:name="liste-des-tableaux"/>
    <w:bookmarkEnd w:id="15"/>
    <w:bookmarkStart w:id="16" w:name="liste-des-abréviations-et-acronymes"/>
    <w:bookmarkEnd w:id="16"/>
    <w:bookmarkStart w:id="17" w:name="introduction-générale"/>
    <w:bookmarkEnd w:id="17"/>
    <w:bookmarkStart w:id="34" w:name="chapitre-1-contexte-général-du-projet"/>
    <w:bookmarkStart w:id="18" w:name="introduction-du-chapitre"/>
    <w:bookmarkEnd w:id="18"/>
    <w:bookmarkStart w:id="19" w:name="présentation-de-lorganisme-daccueil"/>
    <w:bookmarkEnd w:id="19"/>
    <w:bookmarkStart w:id="23" w:name="étude-de-lexistant"/>
    <w:bookmarkStart w:id="20" w:name="processus-actuel"/>
    <w:bookmarkEnd w:id="20"/>
    <w:bookmarkStart w:id="21" w:name="limites-identifiées"/>
    <w:bookmarkEnd w:id="21"/>
    <w:bookmarkStart w:id="22" w:name="Xe8b754e21acbb608b7f9b09048408126d3063b9"/>
    <w:bookmarkEnd w:id="22"/>
    <w:bookmarkEnd w:id="23"/>
    <w:bookmarkStart w:id="24" w:name="problématique"/>
    <w:bookmarkEnd w:id="24"/>
    <w:bookmarkStart w:id="28" w:name="analyse-des-besoins"/>
    <w:bookmarkStart w:id="25" w:name="besoins-fonctionnels"/>
    <w:bookmarkEnd w:id="25"/>
    <w:bookmarkStart w:id="26" w:name="besoins-non-fonctionnels"/>
    <w:bookmarkEnd w:id="26"/>
    <w:bookmarkStart w:id="27" w:name="priorisation-moscow"/>
    <w:bookmarkEnd w:id="27"/>
    <w:bookmarkEnd w:id="28"/>
    <w:bookmarkStart w:id="32" w:name="conduite-du-projet"/>
    <w:bookmarkStart w:id="29" w:name="méthodologie-scrum-allégé"/>
    <w:bookmarkEnd w:id="29"/>
    <w:bookmarkStart w:id="30" w:name="planification"/>
    <w:bookmarkEnd w:id="30"/>
    <w:bookmarkStart w:id="31" w:name="gestion-des-risques"/>
    <w:bookmarkEnd w:id="31"/>
    <w:bookmarkEnd w:id="32"/>
    <w:bookmarkStart w:id="33" w:name="conclusion-du-chapitre"/>
    <w:bookmarkEnd w:id="33"/>
    <w:bookmarkEnd w:id="34"/>
    <w:bookmarkStart w:id="49" w:name="Xa3be871949d6d48f66a4ff8424f6350a01ded69"/>
    <w:bookmarkStart w:id="35" w:name="introduction-du-chapitre-1"/>
    <w:bookmarkEnd w:id="35"/>
    <w:bookmarkStart w:id="40" w:name="Xb0a003010259059e889bb8133d8de16559e7686"/>
    <w:bookmarkStart w:id="36" w:name="le-darija-une-langue-peu-dotée"/>
    <w:bookmarkEnd w:id="36"/>
    <w:bookmarkStart w:id="37" w:name="les-modèles-de-bout-en-bout-whisper"/>
    <w:bookmarkEnd w:id="37"/>
    <w:bookmarkStart w:id="38" w:name="alternatives-évaluées"/>
    <w:bookmarkEnd w:id="38"/>
    <w:bookmarkStart w:id="39" w:name="métriques-dévaluation"/>
    <w:bookmarkEnd w:id="39"/>
    <w:bookmarkEnd w:id="40"/>
    <w:bookmarkStart w:id="44" w:name="Xb9a2307ab007d14c8ee8dfda3fae9d84ea631d0"/>
    <w:bookmarkStart w:id="41" w:name="de-lextraction-classique-aux-llm"/>
    <w:bookmarkEnd w:id="41"/>
    <w:bookmarkStart w:id="42" w:name="sorties-structurées-et-fiabilité"/>
    <w:bookmarkEnd w:id="42"/>
    <w:bookmarkStart w:id="43" w:name="modèles-candidats"/>
    <w:bookmarkEnd w:id="43"/>
    <w:bookmarkEnd w:id="44"/>
    <w:bookmarkStart w:id="45" w:name="plateformes-dorchestration"/>
    <w:bookmarkEnd w:id="45"/>
    <w:bookmarkStart w:id="46" w:name="canal-de-réception-étude-comparative"/>
    <w:bookmarkEnd w:id="46"/>
    <w:bookmarkStart w:id="47" w:name="synthèse-des-choix-technologiques"/>
    <w:bookmarkEnd w:id="47"/>
    <w:bookmarkStart w:id="48" w:name="conclusion-du-chapitre-1"/>
    <w:bookmarkEnd w:id="48"/>
    <w:bookmarkEnd w:id="49"/>
    <w:bookmarkStart w:id="69" w:name="chapitre-3-conception-de-la-solution"/>
    <w:bookmarkStart w:id="50" w:name="introduction-du-chapitre-2"/>
    <w:bookmarkEnd w:id="50"/>
    <w:bookmarkStart w:id="54" w:name="architecture-générale"/>
    <w:bookmarkStart w:id="51" w:name="le-choix-dune-architecture-hybride"/>
    <w:bookmarkEnd w:id="51"/>
    <w:bookmarkStart w:id="52" w:name="flux-nominal"/>
    <w:bookmarkEnd w:id="52"/>
    <w:bookmarkStart w:id="53" w:name="diagrammes-uml"/>
    <w:bookmarkEnd w:id="53"/>
    <w:bookmarkEnd w:id="54"/>
    <w:bookmarkStart w:id="57" w:name="modèle-de-données"/>
    <w:bookmarkStart w:id="55" w:name="le-rapport-structuré-contrat-central"/>
    <w:bookmarkEnd w:id="55"/>
    <w:bookmarkStart w:id="56" w:name="politique-aucune-donnée-inventée"/>
    <w:bookmarkEnd w:id="56"/>
    <w:bookmarkEnd w:id="57"/>
    <w:bookmarkStart w:id="63" w:name="Xb9fcba7273af4088fa4c7f66dbb5dd7a2456079"/>
    <w:bookmarkStart w:id="58" w:name="interface-unique"/>
    <w:bookmarkEnd w:id="58"/>
    <w:bookmarkStart w:id="59" w:name="patron-stratégie-pour-la-transcription"/>
    <w:bookmarkEnd w:id="59"/>
    <w:bookmarkStart w:id="60" w:name="extraction-en-chaîne-de-repli"/>
    <w:bookmarkEnd w:id="60"/>
    <w:bookmarkStart w:id="61" w:name="contrat-derreurs"/>
    <w:bookmarkEnd w:id="61"/>
    <w:bookmarkStart w:id="62" w:name="configuration"/>
    <w:bookmarkEnd w:id="62"/>
    <w:bookmarkEnd w:id="63"/>
    <w:bookmarkStart w:id="66" w:name="conception-du-workflow-dorchestration"/>
    <w:bookmarkStart w:id="64" w:name="réception-par-interrogation-périodique"/>
    <w:bookmarkEnd w:id="64"/>
    <w:bookmarkStart w:id="65" w:name="structure-du-workflow"/>
    <w:bookmarkEnd w:id="65"/>
    <w:bookmarkEnd w:id="66"/>
    <w:bookmarkStart w:id="67" w:name="sécurité"/>
    <w:bookmarkEnd w:id="67"/>
    <w:bookmarkStart w:id="68" w:name="conclusion-du-chapitre-2"/>
    <w:bookmarkEnd w:id="68"/>
    <w:bookmarkEnd w:id="69"/>
    <w:bookmarkStart w:id="87" w:name="Xebeec607f6b41c35aae0b8d9cb82495873dcfd3"/>
    <w:bookmarkStart w:id="70" w:name="introduction-du-chapitre-3"/>
    <w:bookmarkEnd w:id="70"/>
    <w:bookmarkStart w:id="71" w:name="environnement-et-outils-de-développement"/>
    <w:bookmarkEnd w:id="71"/>
    <w:bookmarkStart w:id="77" w:name="X84d30246b367384b490b838601a58d22a4668a8"/>
    <w:bookmarkStart w:id="72" w:name="point-dentrée-process"/>
    <w:bookmarkEnd w:id="72"/>
    <w:bookmarkStart w:id="73" w:name="adaptateurs-de-transcription"/>
    <w:bookmarkEnd w:id="73"/>
    <w:bookmarkStart w:id="74" w:name="extraction-et-reformulation"/>
    <w:bookmarkEnd w:id="74"/>
    <w:bookmarkStart w:id="75" w:name="difficultés-rencontrées-et-résolutions"/>
    <w:bookmarkEnd w:id="75"/>
    <w:bookmarkStart w:id="76" w:name="stratégie-de-test"/>
    <w:bookmarkEnd w:id="76"/>
    <w:bookmarkEnd w:id="77"/>
    <w:bookmarkStart w:id="78" w:name="X2c6a241a83fa26350b2d506cdf562d0f2f7fd6d"/>
    <w:bookmarkEnd w:id="78"/>
    <w:bookmarkStart w:id="85" w:name="résultats-intermédiaires"/>
    <w:bookmarkStart w:id="79" w:name="chaîne-de-bout-en-bout-opérationnelle"/>
    <w:bookmarkEnd w:id="79"/>
    <w:bookmarkStart w:id="80" w:name="vérification-isolée-des-moteurs"/>
    <w:bookmarkEnd w:id="80"/>
    <w:bookmarkStart w:id="81" w:name="X7c0a5b52c1f481400cc5546dacdbf164a5b7d1f"/>
    <w:bookmarkEnd w:id="81"/>
    <w:bookmarkStart w:id="82" w:name="benchmark-des-moteurs-de-transcription"/>
    <w:bookmarkEnd w:id="82"/>
    <w:bookmarkStart w:id="83" w:name="Xb73d63e184657a98e94801056a14beedd4889d0"/>
    <w:bookmarkEnd w:id="83"/>
    <w:bookmarkStart w:id="84" w:name="pilote"/>
    <w:bookmarkEnd w:id="84"/>
    <w:bookmarkEnd w:id="85"/>
    <w:bookmarkStart w:id="86" w:name="conclusion-du-chapitre-3"/>
    <w:bookmarkEnd w:id="86"/>
    <w:bookmarkEnd w:id="87"/>
    <w:bookmarkStart w:id="88" w:name="conclusion-générale-et-perspectives"/>
    <w:bookmarkEnd w:id="88"/>
    <w:bookmarkStart w:id="89" w:name="références-bibliographiques"/>
    <w:bookmarkEnd w:id="89"/>
    <w:bookmarkStart w:id="97" w:name="annexes"/>
    <w:bookmarkStart w:id="90" w:name="annexe-a-cahier-des-charges"/>
    <w:bookmarkEnd w:id="90"/>
    <w:bookmarkStart w:id="91" w:name="X32e70b60c6d879e694a4389de51555c09c82202"/>
    <w:bookmarkEnd w:id="91"/>
    <w:bookmarkStart w:id="92" w:name="Xa03c31fd9b313d4d007825bba2e723ad328989b"/>
    <w:bookmarkEnd w:id="92"/>
    <w:bookmarkStart w:id="93" w:name="annexe-d-workflow-n8n-documenté"/>
    <w:bookmarkEnd w:id="93"/>
    <w:bookmarkStart w:id="94" w:name="annexe-e-documentation-dinstallation"/>
    <w:bookmarkEnd w:id="94"/>
    <w:bookmarkStart w:id="95" w:name="annexe-f-guide-utilisateur"/>
    <w:bookmarkEnd w:id="95"/>
    <w:bookmarkStart w:id="96" w:name="Xba6ea711cc714e70aad77fd90dccf3121c9596d"/>
    <w:bookmarkEnd w:id="96"/>
    <w:bookmarkEnd w:id="97"/>
    <w:sectPr>
      <w:headerReference w:type="default" r:id="rId9"/>
      <w:footerReference w:type="default" r:id="rId10"/>
      <w:headerReference w:type="first" r:id="rId11"/>
      <w:footerReference w:type="first" r:id="rId12"/>
      <w:footnotePr>
        <w:numRestart w:val="eachSect"/>
      </w:footnotePr>
      <w:pgMar w:bottom="1417" w:left="1701" w:right="1417" w:top="1417" w:header="680" w:footer="56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2" w:color="7F7F7F"/>
      </w:pBdr>
    </w:pPr>
    <w:r/>
    <w:r>
      <w:rPr>
        <w:b w:val="0"/>
        <w:i w:val="0"/>
        <w:color w:val="595959"/>
        <w:sz w:val="16"/>
      </w:rPr>
      <w:t xml:space="preserve">Page </w:t>
    </w:r>
    <w:r>
      <w:rPr>
        <w:b w:val="0"/>
        <w:i w:val="0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b w:val="0"/>
        <w:i w:val="0"/>
        <w:color w:val="595959"/>
        <w:sz w:val="16"/>
      </w:rPr>
      <w:t xml:space="preserve"> sur </w:t>
    </w:r>
    <w:r>
      <w:rPr>
        <w:b w:val="0"/>
        <w:i w:val="0"/>
        <w:color w:val="595959"/>
        <w:sz w:val="16"/>
      </w:rPr>
      <w:fldChar w:fldCharType="begin"/>
      <w:instrText xml:space="preserve"> SECTIONPAGES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pBdr>
        <w:bottom w:val="single" w:sz="6" w:space="2" w:color="7F7F7F"/>
      </w:pBdr>
    </w:pPr>
    <w:r/>
    <w:r>
      <w:rPr>
        <w:b w:val="0"/>
        <w:i/>
        <w:color w:val="595959"/>
        <w:sz w:val="16"/>
      </w:rPr>
      <w:t>Automatisation des rapports journaliers de chantier par intelligence artificielle</w:t>
    </w:r>
    <w:r>
      <w:tab/>
    </w:r>
    <w:r>
      <w:rPr>
        <w:b/>
        <w:i w:val="0"/>
        <w:color w:val="595959"/>
        <w:sz w:val="16"/>
      </w:rPr>
      <w:t>EMSI Rabat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tblPr>
      <w:tblBorders>
        <w:top w:val="single" w:sz="8" w:space="0" w:color="8C8C8C"/>
        <w:left w:val="single" w:sz="8" w:space="0" w:color="8C8C8C"/>
        <w:bottom w:val="single" w:sz="8" w:space="0" w:color="8C8C8C"/>
        <w:right w:val="single" w:sz="8" w:space="0" w:color="8C8C8C"/>
        <w:insideH w:val="single" w:sz="8" w:space="0" w:color="8C8C8C"/>
        <w:insideV w:val="single" w:sz="8" w:space="0" w:color="8C8C8C"/>
      </w:tblBorders>
    </w:tbl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240" w:lineRule="auto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240" w:lineRule="auto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40" w:lineRule="auto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val="single" w:sz="8" w:space="0" w:color="8C8C8C"/>
        <w:left w:val="single" w:sz="8" w:space="0" w:color="8C8C8C"/>
        <w:bottom w:val="single" w:sz="8" w:space="0" w:color="8C8C8C"/>
        <w:right w:val="single" w:sz="8" w:space="0" w:color="8C8C8C"/>
        <w:insideH w:val="single" w:sz="8" w:space="0" w:color="8C8C8C"/>
        <w:insideV w:val="single" w:sz="8" w:space="0" w:color="8C8C8C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sz w:val="20"/>
    </w:rPr>
  </w:style>
  <w:style w:customStyle="1" w:styleId="TableCaption" w:type="paragraph">
    <w:name w:val="Table Caption"/>
    <w:basedOn w:val="Normal"/>
    <w:pPr>
      <w:keepNext/>
      <w:spacing w:before="40" w:after="280"/>
      <w:jc w:val="center"/>
    </w:pPr>
    <w:rPr>
      <w:rFonts w:ascii="Times New Roman" w:hAnsi="Times New Roman"/>
      <w:i/>
      <w:color w:val="404040"/>
      <w:sz w:val="19"/>
    </w:rPr>
  </w:style>
  <w:style w:customStyle="1" w:styleId="ImageCaption" w:type="paragraph">
    <w:name w:val="Image Caption"/>
    <w:basedOn w:val="Caption"/>
    <w:rPr>
      <w:rFonts w:ascii="Times New Roman" w:hAnsi="Times New Roman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 w:line="240" w:lineRule="auto"/>
      <w:contextualSpacing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verLogos">
    <w:name w:val="CoverLogos"/>
    <w:basedOn w:val="Normal"/>
    <w:pPr>
      <w:spacing w:after="480" w:before="0"/>
      <w:jc w:val="center"/>
    </w:pPr>
    <w:rPr>
      <w:b w:val="0"/>
      <w:i w:val="0"/>
      <w:caps w:val="0"/>
      <w:sz w:val="22"/>
    </w:rPr>
  </w:style>
  <w:style w:type="paragraph" w:customStyle="1" w:styleId="CoverSchool">
    <w:name w:val="CoverSchool"/>
    <w:basedOn w:val="Normal"/>
    <w:pPr>
      <w:spacing w:after="40" w:before="0"/>
      <w:jc w:val="center"/>
    </w:pPr>
    <w:rPr>
      <w:b/>
      <w:i w:val="0"/>
      <w:caps w:val="0"/>
      <w:color w:val="1F5C34"/>
      <w:sz w:val="30"/>
    </w:rPr>
  </w:style>
  <w:style w:type="paragraph" w:customStyle="1" w:styleId="CoverSub">
    <w:name w:val="CoverSub"/>
    <w:basedOn w:val="Normal"/>
    <w:pPr>
      <w:spacing w:after="360" w:before="0"/>
      <w:jc w:val="center"/>
    </w:pPr>
    <w:rPr>
      <w:b w:val="0"/>
      <w:i/>
      <w:caps w:val="0"/>
      <w:color w:val="595959"/>
      <w:sz w:val="21"/>
    </w:rPr>
  </w:style>
  <w:style w:type="paragraph" w:customStyle="1" w:styleId="CoverKind">
    <w:name w:val="CoverKind"/>
    <w:basedOn w:val="Normal"/>
    <w:pPr>
      <w:spacing w:after="40" w:before="0"/>
      <w:jc w:val="center"/>
    </w:pPr>
    <w:rPr>
      <w:b/>
      <w:i w:val="0"/>
      <w:caps w:val="0"/>
      <w:sz w:val="24"/>
    </w:rPr>
  </w:style>
  <w:style w:type="paragraph" w:customStyle="1" w:styleId="CoverKindSub">
    <w:name w:val="CoverKindSub"/>
    <w:basedOn w:val="Normal"/>
    <w:pPr>
      <w:spacing w:after="520" w:before="0"/>
      <w:jc w:val="center"/>
    </w:pPr>
    <w:rPr>
      <w:b w:val="0"/>
      <w:i/>
      <w:caps w:val="0"/>
      <w:color w:val="595959"/>
      <w:sz w:val="21"/>
    </w:rPr>
  </w:style>
  <w:style w:type="paragraph" w:customStyle="1" w:styleId="CoverTitle">
    <w:name w:val="CoverTitle"/>
    <w:basedOn w:val="Normal"/>
    <w:pPr>
      <w:spacing w:after="160" w:before="0"/>
      <w:jc w:val="center"/>
    </w:pPr>
    <w:rPr>
      <w:b/>
      <w:i w:val="0"/>
      <w:caps w:val="0"/>
      <w:color w:val="14304A"/>
      <w:sz w:val="38"/>
    </w:rPr>
  </w:style>
  <w:style w:type="paragraph" w:customStyle="1" w:styleId="CoverSubtitle">
    <w:name w:val="CoverSubtitle"/>
    <w:basedOn w:val="Normal"/>
    <w:pPr>
      <w:spacing w:after="520" w:before="0"/>
      <w:jc w:val="center"/>
    </w:pPr>
    <w:rPr>
      <w:b w:val="0"/>
      <w:i w:val="0"/>
      <w:caps w:val="0"/>
      <w:color w:val="2F5C7A"/>
      <w:sz w:val="26"/>
    </w:rPr>
  </w:style>
  <w:style w:type="paragraph" w:customStyle="1" w:styleId="CoverMeta">
    <w:name w:val="CoverMeta"/>
    <w:basedOn w:val="Normal"/>
    <w:pPr>
      <w:spacing w:after="60" w:before="0"/>
      <w:jc w:val="center"/>
    </w:pPr>
    <w:rPr>
      <w:b w:val="0"/>
      <w:i w:val="0"/>
      <w:caps w:val="0"/>
      <w:sz w:val="22"/>
    </w:rPr>
  </w:style>
  <w:style w:type="paragraph" w:customStyle="1" w:styleId="CoverFoot">
    <w:name w:val="CoverFoot"/>
    <w:basedOn w:val="Normal"/>
    <w:pPr>
      <w:spacing w:after="40" w:before="0"/>
      <w:jc w:val="center"/>
    </w:pPr>
    <w:rPr>
      <w:b w:val="0"/>
      <w:i/>
      <w:caps w:val="0"/>
      <w:color w:val="595959"/>
      <w:sz w:val="20"/>
    </w:rPr>
  </w:style>
  <w:style w:type="paragraph" w:customStyle="1" w:styleId="FigureImage">
    <w:name w:val="FigureImage"/>
    <w:basedOn w:val="Normal"/>
    <w:pPr>
      <w:keepNext/>
      <w:spacing w:before="200" w:after="80"/>
      <w:jc w:val="center"/>
    </w:pPr>
    <w:rPr>
      <w:i w:val="0"/>
      <w:sz w:val="22"/>
    </w:rPr>
  </w:style>
  <w:style w:type="paragraph" w:customStyle="1" w:styleId="FigureCaption">
    <w:name w:val="FigureCaption"/>
    <w:basedOn w:val="Normal"/>
    <w:pPr>
      <w:keepNext w:val="0"/>
      <w:spacing w:before="0" w:after="280"/>
      <w:jc w:val="center"/>
    </w:pPr>
    <w:rPr>
      <w:i/>
      <w:color w:val="404040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2026-07-17T22:19:54Z</dcterms:created>
  <dcterms:modified xsi:type="dcterms:W3CDTF">2026-07-17T22:19:54Z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