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31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018"/>
        <w:gridCol w:w="443"/>
        <w:gridCol w:w="61"/>
        <w:gridCol w:w="86"/>
        <w:gridCol w:w="3599"/>
        <w:tblGridChange w:id="0">
          <w:tblGrid>
            <w:gridCol w:w="6018"/>
            <w:gridCol w:w="443"/>
            <w:gridCol w:w="61"/>
            <w:gridCol w:w="86"/>
            <w:gridCol w:w="3599"/>
          </w:tblGrid>
        </w:tblGridChange>
      </w:tblGrid>
      <w:tr>
        <w:trPr>
          <w:trHeight w:val="680" w:hRule="atLeast"/>
        </w:trPr>
        <w:tc>
          <w:tcPr>
            <w:gridSpan w:val="3"/>
            <w:tcBorders>
              <w:top w:color="4f81bd" w:space="0" w:sz="4" w:val="single"/>
              <w:left w:color="4f81bd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1">
            <w:pPr>
              <w:rPr>
                <w:color w:val="4f81b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Auteurs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f81bd"/>
                <w:rtl w:val="0"/>
              </w:rPr>
              <w:t xml:space="preserve">Geoffrey Copin</w:t>
            </w:r>
          </w:p>
          <w:p w:rsidR="00000000" w:rsidDel="00000000" w:rsidP="00000000" w:rsidRDefault="00000000" w:rsidRPr="00000000" w14:paraId="00000002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Yassine Ben Jemia</w:t>
            </w:r>
          </w:p>
          <w:p w:rsidR="00000000" w:rsidDel="00000000" w:rsidP="00000000" w:rsidRDefault="00000000" w:rsidRPr="00000000" w14:paraId="00000003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Zakaria Hamidi</w:t>
            </w:r>
          </w:p>
          <w:p w:rsidR="00000000" w:rsidDel="00000000" w:rsidP="00000000" w:rsidRDefault="00000000" w:rsidRPr="00000000" w14:paraId="00000004">
            <w:pPr>
              <w:rPr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4" w:val="single"/>
              <w:left w:color="000000" w:space="0" w:sz="0" w:val="nil"/>
              <w:bottom w:color="000000" w:space="0" w:sz="0" w:val="nil"/>
              <w:right w:color="4f81bd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color w:val="4f81bd"/>
                <w:rtl w:val="0"/>
              </w:rPr>
              <w:t xml:space="preserve">31</w:t>
            </w:r>
            <w:r w:rsidDel="00000000" w:rsidR="00000000" w:rsidRPr="00000000">
              <w:rPr>
                <w:color w:val="4f81bd"/>
                <w:sz w:val="24"/>
                <w:szCs w:val="24"/>
                <w:rtl w:val="0"/>
              </w:rPr>
              <w:t xml:space="preserve">/10/2018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4f81bd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Type 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f81bd"/>
                <w:rtl w:val="0"/>
              </w:rPr>
              <w:t xml:space="preserve">Spécification Technique des Besoins et Exigences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1f497d"/>
                <w:rtl w:val="0"/>
              </w:rPr>
              <w:t xml:space="preserve">Equipe 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f81bd"/>
                <w:rtl w:val="0"/>
              </w:rPr>
              <w:t xml:space="preserve">Geoffrey Copin, Yassine Ben Jemia, Zakaria Hamidi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4f81bd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color w:val="1f497d"/>
                <w:rtl w:val="0"/>
              </w:rPr>
              <w:t xml:space="preserve">Statut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f81bd"/>
                <w:rtl w:val="0"/>
              </w:rPr>
              <w:t xml:space="preserve">En cours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0" w:val="nil"/>
              <w:left w:color="4f81bd" w:space="0" w:sz="4" w:val="single"/>
              <w:bottom w:color="4f81bd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1f497d"/>
                <w:rtl w:val="0"/>
              </w:rPr>
              <w:t xml:space="preserve">Destinataire(s) 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f81bd"/>
                <w:rtl w:val="0"/>
              </w:rPr>
              <w:t xml:space="preserve">CEA 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6" w:val="single"/>
              <w:right w:color="4f81bd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1f497d"/>
                <w:rtl w:val="0"/>
              </w:rPr>
              <w:t xml:space="preserve">Page(s)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color w:val="4f81bd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5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497d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1f497d"/>
                <w:sz w:val="36"/>
                <w:szCs w:val="36"/>
                <w:rtl w:val="0"/>
              </w:rPr>
              <w:t xml:space="preserve">Définition d’un éditeur d’argument de sûreté de fonctionnement</w:t>
            </w:r>
          </w:p>
        </w:tc>
      </w:tr>
      <w:tr>
        <w:trPr>
          <w:trHeight w:val="700" w:hRule="atLeast"/>
        </w:trPr>
        <w:tc>
          <w:tcPr>
            <w:gridSpan w:val="5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color w:val="1f497d"/>
                <w:sz w:val="36"/>
                <w:szCs w:val="36"/>
                <w:rtl w:val="0"/>
              </w:rPr>
              <w:t xml:space="preserve">Spécification Technique des Besoins et Exigences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10"/>
        <w:gridCol w:w="2310"/>
        <w:gridCol w:w="2310"/>
        <w:gridCol w:w="3150"/>
        <w:tblGridChange w:id="0">
          <w:tblGrid>
            <w:gridCol w:w="2310"/>
            <w:gridCol w:w="2310"/>
            <w:gridCol w:w="2310"/>
            <w:gridCol w:w="31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Rédacteur(s)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10/10/2018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Geoffrey Copin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25/10/2018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-Cas d’utilisation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-Planification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-Définir les contraintes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Définition du projet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Geoffrey Copin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Yassine Ben Jemia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Zakaria Hamidi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27/10/2018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-Cas d’utilisation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Geoffrey Copin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30/10/2018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-Tests d’intégration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WBS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Modification du diagramme de PERTT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-Diagramme de Package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Geoffrey Copin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Yassine Ben Jemia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Zakaria Hamidi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31/10/2018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-Corrections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Ajout de contrainte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Yassine Ben Jemia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Geoffrey Copin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f497d"/>
          <w:sz w:val="36"/>
          <w:szCs w:val="36"/>
        </w:rPr>
      </w:pPr>
      <w:r w:rsidDel="00000000" w:rsidR="00000000" w:rsidRPr="00000000">
        <w:rPr>
          <w:b w:val="1"/>
          <w:color w:val="1f497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4f81bd"/>
          <w:sz w:val="28"/>
          <w:szCs w:val="28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Table des Matières</w:t>
      </w:r>
    </w:p>
    <w:p w:rsidR="00000000" w:rsidDel="00000000" w:rsidP="00000000" w:rsidRDefault="00000000" w:rsidRPr="00000000" w14:paraId="0000004D">
      <w:pPr>
        <w:rPr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940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dl5g8mtfmkh">
            <w:r w:rsidDel="00000000" w:rsidR="00000000" w:rsidRPr="00000000">
              <w:rPr>
                <w:b w:val="1"/>
                <w:rtl w:val="0"/>
              </w:rPr>
              <w:t xml:space="preserve">Définition du projet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_1dl5g8mtfmkh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gw7slqfrbgjv">
            <w:r w:rsidDel="00000000" w:rsidR="00000000" w:rsidRPr="00000000">
              <w:rPr>
                <w:rtl w:val="0"/>
              </w:rPr>
              <w:t xml:space="preserve">Objectifs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_gw7slqfrbgjv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ixwqh6ugx0of">
            <w:r w:rsidDel="00000000" w:rsidR="00000000" w:rsidRPr="00000000">
              <w:rPr>
                <w:rtl w:val="0"/>
              </w:rPr>
              <w:t xml:space="preserve">Périmètre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_ixwqh6ugx0of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f6rguk9wklxr">
            <w:r w:rsidDel="00000000" w:rsidR="00000000" w:rsidRPr="00000000">
              <w:rPr>
                <w:rtl w:val="0"/>
              </w:rPr>
              <w:t xml:space="preserve">Contexte de l’organisation existante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_f6rguk9wklxr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iilye4lipzv6">
            <w:r w:rsidDel="00000000" w:rsidR="00000000" w:rsidRPr="00000000">
              <w:rPr>
                <w:rtl w:val="0"/>
              </w:rPr>
              <w:t xml:space="preserve">Concepts du langage GSN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_iilye4lipzv6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406"/>
            </w:tabs>
            <w:spacing w:before="60" w:line="240" w:lineRule="auto"/>
            <w:ind w:left="720" w:firstLine="0"/>
            <w:rPr/>
          </w:pPr>
          <w:hyperlink w:anchor="_xn61y8qv6ya2">
            <w:r w:rsidDel="00000000" w:rsidR="00000000" w:rsidRPr="00000000">
              <w:rPr>
                <w:rtl w:val="0"/>
              </w:rPr>
              <w:t xml:space="preserve">Éléments de 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_xn61y8qv6ya2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406"/>
            </w:tabs>
            <w:spacing w:before="60" w:line="240" w:lineRule="auto"/>
            <w:ind w:left="720" w:firstLine="0"/>
            <w:rPr/>
          </w:pPr>
          <w:hyperlink w:anchor="_cj1p5vc7c8oe">
            <w:r w:rsidDel="00000000" w:rsidR="00000000" w:rsidRPr="00000000">
              <w:rPr>
                <w:rtl w:val="0"/>
              </w:rPr>
              <w:t xml:space="preserve">Abstraction structurelle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_cj1p5vc7c8oe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406"/>
            </w:tabs>
            <w:spacing w:before="60" w:line="240" w:lineRule="auto"/>
            <w:ind w:left="720" w:firstLine="0"/>
            <w:rPr/>
          </w:pPr>
          <w:hyperlink w:anchor="_686d5qb5xt4q">
            <w:r w:rsidDel="00000000" w:rsidR="00000000" w:rsidRPr="00000000">
              <w:rPr>
                <w:rtl w:val="0"/>
              </w:rPr>
              <w:t xml:space="preserve">Abstraction modulaire: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_686d5qb5xt4q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406"/>
            </w:tabs>
            <w:spacing w:before="200" w:line="240" w:lineRule="auto"/>
            <w:ind w:left="0" w:firstLine="0"/>
            <w:rPr/>
          </w:pPr>
          <w:hyperlink w:anchor="_8spr1gg2ijpg">
            <w:r w:rsidDel="00000000" w:rsidR="00000000" w:rsidRPr="00000000">
              <w:rPr>
                <w:b w:val="1"/>
                <w:rtl w:val="0"/>
              </w:rPr>
              <w:t xml:space="preserve">Définition du système à réaliser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_8spr1gg2ijpg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isip0zyw0m4b">
            <w:r w:rsidDel="00000000" w:rsidR="00000000" w:rsidRPr="00000000">
              <w:rPr>
                <w:rtl w:val="0"/>
              </w:rPr>
              <w:t xml:space="preserve">Architecture fonctionnelle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_isip0zyw0m4b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d4kjjswpsqxi">
            <w:r w:rsidDel="00000000" w:rsidR="00000000" w:rsidRPr="00000000">
              <w:rPr>
                <w:rtl w:val="0"/>
              </w:rPr>
              <w:t xml:space="preserve">Cas d’utilisation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_d4kjjswpsqxi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406"/>
            </w:tabs>
            <w:spacing w:before="60" w:line="240" w:lineRule="auto"/>
            <w:ind w:left="720" w:firstLine="0"/>
            <w:rPr/>
          </w:pPr>
          <w:hyperlink w:anchor="_r89yt9thzt83">
            <w:r w:rsidDel="00000000" w:rsidR="00000000" w:rsidRPr="00000000">
              <w:rPr>
                <w:rtl w:val="0"/>
              </w:rPr>
              <w:t xml:space="preserve">Interactions entre les cas d’utilisation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_r89yt9thzt83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406"/>
            </w:tabs>
            <w:spacing w:before="200" w:line="240" w:lineRule="auto"/>
            <w:ind w:left="0" w:firstLine="0"/>
            <w:rPr/>
          </w:pPr>
          <w:hyperlink w:anchor="_wxqqx6l6tqmh">
            <w:r w:rsidDel="00000000" w:rsidR="00000000" w:rsidRPr="00000000">
              <w:rPr>
                <w:b w:val="1"/>
                <w:rtl w:val="0"/>
              </w:rPr>
              <w:t xml:space="preserve">Contraintes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_wxqqx6l6tqmh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aep3uvezd5rt">
            <w:r w:rsidDel="00000000" w:rsidR="00000000" w:rsidRPr="00000000">
              <w:rPr>
                <w:rtl w:val="0"/>
              </w:rPr>
              <w:t xml:space="preserve">Contraintes fonctionnelles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_aep3uvezd5rt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ao9qxethy9b0">
            <w:r w:rsidDel="00000000" w:rsidR="00000000" w:rsidRPr="00000000">
              <w:rPr>
                <w:rtl w:val="0"/>
              </w:rPr>
              <w:t xml:space="preserve">Contraintes techniques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_ao9qxethy9b0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dx7ttlh28gvq">
            <w:r w:rsidDel="00000000" w:rsidR="00000000" w:rsidRPr="00000000">
              <w:rPr>
                <w:rtl w:val="0"/>
              </w:rPr>
              <w:t xml:space="preserve">Analyse des risques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_dx7ttlh28gvq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406"/>
            </w:tabs>
            <w:spacing w:before="60" w:line="240" w:lineRule="auto"/>
            <w:ind w:left="720" w:firstLine="0"/>
            <w:rPr/>
          </w:pPr>
          <w:hyperlink w:anchor="_bu0xcamj1nxu">
            <w:r w:rsidDel="00000000" w:rsidR="00000000" w:rsidRPr="00000000">
              <w:rPr>
                <w:rtl w:val="0"/>
              </w:rPr>
              <w:t xml:space="preserve">Risques liés aux contraintes fonctionnelles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_bu0xcamj1nxu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406"/>
            </w:tabs>
            <w:spacing w:before="60" w:line="240" w:lineRule="auto"/>
            <w:ind w:left="720" w:firstLine="0"/>
            <w:rPr/>
          </w:pPr>
          <w:hyperlink w:anchor="_h05zkfhscw5b">
            <w:r w:rsidDel="00000000" w:rsidR="00000000" w:rsidRPr="00000000">
              <w:rPr>
                <w:rtl w:val="0"/>
              </w:rPr>
              <w:t xml:space="preserve">Risques liés aux contraintes techniques 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_h05zkfhscw5b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406"/>
            </w:tabs>
            <w:spacing w:before="200" w:line="240" w:lineRule="auto"/>
            <w:ind w:left="0" w:firstLine="0"/>
            <w:rPr/>
          </w:pPr>
          <w:hyperlink w:anchor="_j0u3xys7aj6u">
            <w:r w:rsidDel="00000000" w:rsidR="00000000" w:rsidRPr="00000000">
              <w:rPr>
                <w:b w:val="1"/>
                <w:rtl w:val="0"/>
              </w:rPr>
              <w:t xml:space="preserve">Planification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_j0u3xys7aj6u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gxk94x3a96kr">
            <w:r w:rsidDel="00000000" w:rsidR="00000000" w:rsidRPr="00000000">
              <w:rPr>
                <w:rtl w:val="0"/>
              </w:rPr>
              <w:t xml:space="preserve">WBS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_gxk94x3a96kr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j6ozghl56vh1">
            <w:r w:rsidDel="00000000" w:rsidR="00000000" w:rsidRPr="00000000">
              <w:rPr>
                <w:rtl w:val="0"/>
              </w:rPr>
              <w:t xml:space="preserve">Diagramme de PERT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_j6ozghl56vh1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406"/>
            </w:tabs>
            <w:spacing w:before="60" w:line="240" w:lineRule="auto"/>
            <w:ind w:left="360" w:firstLine="0"/>
            <w:rPr/>
          </w:pPr>
          <w:hyperlink w:anchor="_qxu8ln6kfczc">
            <w:r w:rsidDel="00000000" w:rsidR="00000000" w:rsidRPr="00000000">
              <w:rPr>
                <w:rtl w:val="0"/>
              </w:rPr>
              <w:t xml:space="preserve">Diagramme de Gantt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_qxu8ln6kfczc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406"/>
            </w:tabs>
            <w:spacing w:after="80" w:before="200" w:line="240" w:lineRule="auto"/>
            <w:ind w:left="0" w:firstLine="0"/>
            <w:rPr/>
          </w:pPr>
          <w:hyperlink w:anchor="_3bvzi3qbzdrp">
            <w:r w:rsidDel="00000000" w:rsidR="00000000" w:rsidRPr="00000000">
              <w:rPr>
                <w:b w:val="1"/>
                <w:rtl w:val="0"/>
              </w:rPr>
              <w:t xml:space="preserve">Références 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_3bvzi3qbzdrp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bookmarkStart w:colFirst="0" w:colLast="0" w:name="_1dl5g8mtfmkh" w:id="0"/>
      <w:bookmarkEnd w:id="0"/>
      <w:r w:rsidDel="00000000" w:rsidR="00000000" w:rsidRPr="00000000">
        <w:rPr>
          <w:rtl w:val="0"/>
        </w:rPr>
        <w:t xml:space="preserve">Définition du projet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Une argumentation de sûreté de fonctionnement  est un raisonnement étayé par des preuves visant à montrer que le fonctionnement d’un système est conforme à un ensemble d’exigences. L’usage d’une notation structurée pour exprimer l’argumentation facilite la réalisation d’un projet en permettant de communiquer de façon succincte et non ambigüe.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La finalité de ce projet est de produire un éditeur graphique permettant de produire des diagrammes utilisant le langage Goal Structured Notation (GSN) pour représenter des argumentations de sûreté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fonctionnement.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yepjqugtkcq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gw7slqfrbgjv" w:id="2"/>
      <w:bookmarkEnd w:id="2"/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Offrir à l’utilisateur la possibilité de démontrer que le système conçu fonctionne comme prévu.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Augmenter la confidence dans la réduction des risques et l’amélioration de la fiabilité logicielle.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Faciliter le travail de l’utilisateur en offrant une interface graphique et des patterns d’argumentation.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ixwqh6ugx0of" w:id="3"/>
      <w:bookmarkEnd w:id="3"/>
      <w:r w:rsidDel="00000000" w:rsidR="00000000" w:rsidRPr="00000000">
        <w:rPr>
          <w:rtl w:val="0"/>
        </w:rPr>
        <w:t xml:space="preserve">Périmètre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Durant notre projet, nous sommes chargés de mettre en place les fonctions opérationnelles suivantes:</w:t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profil UML reprenant les éléments du langage GSN.</w:t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Un éditeur graphique qui permet d’utiliser les stéréotypes définis dans le profil. L’éditeur sera doté d’une palette ainsi qu’une vue propriété. </w:t>
      </w:r>
    </w:p>
    <w:p w:rsidR="00000000" w:rsidDel="00000000" w:rsidP="00000000" w:rsidRDefault="00000000" w:rsidRPr="00000000" w14:paraId="00000076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Création et intégration d’une librairie de patterns d’argumentation de sûreté réutilisables. L’utilisateur devra être en mesure d’enrichir la librairie en ajoutant de nouveaux patterns.</w:t>
      </w:r>
    </w:p>
    <w:p w:rsidR="00000000" w:rsidDel="00000000" w:rsidP="00000000" w:rsidRDefault="00000000" w:rsidRPr="00000000" w14:paraId="00000077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manuel d’utilisation rédigé en anglais. </w:t>
        <w:tab/>
        <w:tab/>
        <w:t xml:space="preserve"> </w:t>
        <w:tab/>
        <w:tab/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fhqqjtiuwno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color w:val="8db3e2"/>
        </w:rPr>
      </w:pPr>
      <w:bookmarkStart w:colFirst="0" w:colLast="0" w:name="_f6rguk9wklxr" w:id="5"/>
      <w:bookmarkEnd w:id="5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ontexte de l’organisation existante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 création de l’éditeur d’argumentation de sûreté de fonctionnement (Assurance Case) entre dans le cadre du projet </w:t>
        <w:br w:type="textWrapping"/>
        <w:t xml:space="preserve">FACE qui définit une nouvelle architecture pour l'environnement informatique automobile  ainsi que le projet européen “AMASS” qui a pour objectifs de développer des outils pour confirmer la sûreté des systèmes embarquées de point de vue sécurité , disponibilité , robustesse et fiabilité . Les deux projets ont pour but d’effectuer des assurances cases qui répondent aux norme afin d'approuver la fiabilité , la disponibilité , la sécurité et la sûreté de leurs systèmes.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Étant partenaire de ces projets , CEA List propose la réalisation d’un plugin permettant de concevoir une démarche d’argumentation basé sur le langage GSN afin de prouver la conformité d’un système à un ensemble d’exigences.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Ce plugin sera réalisé avec la plateforme “Papyrus” qui a été développée au sein du CEA List afin de faciliter la spécification , la conception et la réalisation correcte de systèmes complexes. L’environnement Papyrus est sous licence EPL “ Eclipse public licence “ . Il sera le berceau de notre projet 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iilye4lipzv6" w:id="6"/>
      <w:bookmarkEnd w:id="6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oncepts du langage GSN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L’éditeur se base sur le langage GSN qui définit les concepts suivants : 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reexzr8omw0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xn61y8qv6ya2" w:id="8"/>
      <w:bookmarkEnd w:id="8"/>
      <w:r w:rsidDel="00000000" w:rsidR="00000000" w:rsidRPr="00000000">
        <w:rPr>
          <w:rtl w:val="0"/>
        </w:rPr>
        <w:t xml:space="preserve">Éléments de base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 :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i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est l’élément à prouver dans une argumentation. Il peut être </w:t>
      </w:r>
      <w:r w:rsidDel="00000000" w:rsidR="00000000" w:rsidRPr="00000000">
        <w:rPr>
          <w:i w:val="1"/>
          <w:rtl w:val="0"/>
        </w:rPr>
        <w:t xml:space="preserve">Undevelopped</w:t>
      </w:r>
      <w:r w:rsidDel="00000000" w:rsidR="00000000" w:rsidRPr="00000000">
        <w:rPr>
          <w:rtl w:val="0"/>
        </w:rPr>
        <w:t xml:space="preserve"> pour indiquer qu’il ne sera volontairement pas développé.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Strategy :</w:t>
      </w:r>
      <w:r w:rsidDel="00000000" w:rsidR="00000000" w:rsidRPr="00000000">
        <w:rPr>
          <w:rtl w:val="0"/>
        </w:rPr>
        <w:t xml:space="preserve"> Afin de prouver un </w:t>
      </w:r>
      <w:r w:rsidDel="00000000" w:rsidR="00000000" w:rsidRPr="00000000">
        <w:rPr>
          <w:i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une </w:t>
      </w:r>
      <w:r w:rsidDel="00000000" w:rsidR="00000000" w:rsidRPr="00000000">
        <w:rPr>
          <w:i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doit être adoptée. Elle décrit la relation entre un </w:t>
      </w:r>
      <w:r w:rsidDel="00000000" w:rsidR="00000000" w:rsidRPr="00000000">
        <w:rPr>
          <w:i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et des sous-</w:t>
      </w:r>
      <w:r w:rsidDel="00000000" w:rsidR="00000000" w:rsidRPr="00000000">
        <w:rPr>
          <w:i w:val="1"/>
          <w:rtl w:val="0"/>
        </w:rPr>
        <w:t xml:space="preserve">Goal(s)</w:t>
      </w:r>
      <w:r w:rsidDel="00000000" w:rsidR="00000000" w:rsidRPr="00000000">
        <w:rPr>
          <w:rtl w:val="0"/>
        </w:rPr>
        <w:t xml:space="preserve">. Une </w:t>
      </w:r>
      <w:r w:rsidDel="00000000" w:rsidR="00000000" w:rsidRPr="00000000">
        <w:rPr>
          <w:i w:val="1"/>
          <w:rtl w:val="0"/>
        </w:rPr>
        <w:t xml:space="preserve">Strategy </w:t>
      </w:r>
      <w:r w:rsidDel="00000000" w:rsidR="00000000" w:rsidRPr="00000000">
        <w:rPr>
          <w:rtl w:val="0"/>
        </w:rPr>
        <w:t xml:space="preserve">peut également être </w:t>
      </w:r>
      <w:r w:rsidDel="00000000" w:rsidR="00000000" w:rsidRPr="00000000">
        <w:rPr>
          <w:i w:val="1"/>
          <w:rtl w:val="0"/>
        </w:rPr>
        <w:t xml:space="preserve">Undevelopped.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: Une </w:t>
      </w:r>
      <w:r w:rsidDel="00000000" w:rsidR="00000000" w:rsidRPr="00000000">
        <w:rPr>
          <w:i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représente une référence à un élément de preuve.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Context :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Contex</w:t>
      </w:r>
      <w:r w:rsidDel="00000000" w:rsidR="00000000" w:rsidRPr="00000000">
        <w:rPr>
          <w:rtl w:val="0"/>
        </w:rPr>
        <w:t xml:space="preserve">t peut être lié à un stéréotype de type </w:t>
      </w:r>
      <w:r w:rsidDel="00000000" w:rsidR="00000000" w:rsidRPr="00000000">
        <w:rPr>
          <w:i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ou de type </w:t>
      </w:r>
      <w:r w:rsidDel="00000000" w:rsidR="00000000" w:rsidRPr="00000000">
        <w:rPr>
          <w:i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afin d’apporter des informations contextuelles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Assumption :</w:t>
      </w:r>
      <w:r w:rsidDel="00000000" w:rsidR="00000000" w:rsidRPr="00000000">
        <w:rPr>
          <w:rtl w:val="0"/>
        </w:rPr>
        <w:t xml:space="preserve"> Une </w:t>
      </w:r>
      <w:r w:rsidDel="00000000" w:rsidR="00000000" w:rsidRPr="00000000">
        <w:rPr>
          <w:i w:val="1"/>
          <w:rtl w:val="0"/>
        </w:rPr>
        <w:t xml:space="preserve">Assumption</w:t>
      </w:r>
      <w:r w:rsidDel="00000000" w:rsidR="00000000" w:rsidRPr="00000000">
        <w:rPr>
          <w:rtl w:val="0"/>
        </w:rPr>
        <w:t xml:space="preserve"> représente une hypothèse admise. 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Justification :</w:t>
      </w:r>
      <w:r w:rsidDel="00000000" w:rsidR="00000000" w:rsidRPr="00000000">
        <w:rPr>
          <w:rtl w:val="0"/>
        </w:rPr>
        <w:t xml:space="preserve"> Une </w:t>
      </w:r>
      <w:r w:rsidDel="00000000" w:rsidR="00000000" w:rsidRPr="00000000">
        <w:rPr>
          <w:i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 permet à l’auteur de l’argumentation case de justifier une affirmation ou une stratégie d’argumentation afin d’expliquer pourquoi il la considère comme acceptable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SupportedB</w:t>
      </w:r>
      <w:r w:rsidDel="00000000" w:rsidR="00000000" w:rsidRPr="00000000">
        <w:rPr>
          <w:b w:val="1"/>
          <w:rtl w:val="0"/>
        </w:rPr>
        <w:t xml:space="preserve">y : </w:t>
      </w:r>
      <w:r w:rsidDel="00000000" w:rsidR="00000000" w:rsidRPr="00000000">
        <w:rPr>
          <w:rtl w:val="0"/>
        </w:rPr>
        <w:t xml:space="preserve">Les relations de type </w:t>
      </w:r>
      <w:r w:rsidDel="00000000" w:rsidR="00000000" w:rsidRPr="00000000">
        <w:rPr>
          <w:i w:val="1"/>
          <w:rtl w:val="0"/>
        </w:rPr>
        <w:t xml:space="preserve">SupportedBy</w:t>
      </w:r>
      <w:r w:rsidDel="00000000" w:rsidR="00000000" w:rsidRPr="00000000">
        <w:rPr>
          <w:rtl w:val="0"/>
        </w:rPr>
        <w:t xml:space="preserve"> permettent de définir un relation d’inférence entre plusieurs éléments de l’assurance case :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“ goal-to-goal”, “ goal-to-strategy”, “ goal-to-solution”, “strategy-to-goal”.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InContextOf : </w:t>
      </w:r>
      <w:r w:rsidDel="00000000" w:rsidR="00000000" w:rsidRPr="00000000">
        <w:rPr>
          <w:rtl w:val="0"/>
        </w:rPr>
        <w:t xml:space="preserve">Les relations de type </w:t>
      </w:r>
      <w:r w:rsidDel="00000000" w:rsidR="00000000" w:rsidRPr="00000000">
        <w:rPr>
          <w:i w:val="1"/>
          <w:rtl w:val="0"/>
        </w:rPr>
        <w:t xml:space="preserve">InContextOf</w:t>
      </w:r>
      <w:r w:rsidDel="00000000" w:rsidR="00000000" w:rsidRPr="00000000">
        <w:rPr>
          <w:rtl w:val="0"/>
        </w:rPr>
        <w:t xml:space="preserve">  indiquent l'existence d’une relation contextuelle entre plusieurs éléments de l’argument :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“goal-to-context”, “goal-to-assumption”, “goal-to-justification”, “strategy-to-context”, “strategy-to-assumption” et “strategy-to-justification”.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cj1p5vc7c8oe" w:id="9"/>
      <w:bookmarkEnd w:id="9"/>
      <w:r w:rsidDel="00000000" w:rsidR="00000000" w:rsidRPr="00000000">
        <w:rPr>
          <w:rtl w:val="0"/>
        </w:rPr>
        <w:t xml:space="preserve">Abstraction structurelle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Mutliplicity: </w:t>
      </w:r>
      <w:r w:rsidDel="00000000" w:rsidR="00000000" w:rsidRPr="00000000">
        <w:rPr>
          <w:rtl w:val="0"/>
        </w:rPr>
        <w:t xml:space="preserve">Représentation de relations n-aires entre des éléments. Peut être appliquée à n’importe quel type de relation.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Optionnality:</w:t>
      </w:r>
      <w:r w:rsidDel="00000000" w:rsidR="00000000" w:rsidRPr="00000000">
        <w:rPr>
          <w:rtl w:val="0"/>
        </w:rPr>
        <w:t xml:space="preserve"> Permet d’indiquer qu’une relation n’est pas obligatoire.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Option:</w:t>
      </w:r>
      <w:r w:rsidDel="00000000" w:rsidR="00000000" w:rsidRPr="00000000">
        <w:rPr>
          <w:rtl w:val="0"/>
        </w:rPr>
        <w:t xml:space="preserve"> Permet de représenter le choix d’un sous-ensemble de relations parmi un ensemble de relations unies entre elles par un élément de type </w:t>
      </w:r>
      <w:r w:rsidDel="00000000" w:rsidR="00000000" w:rsidRPr="00000000">
        <w:rPr>
          <w:i w:val="1"/>
          <w:rtl w:val="0"/>
        </w:rPr>
        <w:t xml:space="preserve">Option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UninstanciatedElement: </w:t>
      </w:r>
      <w:r w:rsidDel="00000000" w:rsidR="00000000" w:rsidRPr="00000000">
        <w:rPr>
          <w:rtl w:val="0"/>
        </w:rPr>
        <w:t xml:space="preserve">N’importe quel élément peut être marqué comme étant </w:t>
      </w:r>
      <w:r w:rsidDel="00000000" w:rsidR="00000000" w:rsidRPr="00000000">
        <w:rPr>
          <w:i w:val="1"/>
          <w:rtl w:val="0"/>
        </w:rPr>
        <w:t xml:space="preserve">Uninstanciated </w:t>
      </w:r>
      <w:r w:rsidDel="00000000" w:rsidR="00000000" w:rsidRPr="00000000">
        <w:rPr>
          <w:rtl w:val="0"/>
        </w:rPr>
        <w:t xml:space="preserve">pour indiquer qu’il s’agit d’un élément générique faisant partie d’un pattern. Après l’instanciation du pattern, il faudra instancier cet élément en le remplaçant par un élément concret.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686d5qb5xt4q" w:id="10"/>
      <w:bookmarkEnd w:id="10"/>
      <w:r w:rsidDel="00000000" w:rsidR="00000000" w:rsidRPr="00000000">
        <w:rPr>
          <w:rtl w:val="0"/>
        </w:rPr>
        <w:t xml:space="preserve">Abstraction modulaire:</w:t>
      </w:r>
    </w:p>
    <w:p w:rsidR="00000000" w:rsidDel="00000000" w:rsidP="00000000" w:rsidRDefault="00000000" w:rsidRPr="00000000" w14:paraId="00000097">
      <w:pPr>
        <w:numPr>
          <w:ilvl w:val="0"/>
          <w:numId w:val="3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Away Goal: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Away Goal </w:t>
      </w:r>
      <w:r w:rsidDel="00000000" w:rsidR="00000000" w:rsidRPr="00000000">
        <w:rPr>
          <w:rtl w:val="0"/>
        </w:rPr>
        <w:t xml:space="preserve"> référence un </w:t>
      </w:r>
      <w:r w:rsidDel="00000000" w:rsidR="00000000" w:rsidRPr="00000000">
        <w:rPr>
          <w:i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défini dans un autre module.</w:t>
      </w:r>
    </w:p>
    <w:p w:rsidR="00000000" w:rsidDel="00000000" w:rsidP="00000000" w:rsidRDefault="00000000" w:rsidRPr="00000000" w14:paraId="00000098">
      <w:pPr>
        <w:numPr>
          <w:ilvl w:val="0"/>
          <w:numId w:val="3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ModuleReference: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i w:val="1"/>
          <w:rtl w:val="0"/>
        </w:rPr>
        <w:t xml:space="preserve">ModuleReference </w:t>
      </w:r>
      <w:r w:rsidDel="00000000" w:rsidR="00000000" w:rsidRPr="00000000">
        <w:rPr>
          <w:rtl w:val="0"/>
        </w:rPr>
        <w:t xml:space="preserve">fait référence à un module définit dans un autre diagramme.</w:t>
      </w:r>
    </w:p>
    <w:p w:rsidR="00000000" w:rsidDel="00000000" w:rsidP="00000000" w:rsidRDefault="00000000" w:rsidRPr="00000000" w14:paraId="00000099">
      <w:pPr>
        <w:numPr>
          <w:ilvl w:val="0"/>
          <w:numId w:val="3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ContractModuleReference: </w:t>
      </w:r>
      <w:r w:rsidDel="00000000" w:rsidR="00000000" w:rsidRPr="00000000">
        <w:rPr>
          <w:rtl w:val="0"/>
        </w:rPr>
        <w:t xml:space="preserve"> Une </w:t>
      </w:r>
      <w:r w:rsidDel="00000000" w:rsidR="00000000" w:rsidRPr="00000000">
        <w:rPr>
          <w:i w:val="1"/>
          <w:rtl w:val="0"/>
        </w:rPr>
        <w:t xml:space="preserve">ContractModuleReference </w:t>
      </w:r>
      <w:r w:rsidDel="00000000" w:rsidR="00000000" w:rsidRPr="00000000">
        <w:rPr>
          <w:rtl w:val="0"/>
        </w:rPr>
        <w:t xml:space="preserve">fait référence à un </w:t>
      </w:r>
      <w:r w:rsidDel="00000000" w:rsidR="00000000" w:rsidRPr="00000000">
        <w:rPr>
          <w:i w:val="1"/>
          <w:rtl w:val="0"/>
        </w:rPr>
        <w:t xml:space="preserve">ContractModule </w:t>
      </w:r>
      <w:r w:rsidDel="00000000" w:rsidR="00000000" w:rsidRPr="00000000">
        <w:rPr>
          <w:rtl w:val="0"/>
        </w:rPr>
        <w:t xml:space="preserve">définit dans un autre diagramme.</w:t>
      </w:r>
    </w:p>
    <w:p w:rsidR="00000000" w:rsidDel="00000000" w:rsidP="00000000" w:rsidRDefault="00000000" w:rsidRPr="00000000" w14:paraId="0000009A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AwaySolution: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i w:val="1"/>
          <w:rtl w:val="0"/>
        </w:rPr>
        <w:t xml:space="preserve">AwaySolution </w:t>
      </w:r>
      <w:r w:rsidDel="00000000" w:rsidR="00000000" w:rsidRPr="00000000">
        <w:rPr>
          <w:rtl w:val="0"/>
        </w:rPr>
        <w:t xml:space="preserve">référence des éléments de preuves présents dans un autre module.</w:t>
      </w:r>
    </w:p>
    <w:p w:rsidR="00000000" w:rsidDel="00000000" w:rsidP="00000000" w:rsidRDefault="00000000" w:rsidRPr="00000000" w14:paraId="0000009B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AwayContext: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AwayContext </w:t>
      </w:r>
      <w:r w:rsidDel="00000000" w:rsidR="00000000" w:rsidRPr="00000000">
        <w:rPr>
          <w:rtl w:val="0"/>
        </w:rPr>
        <w:t xml:space="preserve">référence des éléments contextuels définis dans un autre module.</w:t>
      </w:r>
    </w:p>
    <w:p w:rsidR="00000000" w:rsidDel="00000000" w:rsidP="00000000" w:rsidRDefault="00000000" w:rsidRPr="00000000" w14:paraId="0000009C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PublicDecorator: </w:t>
      </w:r>
      <w:r w:rsidDel="00000000" w:rsidR="00000000" w:rsidRPr="00000000">
        <w:rPr>
          <w:rtl w:val="0"/>
        </w:rPr>
        <w:t xml:space="preserve">Il est possible d’ajouter un </w:t>
      </w:r>
      <w:r w:rsidDel="00000000" w:rsidR="00000000" w:rsidRPr="00000000">
        <w:rPr>
          <w:i w:val="1"/>
          <w:rtl w:val="0"/>
        </w:rPr>
        <w:t xml:space="preserve">PublicDecorator  </w:t>
      </w:r>
      <w:r w:rsidDel="00000000" w:rsidR="00000000" w:rsidRPr="00000000">
        <w:rPr>
          <w:rtl w:val="0"/>
        </w:rPr>
        <w:t xml:space="preserve">à un élément d’un module pour le rendre accessible depuis d’autres modules.</w:t>
      </w:r>
    </w:p>
    <w:p w:rsidR="00000000" w:rsidDel="00000000" w:rsidP="00000000" w:rsidRDefault="00000000" w:rsidRPr="00000000" w14:paraId="0000009D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ToBeSupportedByContract: </w:t>
      </w:r>
      <w:r w:rsidDel="00000000" w:rsidR="00000000" w:rsidRPr="00000000">
        <w:rPr>
          <w:rtl w:val="0"/>
        </w:rPr>
        <w:t xml:space="preserve">Le décorateur </w:t>
      </w:r>
      <w:r w:rsidDel="00000000" w:rsidR="00000000" w:rsidRPr="00000000">
        <w:rPr>
          <w:i w:val="1"/>
          <w:rtl w:val="0"/>
        </w:rPr>
        <w:t xml:space="preserve">ToBeSupportedByContract </w:t>
      </w:r>
      <w:r w:rsidDel="00000000" w:rsidR="00000000" w:rsidRPr="00000000">
        <w:rPr>
          <w:rtl w:val="0"/>
        </w:rPr>
        <w:t xml:space="preserve">peut être ajouté à un </w:t>
      </w:r>
      <w:r w:rsidDel="00000000" w:rsidR="00000000" w:rsidRPr="00000000">
        <w:rPr>
          <w:i w:val="1"/>
          <w:rtl w:val="0"/>
        </w:rPr>
        <w:t xml:space="preserve">Goal </w:t>
      </w:r>
      <w:r w:rsidDel="00000000" w:rsidR="00000000" w:rsidRPr="00000000">
        <w:rPr>
          <w:rtl w:val="0"/>
        </w:rPr>
        <w:t xml:space="preserve">pour indiquer qu’il s’appuie sur un argument défini dans un </w:t>
      </w:r>
      <w:r w:rsidDel="00000000" w:rsidR="00000000" w:rsidRPr="00000000">
        <w:rPr>
          <w:i w:val="1"/>
          <w:rtl w:val="0"/>
        </w:rPr>
        <w:t xml:space="preserve">ContractModule </w:t>
      </w:r>
      <w:r w:rsidDel="00000000" w:rsidR="00000000" w:rsidRPr="00000000">
        <w:rPr>
          <w:rtl w:val="0"/>
        </w:rPr>
        <w:t xml:space="preserve">encore inconnu.</w:t>
      </w:r>
    </w:p>
    <w:p w:rsidR="00000000" w:rsidDel="00000000" w:rsidP="00000000" w:rsidRDefault="00000000" w:rsidRPr="00000000" w14:paraId="0000009E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et ContractModule: </w:t>
      </w:r>
      <w:r w:rsidDel="00000000" w:rsidR="00000000" w:rsidRPr="00000000">
        <w:rPr>
          <w:rtl w:val="0"/>
        </w:rPr>
        <w:t xml:space="preserve">Ces deux éléments représentent des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8spr1gg2ijpg" w:id="11"/>
      <w:bookmarkEnd w:id="11"/>
      <w:r w:rsidDel="00000000" w:rsidR="00000000" w:rsidRPr="00000000">
        <w:rPr>
          <w:rtl w:val="0"/>
        </w:rPr>
        <w:t xml:space="preserve">Définition du système à réaliser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isip0zyw0m4b" w:id="12"/>
      <w:bookmarkEnd w:id="12"/>
      <w:r w:rsidDel="00000000" w:rsidR="00000000" w:rsidRPr="00000000">
        <w:rPr>
          <w:rtl w:val="0"/>
        </w:rPr>
        <w:t xml:space="preserve">Architecture fonctionnelle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Diagramme de package: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400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 diagramme ci-dessus comporte 5 packages et 2 sous-packages définis de la façon suivante: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Architecture:</w:t>
      </w:r>
      <w:r w:rsidDel="00000000" w:rsidR="00000000" w:rsidRPr="00000000">
        <w:rPr>
          <w:rtl w:val="0"/>
        </w:rPr>
        <w:t xml:space="preserve"> il contiendra deux autres packages ainsi que le fichier “.architecture” </w:t>
      </w:r>
    </w:p>
    <w:p w:rsidR="00000000" w:rsidDel="00000000" w:rsidP="00000000" w:rsidRDefault="00000000" w:rsidRPr="00000000" w14:paraId="000000A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Palette:</w:t>
      </w:r>
      <w:r w:rsidDel="00000000" w:rsidR="00000000" w:rsidRPr="00000000">
        <w:rPr>
          <w:rtl w:val="0"/>
        </w:rPr>
        <w:t xml:space="preserve"> ce package contiendra les différents éléments de la palette de notre éditeur</w:t>
      </w:r>
    </w:p>
    <w:p w:rsidR="00000000" w:rsidDel="00000000" w:rsidP="00000000" w:rsidRDefault="00000000" w:rsidRPr="00000000" w14:paraId="000000A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tous les fichiers “.css” de l’éditeur graphique</w:t>
      </w:r>
    </w:p>
    <w:p w:rsidR="00000000" w:rsidDel="00000000" w:rsidP="00000000" w:rsidRDefault="00000000" w:rsidRPr="00000000" w14:paraId="000000AB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les types des différents éléments ainsi que leurs correspondances avec la palette et cela sous forme de fichier XML</w:t>
      </w:r>
    </w:p>
    <w:p w:rsidR="00000000" w:rsidDel="00000000" w:rsidP="00000000" w:rsidRDefault="00000000" w:rsidRPr="00000000" w14:paraId="000000AC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Profil:</w:t>
      </w:r>
      <w:r w:rsidDel="00000000" w:rsidR="00000000" w:rsidRPr="00000000">
        <w:rPr>
          <w:rtl w:val="0"/>
        </w:rPr>
        <w:t xml:space="preserve"> cela contiendra les stéréotypes du modèle , GSN , le code généré à partir du profil et les contraintes entre les différents éléments .</w:t>
      </w:r>
    </w:p>
    <w:p w:rsidR="00000000" w:rsidDel="00000000" w:rsidP="00000000" w:rsidRDefault="00000000" w:rsidRPr="00000000" w14:paraId="000000AD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tl w:val="0"/>
        </w:rPr>
        <w:t xml:space="preserve"> il contiendra la définition du diagramme du profil ou bien une extension du diagramme de classe .</w:t>
      </w:r>
    </w:p>
    <w:p w:rsidR="00000000" w:rsidDel="00000000" w:rsidP="00000000" w:rsidRDefault="00000000" w:rsidRPr="00000000" w14:paraId="000000A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il contiendra le menu ainsi que les propriétés 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d4kjjswpsqxi" w:id="13"/>
      <w:bookmarkEnd w:id="13"/>
      <w:r w:rsidDel="00000000" w:rsidR="00000000" w:rsidRPr="00000000">
        <w:rPr>
          <w:rtl w:val="0"/>
        </w:rPr>
        <w:t xml:space="preserve">Cas d’utilisation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Un seul acteur -appelé l’utilisateur- interagira avec le programme.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Créer un nouveau 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créer un nouveau projet depuis la page de démarrage Eclipse.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Aucunes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“New Papyrus Project”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la rubrique “Architecture Contexts”, l’utilisateur sélectionne l’option “GSN”.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saisit le nom du projet et sélectionne le type de diagramme souhaité, puis clique sur “Finish”.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Eclipse crée et ouvre un nouveau projet correspondant au paramètres saisis par l’utilisateur.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E1. À tout moment, l’utilisateur peut fermer l’assistant de création de projet, ce qui met fin au cas d’utilisation.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- 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Créer un nouveau projet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workspace courant ne contient aucun projet ayant le même nom que le projet de test.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 du projet:  “testProj”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le menu “File”, puis “New”, puis “New Papyrus Project”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la rubrique “Architecture Contexts” l’utilisateur sélectionne l’option GSN.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saisit le nom du projet puis clique sur “Finish”.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nouveau projet a été créé.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projet “testProj” doit figurer dans le workspace Eclipse.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stéréotypes définis dans le profil doivent figurer dans la palette lorsque l’utilisateur édite un diagramme de classe.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</w:t>
            </w:r>
            <w:r w:rsidDel="00000000" w:rsidR="00000000" w:rsidRPr="00000000">
              <w:rPr>
                <w:rtl w:val="0"/>
              </w:rPr>
              <w:t xml:space="preserve"> un nouvel élément via la palette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insérer un nouvel élément dans son diagramme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La vue “Palette” a été ouverte en cliquant sur son icône ou via le menu “Window-&gt;Show View”.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l’élément souhaité dans la palette.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instancie l’élément dans son diagramme par un glisser-déposer.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L’élément souhaité a été ajouté au diagramme, à l’endroit où l’utilisateur a effectué le glisser-déposer.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E1. À l’étape 2, l’utilisateur appuie sur la touche “Escape” avant la fin du glisser-déposer, ce qui met fin au cas d’utilisation.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B1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 nouvel élément via la palette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vide.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“Palette” est ouverte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l’élément “Goal” dans la palette.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fait un glisser-déposer dans le diagramme.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diagramme contient un nouveau nœud “Goal”.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Vérification visuelle.</w:t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Dans la vue “Model Explorer”, un nouveau nœud “Goal” a été créé.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 élément via le menu contextuel (optionnel)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insérer un nouvel élément dans son diagramme en utilisant le menu contextuel.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Le plugin est chargé, un modèle est ouvert.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affiche la vue “Model Explorer”.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fait un clic droit à la racine de son modèle dans la vue “Model Explorer”.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le menu qui apparaît, l’utilisateur sélectionne le sous-menu correspondant au profil.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le sous-menu, l’utilisateur sélectionne l’option correspondant à l’élément qu’il souhaite créer.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L’élément souhaité a été ajouté au diagramme.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1. À partir de l’étape 2, l’utilisateur peut cliquer en dehors du menu contextuel et de ses sous-menus pour mettre fin au cas d’utilisation.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B2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 élément via le menu contextuel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vide.</w:t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“Model Explorer” est ouverte.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ouvre le menu contextuel en faisant un clic droit sur la racine du modèle dans la vue “Model Explorer”.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l’option “Goal”.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diagramme contient un nouveau nœud “Goal”.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Vérification visuelle.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Dans la vue “Model Explorer”, un nouveau nœud “Goal” a été créé.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 élément à un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ajouter un élément à un module.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Le plugin est chargé, l’utilisateur est en train d’éditer un modèle contenant un module. La vue “Palette” est ouverte.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L’utilisateur sélectionne un élément dans la palette.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L’utilisateur instancie l’élément dans son diagramme par un glisser-déposer à l’intérieur du module choisi.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L’élément a été ajouté au module.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E1. À l’étape 2, l’utilisateur clique sur “Escape” avant la fin du glisser-déposer, ce qui met fin au cas d’utilisation. 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A1. À l’étape 1 l’utilisateur sélectionne un élément du diagramme (en dehors du module), puis l’ajoute au module par un glisser-déposer. 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B3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 élément à un module.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contenant un nœud “Module”.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“Palette” est ouverte.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L’utilisateur sélectionne l’élément “Goal” dans la palette.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Fait un glisser-déposer à l’intérieur de la vue représentant le “Module”.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nœud “Goal” a été ajouté au “Module”.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Vérification visuelle.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nœud “Goal” doit apparaître en tant que fils du “Module” dans la vue “Model Explorer”.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Éditer les propriétés d’un élément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éditer les propriétés d’un des éléments du diagramme.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Le plugin est chargé, l’utilisateur est en train d’éditer un modèle contenant au moins un élément.</w:t>
            </w:r>
          </w:p>
        </w:tc>
      </w:tr>
      <w:tr>
        <w:trPr>
          <w:trHeight w:val="500" w:hRule="atLeast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l’élément dont il veut éditer les propriétés.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affiche la vue propriétés via un menu contextuel, ou en cliquant sur l’icône correspondante.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modifie les champs correspondant au différentes propriétés de l’élément.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Les propriétés de l’élément ont été modifiées.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1. À tout moment, l’utilisateur peut désélectionner l’élément ou fermer la vue propriétés pour mettre fin au cas d’utilisation.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C1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Éditer les propriétés d’un élément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contenant un nœud “Goal” (cf. Test - B1).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statement: “test Statement”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le nœud “Goal”.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ouvre la vue “Propriétés”.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saisit le statement dans le champ “statement”.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propriété “statement” du nœud “Goal” a été modifiée.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valeur modifiée sera visible si l’utilisateur ouvre à nouveau la vue “Propriétés”.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une relation entre deux éléments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ajouter une relation entre deux éléments d’un modèle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Le plugin est chargé, l’utilisateur est en train d’éditer un modèle contenant au moins deux éléments. La vue “Palette” est ouverte.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la palette, l’utilisateur clique sur le type de relation souhaité.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la source de la relation.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la cible de la relation.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Une relation du type choisi a été ajoutée entre les deux éléments sélectionnées.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1. À partir de l’étape 2, l’utilisateur peut appuyer sur “Escape”, sélectionner un autre élément dans la palette ou cliquer sur la grille pour mettre fin au cas d’utilisation. 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E2. À l’étape 2, si l’utilisateur sélectionne une source invalide, l’opération est an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ulée.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E3. À l’étape 3, si l’utilisateur sélectionne une destination invalide l’opération est annulée.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une relation entre deux éléments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contenant deux nœuds “Goal”.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“Palette” est ouverte.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une relation de type “SupportedBy” dans la palette.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le premier “Goal”.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le second “Goal”.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Une relation de type “SupportedBy” a été ajoutée entre les deux nœuds “Goal”. Le premier nœud en est la source et le second la destination.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Vérification visuelle.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relation doit apparaître dans la vue “Model Explorer”.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d’erreur - DE1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une relation entre deux éléments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contenant un nœud “Context” et un nœud “Goal”.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“Palette” est ouverte.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une relation de type “SupportedBy” dans la palette.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le nœud “Context”.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relation n’a pas été ajoutée.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représentant la relation doit disparaître lorsque l’utilisateur clique sur le “Context”.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d’erreur - DE2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une relation entre deux éléments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contenant un nœud “Context” et un nœud “Goal”.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“Palette” est ouverte.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une relation de type “SupportedBy” dans la palette.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le “Goal”.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le “Context”.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relation n’a pas été ajoutée.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représentant la relation doit disparaître lorsque l’utilisateur clique sur le “Context”.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Modifier la source ou la destination d’une relation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modifier la source ou la destination d’un élément.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Le plugin est chargé, l’utilisateur est en train d’éditer un modèle contenant au moins deux éléments unis par une relation.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clique sur l’une des extrémités de la vue graphique représentant la relation.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déplace cette extrémité jusqu’à un autre élément du modèle.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La source (ou la destination) de la relation a été modifiée.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1. À l’étape 2, si l’utilisateur sélectionne un élément invalide ou déplace le pointeur jusqu’à une zone vide de l’éditeur la relation et supprimée et le cas d’utilisation prend fin. 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E2. À l’étape 2, si l’utilisateur sélectionne une source ou une destination invalide, la relation disparaît. 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D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Modifier la source ou la destination d’une relation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contenant deux nœuds “Goal” reliés entre eux par une relation de type “SupportedBy”. (cf. Test - D1)</w:t>
            </w:r>
          </w:p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diagramme contient également un nœud de type “Context”.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la source de la relation.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la déplace vers le noeud “Context” par un glisser-déposer.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relation est supprimée.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Vérification visuelle.</w:t>
            </w:r>
          </w:p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relation ne doit plus apparaître dans la vue “Model Explorer”.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Instancier un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instancier l’un des patterns de la librairie.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Le plugin est chargé, l’utilisateur est en train d’éditer un modèle et la vue “Model Explorer” est ouverte.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fait un clic droit sur la racine de son modèle dans la vue “Model Explorer”.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le menu contextuel qui apparaît, l’utilisateur sélectionne le sous menu correspondant au profil.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le sous-menu qui apparaît, l’utilisateur sélectionne l’option “Library”.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le sous-menu qui apparaît, l’utilisateur sélectionne le nom du pattern à instancier.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Une copie du pattern sélectionné a été instanciée dans modèle.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E1. À partir de l’étape 2, l’utilisateur peut cliquer en dehors du menu contextuel et de ses sous-menus pour mettre fin au cas d’utilisation.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E1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Instancier un pattern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classe.</w:t>
            </w:r>
          </w:p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vue “Model Explorer” est ouverte.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fait un clique-droit sur la racine du modèle dans la vue “Model Explorer”.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menu contextuel qui apparaît, l’utilisateur sélectionne le sous menu correspondant au profil.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sous-menu qui apparaît, l’utilisateur sélectionne l’option “Library”.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sous-menu qui apparaît, l’utilisateur sélectionne le pattern “Risk management”.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Une copie du pattern a été instanciée dans le diagramme.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Vérification visuelle.</w:t>
            </w:r>
          </w:p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 éléments constituant le pattern doivent être visibles dans la vue “Model Explorer”.</w:t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 nouveau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sauvegarder un modèle en tant que pattern.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Le plugin est chargé, l’utilisateur est en train d’éditer un modèle et la vue “Model Explorer” est ouverte.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les éléments du modèle qui feront partie du pattern à ajouter.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fait un clic droit.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le menu contextuel qui apparaît, l’utilisateur clique sur “Save as Pattern”.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la boîte de dialogue qui apparaît l’utilisateur saisit le nom du pattern et clique sur “OK”.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Un pattern composé des éléments sélectionnées a été ajouté à la librairie de patterns.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E1. À l’étape 3, l’utilisateur peut cliquer en dehors du menu contextuel pour mettre fin au cas d’utilisation.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E2. À l’étape 4, l’utilisateur peut cliquer sur “Cancel”, ce qui met fin au cas d’utilisation.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Ajouter un nouveau pattern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 non vide.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nom: “testPattern”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sélectionne tous les éléments du diagramme.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fait un clic droit et sélectionne l’option “Save as Pattern”.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saisit le nom dans la boîte de dialogue et clique sur “OK”.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pattern a été créé.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menu contextuel permettant d’instancier un nouveau pattern (cf. cas d’utilisation “Instancier un pattern”) contient une nouvelle entrée nommée “testPattern” et correspondant au modèle sauvegardé. </w:t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90.0" w:type="dxa"/>
        <w:jc w:val="left"/>
        <w:tblInd w:w="10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Supprimer un pattern créé par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L’utilisateur souhaite supprimer l’un des patterns qu’il a ajouté à la librairie.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Le plugin est chargé, l’utilisateur est en train d’éditer un modèle. La librairie de patterns contient au moins un pattern créé par l’utilisateur.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L’utilisateur fait un clic droit sur la racine de son modèle dans la vue “Model Explorer”.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menu contextuel qui apparaît, l’utilisateur sélectionne le sous menu correspondant au profil.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sous-menu qui apparaît, l’utilisateur sélectionne l’option “Library”.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sous-menu qui apparaît, l’utilisateur sélectionne l’option “Delete pattern”.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la boîte de dialogue qui apparaît, l’utilisateur sélectionne le(s) pattern(s) à supprimer puis cli</w:t>
            </w: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sur “OK”.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Un pattern composé des éléments sélectionnées a été ajouté à la librairie de patterns.</w:t>
            </w:r>
          </w:p>
        </w:tc>
      </w:tr>
      <w:t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Alternatives / Exceptions</w:t>
            </w:r>
          </w:p>
        </w:tc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E1. À l’étape 3, l’utilisateur peut cliquer en dehors du menu contextuel pour mettre fin au cas d’utilisation.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E2. À l’étape 4, l’utilisateur peut cliquer sur “Cancel”, ce qui met fin au cas d’utilisation.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90.0" w:type="dxa"/>
        <w:jc w:val="left"/>
        <w:tblInd w:w="100.0" w:type="pct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2655"/>
        <w:gridCol w:w="6735"/>
        <w:tblGridChange w:id="0">
          <w:tblGrid>
            <w:gridCol w:w="2655"/>
            <w:gridCol w:w="67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- E3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Supprimer un pattern créé par l’utilisateur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L’utilisateur est en train d’éditer un diagramme de classe.</w:t>
            </w:r>
          </w:p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librairie de patterns contient le pattern “testPattern”. (cf. Test - E2)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Entrées(s)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fait un clic droit sur la racine de son modèle dans la vue “Model Explorer”.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menu contextuel qui apparaît, l’utilisateur sélectionne le sous menu correspondant au profil.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sous-menu qui apparaît, l’utilisateur sélectionne l’option “Library”.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Dans le sous-menu qui apparaît, l’utilisateur sélectionne l’option “Delete pattern”.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 la boîte de dialogue qui apparaît, l’utilisateur sélectionne “testPattern” puis clique sur “OK”.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pattern “testPattern” a été supprimé.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 de vérification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menu contextuel permettant d’instancier un nouveau pattern (cf. cas d’utilisation “Instancier un pattern”) ne contient plus l’entrée “testPattern”.</w:t>
            </w:r>
          </w:p>
        </w:tc>
      </w:tr>
    </w:tbl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rPr/>
      </w:pPr>
      <w:bookmarkStart w:colFirst="0" w:colLast="0" w:name="_r89yt9thzt83" w:id="14"/>
      <w:bookmarkEnd w:id="14"/>
      <w:r w:rsidDel="00000000" w:rsidR="00000000" w:rsidRPr="00000000">
        <w:rPr>
          <w:rtl w:val="0"/>
        </w:rPr>
        <w:t xml:space="preserve">Interactions entre les cas d’utilisation</w:t>
      </w:r>
    </w:p>
    <w:p w:rsidR="00000000" w:rsidDel="00000000" w:rsidP="00000000" w:rsidRDefault="00000000" w:rsidRPr="00000000" w14:paraId="00000262">
      <w:pPr>
        <w:pStyle w:val="Heading3"/>
        <w:rPr/>
      </w:pPr>
      <w:bookmarkStart w:colFirst="0" w:colLast="0" w:name="_sn77wsn3wmi3" w:id="15"/>
      <w:bookmarkEnd w:id="15"/>
      <w:r w:rsidDel="00000000" w:rsidR="00000000" w:rsidRPr="00000000">
        <w:rPr/>
        <w:drawing>
          <wp:inline distB="114300" distT="114300" distL="114300" distR="114300">
            <wp:extent cx="5972810" cy="373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rPr/>
      </w:pPr>
      <w:bookmarkStart w:colFirst="0" w:colLast="0" w:name="_wxqqx6l6tqmh" w:id="16"/>
      <w:bookmarkEnd w:id="16"/>
      <w:r w:rsidDel="00000000" w:rsidR="00000000" w:rsidRPr="00000000">
        <w:rPr>
          <w:rtl w:val="0"/>
        </w:rPr>
        <w:t xml:space="preserve">Contraintes</w:t>
      </w:r>
    </w:p>
    <w:p w:rsidR="00000000" w:rsidDel="00000000" w:rsidP="00000000" w:rsidRDefault="00000000" w:rsidRPr="00000000" w14:paraId="00000265">
      <w:pPr>
        <w:pStyle w:val="Heading2"/>
        <w:rPr/>
      </w:pPr>
      <w:bookmarkStart w:colFirst="0" w:colLast="0" w:name="_aep3uvezd5rt" w:id="17"/>
      <w:bookmarkEnd w:id="17"/>
      <w:r w:rsidDel="00000000" w:rsidR="00000000" w:rsidRPr="00000000">
        <w:rPr>
          <w:rtl w:val="0"/>
        </w:rPr>
        <w:t xml:space="preserve">Contraintes fonctionnelles :</w:t>
      </w:r>
    </w:p>
    <w:p w:rsidR="00000000" w:rsidDel="00000000" w:rsidP="00000000" w:rsidRDefault="00000000" w:rsidRPr="00000000" w14:paraId="000002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correspondance entre les concepts GSN et les éléments de la norme SACM 2 doit être établie. </w:t>
      </w:r>
    </w:p>
    <w:p w:rsidR="00000000" w:rsidDel="00000000" w:rsidP="00000000" w:rsidRDefault="00000000" w:rsidRPr="00000000" w14:paraId="000002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l’issue du projet, le plugin devra intégrer le dépôt Papyrus.</w:t>
      </w:r>
    </w:p>
    <w:p w:rsidR="00000000" w:rsidDel="00000000" w:rsidP="00000000" w:rsidRDefault="00000000" w:rsidRPr="00000000" w14:paraId="000002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plugin devra permettre aux utilisateurs de modéliser des assurances cases en utilisant le langage UML .  </w:t>
      </w:r>
    </w:p>
    <w:p w:rsidR="00000000" w:rsidDel="00000000" w:rsidP="00000000" w:rsidRDefault="00000000" w:rsidRPr="00000000" w14:paraId="000002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plugin devra comporter des vues graphiques.</w:t>
      </w:r>
    </w:p>
    <w:p w:rsidR="00000000" w:rsidDel="00000000" w:rsidP="00000000" w:rsidRDefault="00000000" w:rsidRPr="00000000" w14:paraId="000002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définition des patterns dépend des normes GSN et des contraintes de la norme SACM 2 </w:t>
      </w:r>
    </w:p>
    <w:p w:rsidR="00000000" w:rsidDel="00000000" w:rsidP="00000000" w:rsidRDefault="00000000" w:rsidRPr="00000000" w14:paraId="0000026B">
      <w:pPr>
        <w:pStyle w:val="Heading2"/>
        <w:rPr/>
      </w:pPr>
      <w:bookmarkStart w:colFirst="0" w:colLast="0" w:name="_ao9qxethy9b0" w:id="18"/>
      <w:bookmarkEnd w:id="18"/>
      <w:r w:rsidDel="00000000" w:rsidR="00000000" w:rsidRPr="00000000">
        <w:rPr>
          <w:rtl w:val="0"/>
        </w:rPr>
        <w:t xml:space="preserve">Contraintes techniques : </w:t>
      </w:r>
    </w:p>
    <w:p w:rsidR="00000000" w:rsidDel="00000000" w:rsidP="00000000" w:rsidRDefault="00000000" w:rsidRPr="00000000" w14:paraId="000002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conception et l’implémentation du projet se fait dans l’environnement “Papyrus” </w:t>
      </w:r>
    </w:p>
    <w:p w:rsidR="00000000" w:rsidDel="00000000" w:rsidP="00000000" w:rsidRDefault="00000000" w:rsidRPr="00000000" w14:paraId="0000026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plugin doit être compatible avec la dernière version de l’IDE Eclipse : “Eclipse photon”</w:t>
      </w:r>
    </w:p>
    <w:p w:rsidR="00000000" w:rsidDel="00000000" w:rsidP="00000000" w:rsidRDefault="00000000" w:rsidRPr="00000000" w14:paraId="000002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projet doit être implémenté sous JAVA SE 8 </w:t>
      </w:r>
    </w:p>
    <w:p w:rsidR="00000000" w:rsidDel="00000000" w:rsidP="00000000" w:rsidRDefault="00000000" w:rsidRPr="00000000" w14:paraId="0000026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plugin se base sur un profil UML </w:t>
      </w:r>
    </w:p>
    <w:p w:rsidR="00000000" w:rsidDel="00000000" w:rsidP="00000000" w:rsidRDefault="00000000" w:rsidRPr="00000000" w14:paraId="0000027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mise en place des vues personnalisés des stéréotypes seront basées sur le langage CSS</w:t>
      </w:r>
    </w:p>
    <w:p w:rsidR="00000000" w:rsidDel="00000000" w:rsidP="00000000" w:rsidRDefault="00000000" w:rsidRPr="00000000" w14:paraId="00000271">
      <w:pPr>
        <w:pStyle w:val="Heading2"/>
        <w:rPr/>
      </w:pPr>
      <w:bookmarkStart w:colFirst="0" w:colLast="0" w:name="_dx7ttlh28gvq" w:id="19"/>
      <w:bookmarkEnd w:id="19"/>
      <w:r w:rsidDel="00000000" w:rsidR="00000000" w:rsidRPr="00000000">
        <w:rPr>
          <w:rtl w:val="0"/>
        </w:rPr>
        <w:t xml:space="preserve">Analyse des risques : </w:t>
      </w:r>
    </w:p>
    <w:p w:rsidR="00000000" w:rsidDel="00000000" w:rsidP="00000000" w:rsidRDefault="00000000" w:rsidRPr="00000000" w14:paraId="00000272">
      <w:pPr>
        <w:pStyle w:val="Heading3"/>
        <w:ind w:firstLine="720"/>
        <w:rPr/>
      </w:pPr>
      <w:bookmarkStart w:colFirst="0" w:colLast="0" w:name="_bu0xcamj1nxu" w:id="20"/>
      <w:bookmarkEnd w:id="20"/>
      <w:r w:rsidDel="00000000" w:rsidR="00000000" w:rsidRPr="00000000">
        <w:rPr>
          <w:rtl w:val="0"/>
        </w:rPr>
        <w:t xml:space="preserve">Risques liés aux contraintes fonctionnelles : </w:t>
        <w:tab/>
        <w:t xml:space="preserve"> </w:t>
        <w:tab/>
        <w:t xml:space="preserve"> </w:t>
        <w:tab/>
      </w:r>
    </w:p>
    <w:tbl>
      <w:tblPr>
        <w:tblStyle w:val="Table25"/>
        <w:tblW w:w="9406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4.176"/>
        <w:gridCol w:w="6621.823999999999"/>
        <w:tblGridChange w:id="0">
          <w:tblGrid>
            <w:gridCol w:w="2784.176"/>
            <w:gridCol w:w="6621.823999999999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Difficulté de compréhension de la norme SACM 2</w:t>
            </w:r>
          </w:p>
        </w:tc>
      </w:tr>
      <w:tr>
        <w:trPr>
          <w:trHeight w:val="66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SACM 2 est une spécification qui définit un métamodèle pour la représentation des cas d’assurances structurés.</w:t>
            </w:r>
          </w:p>
        </w:tc>
      </w:tr>
      <w:tr>
        <w:trPr>
          <w:trHeight w:val="108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Causes 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Complexité de la norme.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Manque de familiarité des membres de l’équipe avec la lecture et l’analyse des normes.</w:t>
            </w:r>
          </w:p>
        </w:tc>
      </w:tr>
      <w:tr>
        <w:trPr>
          <w:trHeight w:val="66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Conséquences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Perte de temps à la compréhension des notions cités dans la norme 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Mise en place de stéréotypes qui ne répondent pas aux règles décrites dans la norme SACM 2</w:t>
            </w:r>
          </w:p>
        </w:tc>
      </w:tr>
      <w:tr>
        <w:trPr>
          <w:trHeight w:val="172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2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Moyens de prévention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Demander l’avis du client sur les moyens de pallier à ce risque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Validation du profil par notre client.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2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Moyenne : le risque peut entraîner des corrections sur le projet</w:t>
            </w:r>
          </w:p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afin qu’il soit conforme ce qui peut engendrer des retards</w:t>
            </w:r>
          </w:p>
        </w:tc>
      </w:tr>
    </w:tbl>
    <w:p w:rsidR="00000000" w:rsidDel="00000000" w:rsidP="00000000" w:rsidRDefault="00000000" w:rsidRPr="00000000" w14:paraId="00000286">
      <w:pPr>
        <w:pStyle w:val="Heading3"/>
        <w:ind w:firstLine="720"/>
        <w:rPr/>
      </w:pPr>
      <w:bookmarkStart w:colFirst="0" w:colLast="0" w:name="_tdet1kjixz0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ind w:firstLine="720"/>
        <w:rPr/>
      </w:pPr>
      <w:bookmarkStart w:colFirst="0" w:colLast="0" w:name="_h05zkfhscw5b" w:id="22"/>
      <w:bookmarkEnd w:id="22"/>
      <w:r w:rsidDel="00000000" w:rsidR="00000000" w:rsidRPr="00000000">
        <w:rPr>
          <w:rtl w:val="0"/>
        </w:rPr>
        <w:t xml:space="preserve">Risques liés aux contraintes techniques  : </w:t>
      </w:r>
    </w:p>
    <w:p w:rsidR="00000000" w:rsidDel="00000000" w:rsidP="00000000" w:rsidRDefault="00000000" w:rsidRPr="00000000" w14:paraId="00000288">
      <w:pPr>
        <w:pStyle w:val="Heading3"/>
        <w:ind w:firstLine="720"/>
        <w:rPr/>
      </w:pPr>
      <w:bookmarkStart w:colFirst="0" w:colLast="0" w:name="_vcnh4b4i8f2i" w:id="23"/>
      <w:bookmarkEnd w:id="23"/>
      <w:r w:rsidDel="00000000" w:rsidR="00000000" w:rsidRPr="00000000">
        <w:rPr>
          <w:rtl w:val="0"/>
        </w:rPr>
      </w:r>
    </w:p>
    <w:tbl>
      <w:tblPr>
        <w:tblStyle w:val="Table26"/>
        <w:tblW w:w="9406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4.176"/>
        <w:gridCol w:w="6621.823999999999"/>
        <w:tblGridChange w:id="0">
          <w:tblGrid>
            <w:gridCol w:w="2784.176"/>
            <w:gridCol w:w="6621.823999999999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Appréhension de  l'environnement “Papyrus”</w:t>
            </w:r>
          </w:p>
        </w:tc>
      </w:tr>
      <w:tr>
        <w:trPr>
          <w:trHeight w:val="66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Papyrus est un environnement intégré pour l’édition de modèles UML.</w:t>
            </w:r>
          </w:p>
        </w:tc>
      </w:tr>
      <w:tr>
        <w:trPr>
          <w:trHeight w:val="108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Causes 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membre de l’équipe n’ont jamais utilisé Papyrus. </w:t>
            </w:r>
          </w:p>
        </w:tc>
      </w:tr>
      <w:tr>
        <w:trPr>
          <w:trHeight w:val="66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Conséquences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prise en main de certaines fonctionnalitées peut engendrer des pertes de temps.</w:t>
            </w:r>
          </w:p>
        </w:tc>
      </w:tr>
      <w:tr>
        <w:trPr>
          <w:trHeight w:val="172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2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Moyens de prévention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Demander l’avis  du client.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Consulter des tutoriels et lire la documentation fournie par le client.</w:t>
            </w:r>
          </w:p>
        </w:tc>
      </w:tr>
      <w:tr>
        <w:trPr>
          <w:trHeight w:val="78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2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Moyenne : </w:t>
            </w:r>
            <w:r w:rsidDel="00000000" w:rsidR="00000000" w:rsidRPr="00000000">
              <w:rPr>
                <w:rtl w:val="0"/>
              </w:rPr>
              <w:t xml:space="preserve">le risque peut entraîner des retards dans la livraison du projet.</w:t>
            </w:r>
          </w:p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pStyle w:val="Heading1"/>
        <w:rPr>
          <w:color w:val="4f81bd"/>
          <w:sz w:val="24"/>
          <w:szCs w:val="24"/>
        </w:rPr>
      </w:pPr>
      <w:bookmarkStart w:colFirst="0" w:colLast="0" w:name="_laa69b3si59v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ind w:firstLine="720"/>
        <w:rPr/>
      </w:pPr>
      <w:bookmarkStart w:colFirst="0" w:colLast="0" w:name="_1spp0tu4owuf" w:id="25"/>
      <w:bookmarkEnd w:id="25"/>
      <w:r w:rsidDel="00000000" w:rsidR="00000000" w:rsidRPr="00000000">
        <w:rPr>
          <w:rtl w:val="0"/>
        </w:rPr>
      </w:r>
    </w:p>
    <w:tbl>
      <w:tblPr>
        <w:tblStyle w:val="Table27"/>
        <w:tblW w:w="9406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4.176"/>
        <w:gridCol w:w="6621.823999999999"/>
        <w:tblGridChange w:id="0">
          <w:tblGrid>
            <w:gridCol w:w="2784.176"/>
            <w:gridCol w:w="6621.823999999999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Définition des éléments graphiques</w:t>
            </w:r>
          </w:p>
        </w:tc>
      </w:tr>
      <w:tr>
        <w:trPr>
          <w:trHeight w:val="66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L’éditeur doit comporter des vues graphiques redimensionnables.</w:t>
            </w:r>
          </w:p>
        </w:tc>
      </w:tr>
      <w:tr>
        <w:trPr>
          <w:trHeight w:val="108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Causes 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comportement par défaut des vues personnalisées n’est pas toujours correct. </w:t>
            </w:r>
          </w:p>
        </w:tc>
      </w:tr>
      <w:tr>
        <w:trPr>
          <w:trHeight w:val="66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 Conséquences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Les vues sont susceptibles de ne pas réagir correctement au redimensionnement du layout des modèles et des éléments du modèle.</w:t>
            </w:r>
          </w:p>
        </w:tc>
      </w:tr>
      <w:tr>
        <w:trPr>
          <w:trHeight w:val="172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2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Moyens de prévention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Définir les vues en utilisant le langage CSS et des images vectorielles.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Tester avec attention le comportement des vues lors d’un redimensionnement.</w:t>
            </w:r>
          </w:p>
        </w:tc>
      </w:tr>
      <w:tr>
        <w:trPr>
          <w:trHeight w:val="780" w:hRule="atLeast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2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Gravité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moyenne :  Le risque peut entraîner des corrections sur le projet</w:t>
            </w:r>
          </w:p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afin qu’il soit conforme ce qui peut engendrer des retards</w:t>
            </w:r>
          </w:p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pStyle w:val="Heading1"/>
        <w:rPr/>
      </w:pPr>
      <w:bookmarkStart w:colFirst="0" w:colLast="0" w:name="_f4fb1t56whv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1"/>
        <w:rPr/>
      </w:pPr>
      <w:bookmarkStart w:colFirst="0" w:colLast="0" w:name="_j0u3xys7aj6u" w:id="27"/>
      <w:bookmarkEnd w:id="27"/>
      <w:r w:rsidDel="00000000" w:rsidR="00000000" w:rsidRPr="00000000">
        <w:rPr>
          <w:rtl w:val="0"/>
        </w:rPr>
        <w:t xml:space="preserve">Planification</w:t>
      </w:r>
    </w:p>
    <w:p w:rsidR="00000000" w:rsidDel="00000000" w:rsidP="00000000" w:rsidRDefault="00000000" w:rsidRPr="00000000" w14:paraId="000002B1">
      <w:pPr>
        <w:pStyle w:val="Heading2"/>
        <w:rPr/>
      </w:pPr>
      <w:bookmarkStart w:colFirst="0" w:colLast="0" w:name="_gxk94x3a96kr" w:id="28"/>
      <w:bookmarkEnd w:id="28"/>
      <w:r w:rsidDel="00000000" w:rsidR="00000000" w:rsidRPr="00000000">
        <w:rPr>
          <w:rtl w:val="0"/>
        </w:rPr>
        <w:t xml:space="preserve">     WBS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/>
        <w:drawing>
          <wp:inline distB="114300" distT="114300" distL="114300" distR="114300">
            <wp:extent cx="6934725" cy="87487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10757" r="420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725" cy="874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rPr/>
      </w:pPr>
      <w:bookmarkStart w:colFirst="0" w:colLast="0" w:name="_j6ozghl56vh1" w:id="29"/>
      <w:bookmarkEnd w:id="29"/>
      <w:r w:rsidDel="00000000" w:rsidR="00000000" w:rsidRPr="00000000">
        <w:rPr>
          <w:rtl w:val="0"/>
        </w:rPr>
        <w:t xml:space="preserve">Diagramme de PERT :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/>
        <w:drawing>
          <wp:inline distB="114300" distT="114300" distL="114300" distR="114300">
            <wp:extent cx="5972810" cy="242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rPr/>
      </w:pPr>
      <w:bookmarkStart w:colFirst="0" w:colLast="0" w:name="_qxu8ln6kfczc" w:id="30"/>
      <w:bookmarkEnd w:id="30"/>
      <w:r w:rsidDel="00000000" w:rsidR="00000000" w:rsidRPr="00000000">
        <w:rPr>
          <w:rtl w:val="0"/>
        </w:rPr>
        <w:t xml:space="preserve">Diagramme de Gantt :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-895032</wp:posOffset>
            </wp:positionH>
            <wp:positionV relativeFrom="paragraph">
              <wp:posOffset>114300</wp:posOffset>
            </wp:positionV>
            <wp:extent cx="7762558" cy="1554396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558" cy="1554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1"/>
        <w:rPr/>
      </w:pPr>
      <w:bookmarkStart w:colFirst="0" w:colLast="0" w:name="_3bvzi3qbzdrp" w:id="31"/>
      <w:bookmarkEnd w:id="31"/>
      <w:r w:rsidDel="00000000" w:rsidR="00000000" w:rsidRPr="00000000">
        <w:rPr>
          <w:rtl w:val="0"/>
        </w:rPr>
        <w:t xml:space="preserve">Références :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GSN Community Standard. Version 2. January 2018 :</w:t>
      </w:r>
    </w:p>
    <w:p w:rsidR="00000000" w:rsidDel="00000000" w:rsidP="00000000" w:rsidRDefault="00000000" w:rsidRPr="00000000" w14:paraId="000002C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https://scsc.uk/scsc-141B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Structured Assurance Case Metamodel (SACM) Version 1.1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https://www.omg.org/spec/SACM/1.1/About-SACM/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Projet AMASS : </w:t>
      </w:r>
    </w:p>
    <w:p w:rsidR="00000000" w:rsidDel="00000000" w:rsidP="00000000" w:rsidRDefault="00000000" w:rsidRPr="00000000" w14:paraId="000002D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https://www.amass-ecsel.eu/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Papyrus :</w:t>
      </w:r>
    </w:p>
    <w:p w:rsidR="00000000" w:rsidDel="00000000" w:rsidP="00000000" w:rsidRDefault="00000000" w:rsidRPr="00000000" w14:paraId="000002D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https://en.wikipedia.org/wiki/Papyrus_(software)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Palatino Linotyp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555992" cy="633413"/>
          <wp:effectExtent b="0" l="0" r="0" t="0"/>
          <wp:docPr id="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5992" cy="633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0" w:firstLine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0" w:firstLine="0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0" w:firstLine="0"/>
    </w:pPr>
    <w:rPr>
      <w:rFonts w:ascii="Cambria" w:cs="Cambria" w:eastAsia="Cambria" w:hAnsi="Cambria"/>
      <w:color w:val="243f6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0" w:firstLine="0"/>
    </w:pPr>
    <w:rPr>
      <w:rFonts w:ascii="Cambria" w:cs="Cambria" w:eastAsia="Cambria" w:hAnsi="Cambria"/>
      <w:i w:val="1"/>
      <w:color w:val="243f6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70.0" w:type="dxa"/>
      </w:tblCellMar>
    </w:tblPr>
  </w:style>
  <w:style w:type="table" w:styleId="Table2">
    <w:basedOn w:val="TableNormal"/>
    <w:pPr>
      <w:spacing w:after="40" w:before="40" w:lineRule="auto"/>
      <w:jc w:val="center"/>
    </w:pPr>
    <w:rPr>
      <w:rFonts w:ascii="Palatino Linotype" w:cs="Palatino Linotype" w:eastAsia="Palatino Linotype" w:hAnsi="Palatino Linotype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sc.uk/scsc-141B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amass-ecsel.eu/" TargetMode="External"/><Relationship Id="rId12" Type="http://schemas.openxmlformats.org/officeDocument/2006/relationships/hyperlink" Target="https://www.omg.org/spec/SACM/1.1/About-SAC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yperlink" Target="https://en.wikipedia.org/wiki/Papyrus_(software)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