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3A6B"/>
          <w:sz w:val="48"/>
          <w:szCs w:val="48"/>
        </w:rPr>
        <w:t xml:space="preserve">CAHIER DES CHARGES FONCTIONNEL</w:t>
      </w:r>
    </w:p>
    <w:p>
      <w:pPr>
        <w:spacing w:after="600" w:before="0"/>
        <w:jc w:val="center"/>
      </w:pPr>
      <w:r>
        <w:rPr>
          <w:rFonts w:ascii="Arial" w:cs="Arial" w:eastAsia="Arial" w:hAnsi="Arial"/>
          <w:b/>
          <w:bCs/>
          <w:color w:val="2E86C1"/>
          <w:sz w:val="32"/>
          <w:szCs w:val="32"/>
        </w:rPr>
        <w:t xml:space="preserve">Analyse des Lancements Spatiaux Mondiaux</w:t>
      </w:r>
    </w:p>
    <w:p>
      <w:pPr>
        <w:spacing w:after="1200" w:before="0"/>
        <w:jc w:val="center"/>
      </w:pPr>
      <w:r>
        <w:rPr>
          <w:rFonts w:ascii="Arial" w:cs="Arial" w:eastAsia="Arial" w:hAnsi="Arial"/>
          <w:i/>
          <w:iCs/>
          <w:color w:val="555555"/>
          <w:sz w:val="24"/>
          <w:szCs w:val="24"/>
        </w:rPr>
        <w:t xml:space="preserve">Projet de Data Science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6B"/>
                <w:sz w:val="20"/>
                <w:szCs w:val="20"/>
              </w:rPr>
              <w:t xml:space="preserve">Titre du projet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Analyse des Lancements Spatiaux Mondiaux</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6B"/>
                <w:sz w:val="20"/>
                <w:szCs w:val="20"/>
              </w:rPr>
              <w:t xml:space="preserve">Nature du projet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Projet de data science — analyse et visualisation</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6B"/>
                <w:sz w:val="20"/>
                <w:szCs w:val="20"/>
              </w:rPr>
              <w:t xml:space="preserve">Technologie principale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Pandas, Streamlit, API REST</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6B"/>
                <w:sz w:val="20"/>
                <w:szCs w:val="20"/>
              </w:rPr>
              <w:t xml:space="preserve">Source de données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Launch Library API, Kaggle, NASA Open Data</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6B"/>
                <w:sz w:val="20"/>
                <w:szCs w:val="20"/>
              </w:rPr>
              <w:t xml:space="preserve">Type de livrable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Application web interactive (dashboard Streamlit)</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6B"/>
                <w:sz w:val="20"/>
                <w:szCs w:val="20"/>
              </w:rPr>
              <w:t xml:space="preserve">Réalisation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Projet de groupe</w:t>
            </w:r>
          </w:p>
        </w:tc>
      </w:tr>
    </w:tbl>
    <w:p>
      <w:pPr>
        <w:spacing w:after="0" w:before="800"/>
      </w:pPr>
      <w:r>
        <w:t xml:space="preserve"/>
      </w:r>
    </w:p>
    <w:p>
      <w:pPr>
        <w:pStyle w:val="Heading1"/>
        <w:pBdr>
          <w:bottom w:val="single" w:color="2E86C1" w:sz="8" w:space="4"/>
        </w:pBdr>
        <w:spacing w:after="200" w:before="400"/>
      </w:pPr>
      <w:r>
        <w:rPr>
          <w:rFonts w:ascii="Arial" w:cs="Arial" w:eastAsia="Arial" w:hAnsi="Arial"/>
          <w:b/>
          <w:bCs/>
          <w:color w:val="1A3A6B"/>
          <w:sz w:val="32"/>
          <w:szCs w:val="32"/>
        </w:rPr>
        <w:t xml:space="preserve">4. Utilisateurs cibles</w:t>
      </w:r>
    </w:p>
    <w:p>
      <w:pPr>
        <w:spacing w:after="100" w:before="100"/>
        <w:jc w:val="both"/>
      </w:pPr>
      <w:r>
        <w:rPr>
          <w:rFonts w:ascii="Arial" w:cs="Arial" w:eastAsia="Arial" w:hAnsi="Arial"/>
          <w:color w:val="222222"/>
          <w:sz w:val="22"/>
          <w:szCs w:val="22"/>
        </w:rPr>
        <w:t xml:space="preserve">Le projet s'adresse à plusieurs profils d'utilisateurs aux besoins distincts, mais qui partagent un intérêt commun pour l'analyse et la compréhension de l'industrie spatiale mondiale.</w:t>
      </w:r>
    </w:p>
    <w:p>
      <w:pPr>
        <w:spacing w:after="0" w:before="100"/>
      </w:pPr>
      <w:r>
        <w:t xml:space="preserve"/>
      </w:r>
    </w:p>
    <w:p>
      <w:pPr>
        <w:pStyle w:val="Heading2"/>
        <w:spacing w:after="160" w:before="320"/>
      </w:pPr>
      <w:r>
        <w:rPr>
          <w:rFonts w:ascii="Arial" w:cs="Arial" w:eastAsia="Arial" w:hAnsi="Arial"/>
          <w:b/>
          <w:bCs/>
          <w:color w:val="2E86C1"/>
          <w:sz w:val="26"/>
          <w:szCs w:val="26"/>
        </w:rPr>
        <w:t xml:space="preserve">4.1 Analystes du secteur spatial</w:t>
      </w:r>
    </w:p>
    <w:p>
      <w:pPr>
        <w:spacing w:after="100" w:before="100"/>
        <w:jc w:val="both"/>
      </w:pPr>
      <w:r>
        <w:rPr>
          <w:rFonts w:ascii="Arial" w:cs="Arial" w:eastAsia="Arial" w:hAnsi="Arial"/>
          <w:color w:val="222222"/>
          <w:sz w:val="22"/>
          <w:szCs w:val="22"/>
        </w:rPr>
        <w:t xml:space="preserve">Les analystes spécialisés dans l'industrie spatiale constituent le public principal de l'outil. Ils peuvent l'utiliser pour observer l'évolution des lancements dans le temps, comparer les performances des différentes agences spatiales (NASA, ESA, Roscosmos) ainsi que celles des opérateurs privés (SpaceX, RocketLab), et produire des rapports sectoriels appuyés sur des données fiables et actualisées.</w:t>
      </w:r>
    </w:p>
    <w:p>
      <w:pPr>
        <w:spacing w:after="0" w:before="100"/>
      </w:pPr>
      <w:r>
        <w:t xml:space="preserve"/>
      </w:r>
    </w:p>
    <w:p>
      <w:pPr>
        <w:pStyle w:val="Heading2"/>
        <w:spacing w:after="160" w:before="320"/>
      </w:pPr>
      <w:r>
        <w:rPr>
          <w:rFonts w:ascii="Arial" w:cs="Arial" w:eastAsia="Arial" w:hAnsi="Arial"/>
          <w:b/>
          <w:bCs/>
          <w:color w:val="2E86C1"/>
          <w:sz w:val="26"/>
          <w:szCs w:val="26"/>
        </w:rPr>
        <w:t xml:space="preserve">4.2 Journalistes scientifiques</w:t>
      </w:r>
    </w:p>
    <w:p>
      <w:pPr>
        <w:spacing w:after="100" w:before="100"/>
        <w:jc w:val="both"/>
      </w:pPr>
      <w:r>
        <w:rPr>
          <w:rFonts w:ascii="Arial" w:cs="Arial" w:eastAsia="Arial" w:hAnsi="Arial"/>
          <w:color w:val="222222"/>
          <w:sz w:val="22"/>
          <w:szCs w:val="22"/>
        </w:rPr>
        <w:t xml:space="preserve">Les journalistes spécialisés dans la science et la technologie spatiale peuvent utiliser ces données pour illustrer et enrichir leurs articles avec des statistiques vérifiables. L'outil leur permet d'accéder rapidement à des graphiques d'évolution et à des comparaisons factuelles entre acteurs publics et privés, sans nécessiter de compétences en traitement de données.</w:t>
      </w:r>
    </w:p>
    <w:p>
      <w:pPr>
        <w:spacing w:after="0" w:before="100"/>
      </w:pPr>
      <w:r>
        <w:t xml:space="preserve"/>
      </w:r>
    </w:p>
    <w:p>
      <w:pPr>
        <w:pStyle w:val="Heading2"/>
        <w:spacing w:after="160" w:before="320"/>
      </w:pPr>
      <w:r>
        <w:rPr>
          <w:rFonts w:ascii="Arial" w:cs="Arial" w:eastAsia="Arial" w:hAnsi="Arial"/>
          <w:b/>
          <w:bCs/>
          <w:color w:val="2E86C1"/>
          <w:sz w:val="26"/>
          <w:szCs w:val="26"/>
        </w:rPr>
        <w:t xml:space="preserve">4.3 Étudiants et chercheurs</w:t>
      </w:r>
    </w:p>
    <w:p>
      <w:pPr>
        <w:spacing w:after="100" w:before="100"/>
        <w:jc w:val="both"/>
      </w:pPr>
      <w:r>
        <w:rPr>
          <w:rFonts w:ascii="Arial" w:cs="Arial" w:eastAsia="Arial" w:hAnsi="Arial"/>
          <w:color w:val="222222"/>
          <w:sz w:val="22"/>
          <w:szCs w:val="22"/>
        </w:rPr>
        <w:t xml:space="preserve">Les étudiants en sciences des données, en sciences spatiales ou en gestion de projets technologiques peuvent exploiter les données et les visualisations pour réaliser des analyses académiques. L'application leur offre un accès structuré à des jeux de données cohérents, facilitant la compréhension des tendances et dynamiques du secteur spatial sur plusieurs décennies.</w:t>
      </w:r>
    </w:p>
    <w:p>
      <w:pPr>
        <w:spacing w:after="0" w:before="100"/>
      </w:pPr>
      <w:r>
        <w:t xml:space="preserve"/>
      </w:r>
    </w:p>
    <w:p>
      <w:pPr>
        <w:pStyle w:val="Heading2"/>
        <w:spacing w:after="160" w:before="320"/>
      </w:pPr>
      <w:r>
        <w:rPr>
          <w:rFonts w:ascii="Arial" w:cs="Arial" w:eastAsia="Arial" w:hAnsi="Arial"/>
          <w:b/>
          <w:bCs/>
          <w:color w:val="2E86C1"/>
          <w:sz w:val="26"/>
          <w:szCs w:val="26"/>
        </w:rPr>
        <w:t xml:space="preserve">4.4 Passionnés d'exploration spatiale</w:t>
      </w:r>
    </w:p>
    <w:p>
      <w:pPr>
        <w:spacing w:after="100" w:before="100"/>
        <w:jc w:val="both"/>
      </w:pPr>
      <w:r>
        <w:rPr>
          <w:rFonts w:ascii="Arial" w:cs="Arial" w:eastAsia="Arial" w:hAnsi="Arial"/>
          <w:color w:val="222222"/>
          <w:sz w:val="22"/>
          <w:szCs w:val="22"/>
        </w:rPr>
        <w:t xml:space="preserve">Le grand public passionné par l'histoire et l'actualité spatiale constitue également une cible importante. Ces utilisateurs bénéficient d'une interface intuitive et engageante pour explorer les données des missions spatiales mondiales, découvrir les acteurs du secteur et visualiser l'évolution des conquêtes spatiales de manière accessible et pédagogique.</w:t>
      </w:r>
    </w:p>
    <w:p>
      <w:pPr>
        <w:spacing w:after="0" w:before="200"/>
      </w:pPr>
      <w:r>
        <w:t xml:space="preserve"/>
      </w:r>
    </w:p>
    <w:p>
      <w:pPr>
        <w:pStyle w:val="Heading1"/>
        <w:pBdr>
          <w:bottom w:val="single" w:color="2E86C1" w:sz="8" w:space="4"/>
        </w:pBdr>
        <w:spacing w:after="200" w:before="400"/>
      </w:pPr>
      <w:r>
        <w:rPr>
          <w:rFonts w:ascii="Arial" w:cs="Arial" w:eastAsia="Arial" w:hAnsi="Arial"/>
          <w:b/>
          <w:bCs/>
          <w:color w:val="1A3A6B"/>
          <w:sz w:val="32"/>
          <w:szCs w:val="32"/>
        </w:rPr>
        <w:t xml:space="preserve">5. Étude de faisabilité</w:t>
      </w:r>
    </w:p>
    <w:p>
      <w:pPr>
        <w:pStyle w:val="Heading2"/>
        <w:spacing w:after="160" w:before="320"/>
      </w:pPr>
      <w:r>
        <w:rPr>
          <w:rFonts w:ascii="Arial" w:cs="Arial" w:eastAsia="Arial" w:hAnsi="Arial"/>
          <w:b/>
          <w:bCs/>
          <w:color w:val="2E86C1"/>
          <w:sz w:val="26"/>
          <w:szCs w:val="26"/>
        </w:rPr>
        <w:t xml:space="preserve">5.1 Faisabilité technique</w:t>
      </w:r>
    </w:p>
    <w:p>
      <w:pPr>
        <w:spacing w:after="100" w:before="100"/>
        <w:jc w:val="both"/>
      </w:pPr>
      <w:r>
        <w:rPr>
          <w:rFonts w:ascii="Arial" w:cs="Arial" w:eastAsia="Arial" w:hAnsi="Arial"/>
          <w:color w:val="222222"/>
          <w:sz w:val="22"/>
          <w:szCs w:val="22"/>
        </w:rPr>
        <w:t xml:space="preserve">Le projet est techniquement réalisable car les données nécessaires sont disponibles en open data et les technologies à mobiliser sont matures et bien documentées. Les données seront récupérées principalement via l'API Launch Library, qui fournit des informations détaillées sur les lancements spatiaux (date, agence, fusée utilisée, lieu de lancement, type de mission, résultat).</w:t>
      </w:r>
    </w:p>
    <w:p>
      <w:pPr>
        <w:spacing w:after="0" w:before="120"/>
      </w:pPr>
      <w:r>
        <w:t xml:space="preserve"/>
      </w:r>
    </w:p>
    <w:p>
      <w:pPr>
        <w:spacing w:after="100" w:before="100"/>
        <w:jc w:val="both"/>
      </w:pPr>
      <w:r>
        <w:rPr>
          <w:rFonts w:ascii="Arial" w:cs="Arial" w:eastAsia="Arial" w:hAnsi="Arial"/>
          <w:color w:val="222222"/>
          <w:sz w:val="22"/>
          <w:szCs w:val="22"/>
        </w:rPr>
        <w:t xml:space="preserve">Les technologies mobilisées dans ce projet sont les suivantes :</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86C1"/>
                <w:sz w:val="20"/>
                <w:szCs w:val="20"/>
              </w:rPr>
              <w:t xml:space="preserve">Python</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Récupération et traitement des données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Langage polyvalent, riche en bibliothèques data science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C1"/>
                <w:sz w:val="20"/>
                <w:szCs w:val="20"/>
              </w:rPr>
              <w:t xml:space="preserve">Pandas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Nettoyage et analyse des données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Manipulation efficace des DataFrames tabulaires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86C1"/>
                <w:sz w:val="20"/>
                <w:szCs w:val="20"/>
              </w:rPr>
              <w:t xml:space="preserve">API REST (Launch Library)</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Accès aux données de lancements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Source open data fiable et régulièrement mise à jour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C1"/>
                <w:sz w:val="20"/>
                <w:szCs w:val="20"/>
              </w:rPr>
              <w:t xml:space="preserve">Streamlit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Développement de l'interface web interactive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Création rapide de dashboards en Python, sans front-end dédié</w:t>
            </w:r>
          </w:p>
        </w:tc>
      </w:tr>
    </w:tbl>
    <w:p>
      <w:pPr>
        <w:spacing w:after="0" w:before="200"/>
      </w:pPr>
      <w:r>
        <w:t xml:space="preserve"/>
      </w:r>
    </w:p>
    <w:p>
      <w:pPr>
        <w:spacing w:after="100" w:before="100"/>
        <w:jc w:val="both"/>
      </w:pPr>
      <w:r>
        <w:rPr>
          <w:rFonts w:ascii="Arial" w:cs="Arial" w:eastAsia="Arial" w:hAnsi="Arial"/>
          <w:color w:val="222222"/>
          <w:sz w:val="22"/>
          <w:szCs w:val="22"/>
        </w:rPr>
        <w:t xml:space="preserve">Streamlit permettra de créer une interface web simple et fonctionnelle, directement développée en Python, dans laquelle l'utilisateur pourra explorer les données et afficher différents graphiques dynamiques filtrables par année, par agence ou par type de mission.</w:t>
      </w:r>
    </w:p>
    <w:p>
      <w:pPr>
        <w:spacing w:after="0" w:before="120"/>
      </w:pPr>
      <w:r>
        <w:t xml:space="preserve"/>
      </w:r>
    </w:p>
    <w:p>
      <w:pPr>
        <w:pStyle w:val="Heading2"/>
        <w:spacing w:after="160" w:before="320"/>
      </w:pPr>
      <w:r>
        <w:rPr>
          <w:rFonts w:ascii="Arial" w:cs="Arial" w:eastAsia="Arial" w:hAnsi="Arial"/>
          <w:b/>
          <w:bCs/>
          <w:color w:val="2E86C1"/>
          <w:sz w:val="26"/>
          <w:szCs w:val="26"/>
        </w:rPr>
        <w:t xml:space="preserve">5.2 Faisabilité organisationnelle</w:t>
      </w:r>
    </w:p>
    <w:p>
      <w:pPr>
        <w:spacing w:after="100" w:before="100"/>
        <w:jc w:val="both"/>
      </w:pPr>
      <w:r>
        <w:rPr>
          <w:rFonts w:ascii="Arial" w:cs="Arial" w:eastAsia="Arial" w:hAnsi="Arial"/>
          <w:color w:val="222222"/>
          <w:sz w:val="22"/>
          <w:szCs w:val="22"/>
        </w:rPr>
        <w:t xml:space="preserve">Le projet est réalisé en groupe, ce qui permet une répartition équilibrée des tâches entre les membres de l'équipe selon leurs compétences respectives. La modularité du projet facilite ce découpage en tâches indépendantes et parallélisables.</w:t>
      </w:r>
    </w:p>
    <w:p>
      <w:pPr>
        <w:spacing w:after="0" w:before="100"/>
      </w:pPr>
      <w:r>
        <w:t xml:space="preserve"/>
      </w:r>
    </w:p>
    <w:p>
      <w:pPr>
        <w:spacing w:after="100" w:before="100"/>
        <w:jc w:val="both"/>
      </w:pPr>
      <w:r>
        <w:rPr>
          <w:rFonts w:ascii="Arial" w:cs="Arial" w:eastAsia="Arial" w:hAnsi="Arial"/>
          <w:color w:val="222222"/>
          <w:sz w:val="22"/>
          <w:szCs w:val="22"/>
        </w:rPr>
        <w:t xml:space="preserve">La répartition envisagée des rôles est la suivante :</w:t>
      </w:r>
    </w:p>
    <w:p>
      <w:pPr>
        <w:pStyle w:val="ListParagraph"/>
        <w:numPr>
          <w:ilvl w:val="0"/>
          <w:numId w:val="2"/>
        </w:numPr>
        <w:spacing w:after="60" w:before="60"/>
      </w:pPr>
      <w:r>
        <w:rPr>
          <w:rFonts w:ascii="Arial" w:cs="Arial" w:eastAsia="Arial" w:hAnsi="Arial"/>
          <w:color w:val="222222"/>
          <w:sz w:val="22"/>
          <w:szCs w:val="22"/>
        </w:rPr>
        <w:t xml:space="preserve">Récupération des données via l'API Launch Library</w:t>
      </w:r>
    </w:p>
    <w:p>
      <w:pPr>
        <w:pStyle w:val="ListParagraph"/>
        <w:numPr>
          <w:ilvl w:val="0"/>
          <w:numId w:val="2"/>
        </w:numPr>
        <w:spacing w:after="60" w:before="60"/>
      </w:pPr>
      <w:r>
        <w:rPr>
          <w:rFonts w:ascii="Arial" w:cs="Arial" w:eastAsia="Arial" w:hAnsi="Arial"/>
          <w:color w:val="222222"/>
          <w:sz w:val="22"/>
          <w:szCs w:val="22"/>
        </w:rPr>
        <w:t xml:space="preserve">Nettoyage et préparation du dataset avec Pandas</w:t>
      </w:r>
    </w:p>
    <w:p>
      <w:pPr>
        <w:pStyle w:val="ListParagraph"/>
        <w:numPr>
          <w:ilvl w:val="0"/>
          <w:numId w:val="2"/>
        </w:numPr>
        <w:spacing w:after="60" w:before="60"/>
      </w:pPr>
      <w:r>
        <w:rPr>
          <w:rFonts w:ascii="Arial" w:cs="Arial" w:eastAsia="Arial" w:hAnsi="Arial"/>
          <w:color w:val="222222"/>
          <w:sz w:val="22"/>
          <w:szCs w:val="22"/>
        </w:rPr>
        <w:t xml:space="preserve">Analyse exploratoire des données (EDA)</w:t>
      </w:r>
    </w:p>
    <w:p>
      <w:pPr>
        <w:pStyle w:val="ListParagraph"/>
        <w:numPr>
          <w:ilvl w:val="0"/>
          <w:numId w:val="2"/>
        </w:numPr>
        <w:spacing w:after="60" w:before="60"/>
      </w:pPr>
      <w:r>
        <w:rPr>
          <w:rFonts w:ascii="Arial" w:cs="Arial" w:eastAsia="Arial" w:hAnsi="Arial"/>
          <w:color w:val="222222"/>
          <w:sz w:val="22"/>
          <w:szCs w:val="22"/>
        </w:rPr>
        <w:t xml:space="preserve">Développement de l'application Streamlit et des visualisations</w:t>
      </w:r>
    </w:p>
    <w:p>
      <w:pPr>
        <w:pStyle w:val="ListParagraph"/>
        <w:numPr>
          <w:ilvl w:val="0"/>
          <w:numId w:val="2"/>
        </w:numPr>
        <w:spacing w:after="60" w:before="60"/>
      </w:pPr>
      <w:r>
        <w:rPr>
          <w:rFonts w:ascii="Arial" w:cs="Arial" w:eastAsia="Arial" w:hAnsi="Arial"/>
          <w:color w:val="222222"/>
          <w:sz w:val="22"/>
          <w:szCs w:val="22"/>
        </w:rPr>
        <w:t xml:space="preserve">Rédaction du rapport final et du cahier des charges</w:t>
      </w:r>
    </w:p>
    <w:p>
      <w:pPr>
        <w:spacing w:after="0" w:before="100"/>
      </w:pPr>
      <w:r>
        <w:t xml:space="preserve"/>
      </w:r>
    </w:p>
    <w:p>
      <w:pPr>
        <w:spacing w:after="100" w:before="100"/>
        <w:jc w:val="both"/>
      </w:pPr>
      <w:r>
        <w:rPr>
          <w:rFonts w:ascii="Arial" w:cs="Arial" w:eastAsia="Arial" w:hAnsi="Arial"/>
          <w:color w:val="222222"/>
          <w:sz w:val="22"/>
          <w:szCs w:val="22"/>
        </w:rPr>
        <w:t xml:space="preserve">Cette organisation permettra de répartir le travail efficacement et de progresser en parallèle sur plusieurs composantes du projet, tout en maintenant une cohérence globale dans les livrables.</w:t>
      </w:r>
    </w:p>
    <w:p>
      <w:pPr>
        <w:spacing w:after="0" w:before="200"/>
      </w:pPr>
      <w:r>
        <w:t xml:space="preserve"/>
      </w:r>
    </w:p>
    <w:p>
      <w:pPr>
        <w:pStyle w:val="Heading1"/>
        <w:pBdr>
          <w:bottom w:val="single" w:color="2E86C1" w:sz="8" w:space="4"/>
        </w:pBdr>
        <w:spacing w:after="200" w:before="400"/>
      </w:pPr>
      <w:r>
        <w:rPr>
          <w:rFonts w:ascii="Arial" w:cs="Arial" w:eastAsia="Arial" w:hAnsi="Arial"/>
          <w:b/>
          <w:bCs/>
          <w:color w:val="1A3A6B"/>
          <w:sz w:val="32"/>
          <w:szCs w:val="32"/>
        </w:rPr>
        <w:t xml:space="preserve">6. Analyse fonctionnelle du besoin</w:t>
      </w:r>
    </w:p>
    <w:p>
      <w:pPr>
        <w:pStyle w:val="Heading2"/>
        <w:spacing w:after="160" w:before="320"/>
      </w:pPr>
      <w:r>
        <w:rPr>
          <w:rFonts w:ascii="Arial" w:cs="Arial" w:eastAsia="Arial" w:hAnsi="Arial"/>
          <w:b/>
          <w:bCs/>
          <w:color w:val="2E86C1"/>
          <w:sz w:val="26"/>
          <w:szCs w:val="26"/>
        </w:rPr>
        <w:t xml:space="preserve">6.1 Fonction principale</w:t>
      </w:r>
    </w:p>
    <w:p>
      <w:pPr>
        <w:spacing w:after="100" w:before="100"/>
        <w:jc w:val="both"/>
      </w:pPr>
      <w:r>
        <w:rPr>
          <w:rFonts w:ascii="Arial" w:cs="Arial" w:eastAsia="Arial" w:hAnsi="Arial"/>
          <w:color w:val="222222"/>
          <w:sz w:val="22"/>
          <w:szCs w:val="22"/>
        </w:rPr>
        <w:t xml:space="preserve">La fonction principale du système est de permettre l'analyse et la visualisation des lancements spatiaux mondiaux afin de mieux comprendre l'évolution de l'industrie spatiale et de comparer les différents acteurs du secteur (agences publiques et opérateurs privés).</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A3A6B"/>
                <w:sz w:val="22"/>
                <w:szCs w:val="22"/>
              </w:rPr>
              <w:t xml:space="preserve">FP — Fonction Principale</w:t>
            </w:r>
          </w:p>
          <w:p>
            <w:pPr>
              <w:jc w:val="both"/>
            </w:pPr>
            <w:r>
              <w:rPr>
                <w:rFonts w:ascii="Arial" w:cs="Arial" w:eastAsia="Arial" w:hAnsi="Arial"/>
                <w:i/>
                <w:iCs/>
                <w:color w:val="333333"/>
                <w:sz w:val="22"/>
                <w:szCs w:val="22"/>
              </w:rPr>
              <w:t xml:space="preserve">Permettre à l'utilisateur d'analyser et de visualiser l'évolution des lancements spatiaux mondiaux et de comparer les performances des acteurs du secteur.</w:t>
            </w:r>
          </w:p>
        </w:tc>
      </w:tr>
    </w:tbl>
    <w:p>
      <w:pPr>
        <w:spacing w:after="0" w:before="200"/>
      </w:pPr>
      <w:r>
        <w:t xml:space="preserve"/>
      </w:r>
    </w:p>
    <w:p>
      <w:pPr>
        <w:pStyle w:val="Heading2"/>
        <w:spacing w:after="160" w:before="320"/>
      </w:pPr>
      <w:r>
        <w:rPr>
          <w:rFonts w:ascii="Arial" w:cs="Arial" w:eastAsia="Arial" w:hAnsi="Arial"/>
          <w:b/>
          <w:bCs/>
          <w:color w:val="2E86C1"/>
          <w:sz w:val="26"/>
          <w:szCs w:val="26"/>
        </w:rPr>
        <w:t xml:space="preserve">6.2 Fonctions de service</w:t>
      </w:r>
    </w:p>
    <w:p>
      <w:pPr>
        <w:spacing w:after="100" w:before="100"/>
        <w:jc w:val="both"/>
      </w:pPr>
      <w:r>
        <w:rPr>
          <w:rFonts w:ascii="Arial" w:cs="Arial" w:eastAsia="Arial" w:hAnsi="Arial"/>
          <w:color w:val="222222"/>
          <w:sz w:val="22"/>
          <w:szCs w:val="22"/>
        </w:rPr>
        <w:t xml:space="preserve">Pour répondre à cet objectif, le système devra remplir les fonctions de service suivantes :</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FS1 — Récupérer les données des lancements spatiaux via l'API Launch Library et les sources open data</w:t>
      </w:r>
    </w:p>
    <w:p>
      <w:pPr>
        <w:pStyle w:val="ListParagraph"/>
        <w:numPr>
          <w:ilvl w:val="0"/>
          <w:numId w:val="2"/>
        </w:numPr>
        <w:spacing w:after="60" w:before="60"/>
      </w:pPr>
      <w:r>
        <w:rPr>
          <w:rFonts w:ascii="Arial" w:cs="Arial" w:eastAsia="Arial" w:hAnsi="Arial"/>
          <w:color w:val="222222"/>
          <w:sz w:val="22"/>
          <w:szCs w:val="22"/>
        </w:rPr>
        <w:t xml:space="preserve">FS2 — Nettoyer et préparer les données brutes pour les rendre exploitables (gestion des valeurs manquantes, normalisation des formats)</w:t>
      </w:r>
    </w:p>
    <w:p>
      <w:pPr>
        <w:pStyle w:val="ListParagraph"/>
        <w:numPr>
          <w:ilvl w:val="0"/>
          <w:numId w:val="2"/>
        </w:numPr>
        <w:spacing w:after="60" w:before="60"/>
      </w:pPr>
      <w:r>
        <w:rPr>
          <w:rFonts w:ascii="Arial" w:cs="Arial" w:eastAsia="Arial" w:hAnsi="Arial"/>
          <w:color w:val="222222"/>
          <w:sz w:val="22"/>
          <w:szCs w:val="22"/>
        </w:rPr>
        <w:t xml:space="preserve">FS3 — Stocker les données dans un dataset structuré et exploitable (fichier CSV ou base locale)</w:t>
      </w:r>
    </w:p>
    <w:p>
      <w:pPr>
        <w:pStyle w:val="ListParagraph"/>
        <w:numPr>
          <w:ilvl w:val="0"/>
          <w:numId w:val="2"/>
        </w:numPr>
        <w:spacing w:after="60" w:before="60"/>
      </w:pPr>
      <w:r>
        <w:rPr>
          <w:rFonts w:ascii="Arial" w:cs="Arial" w:eastAsia="Arial" w:hAnsi="Arial"/>
          <w:color w:val="222222"/>
          <w:sz w:val="22"/>
          <w:szCs w:val="22"/>
        </w:rPr>
        <w:t xml:space="preserve">FS4 — Analyser les lancements selon différents critères : année, agence, type de mission, fusée utilisée, taux de succès</w:t>
      </w:r>
    </w:p>
    <w:p>
      <w:pPr>
        <w:pStyle w:val="ListParagraph"/>
        <w:numPr>
          <w:ilvl w:val="0"/>
          <w:numId w:val="2"/>
        </w:numPr>
        <w:spacing w:after="60" w:before="60"/>
      </w:pPr>
      <w:r>
        <w:rPr>
          <w:rFonts w:ascii="Arial" w:cs="Arial" w:eastAsia="Arial" w:hAnsi="Arial"/>
          <w:color w:val="222222"/>
          <w:sz w:val="22"/>
          <w:szCs w:val="22"/>
        </w:rPr>
        <w:t xml:space="preserve">FS5 — Visualiser les résultats dans une application interactive développée avec Streamlit</w:t>
      </w:r>
    </w:p>
    <w:p>
      <w:pPr>
        <w:spacing w:after="0" w:before="100"/>
      </w:pPr>
      <w:r>
        <w:t xml:space="preserve"/>
      </w:r>
    </w:p>
    <w:p>
      <w:pPr>
        <w:spacing w:after="100" w:before="100"/>
        <w:jc w:val="both"/>
      </w:pPr>
      <w:r>
        <w:rPr>
          <w:rFonts w:ascii="Arial" w:cs="Arial" w:eastAsia="Arial" w:hAnsi="Arial"/>
          <w:color w:val="222222"/>
          <w:sz w:val="22"/>
          <w:szCs w:val="22"/>
        </w:rPr>
        <w:t xml:space="preserve">L'application Streamlit permettra notamment :</w:t>
      </w:r>
    </w:p>
    <w:p>
      <w:pPr>
        <w:pStyle w:val="ListParagraph"/>
        <w:numPr>
          <w:ilvl w:val="0"/>
          <w:numId w:val="2"/>
        </w:numPr>
        <w:spacing w:after="60" w:before="60"/>
      </w:pPr>
      <w:r>
        <w:rPr>
          <w:rFonts w:ascii="Arial" w:cs="Arial" w:eastAsia="Arial" w:hAnsi="Arial"/>
          <w:color w:val="222222"/>
          <w:sz w:val="22"/>
          <w:szCs w:val="22"/>
        </w:rPr>
        <w:t xml:space="preserve">D'afficher l'évolution du nombre de lancements dans le temps (courbes annuelles)</w:t>
      </w:r>
    </w:p>
    <w:p>
      <w:pPr>
        <w:pStyle w:val="ListParagraph"/>
        <w:numPr>
          <w:ilvl w:val="0"/>
          <w:numId w:val="2"/>
        </w:numPr>
        <w:spacing w:after="60" w:before="60"/>
      </w:pPr>
      <w:r>
        <w:rPr>
          <w:rFonts w:ascii="Arial" w:cs="Arial" w:eastAsia="Arial" w:hAnsi="Arial"/>
          <w:color w:val="222222"/>
          <w:sz w:val="22"/>
          <w:szCs w:val="22"/>
        </w:rPr>
        <w:t xml:space="preserve">De comparer les différentes agences spatiales et opérateurs privés (classements, parts de marché)</w:t>
      </w:r>
    </w:p>
    <w:p>
      <w:pPr>
        <w:pStyle w:val="ListParagraph"/>
        <w:numPr>
          <w:ilvl w:val="0"/>
          <w:numId w:val="2"/>
        </w:numPr>
        <w:spacing w:after="60" w:before="60"/>
      </w:pPr>
      <w:r>
        <w:rPr>
          <w:rFonts w:ascii="Arial" w:cs="Arial" w:eastAsia="Arial" w:hAnsi="Arial"/>
          <w:color w:val="222222"/>
          <w:sz w:val="22"/>
          <w:szCs w:val="22"/>
        </w:rPr>
        <w:t xml:space="preserve">D'explorer les missions selon différents filtres dynamiques (année, agence, type de mission, résultat)</w:t>
      </w:r>
    </w:p>
    <w:p>
      <w:pPr>
        <w:pStyle w:val="ListParagraph"/>
        <w:numPr>
          <w:ilvl w:val="0"/>
          <w:numId w:val="2"/>
        </w:numPr>
        <w:spacing w:after="60" w:before="60"/>
      </w:pPr>
      <w:r>
        <w:rPr>
          <w:rFonts w:ascii="Arial" w:cs="Arial" w:eastAsia="Arial" w:hAnsi="Arial"/>
          <w:color w:val="222222"/>
          <w:sz w:val="22"/>
          <w:szCs w:val="22"/>
        </w:rPr>
        <w:t xml:space="preserve">De visualiser une carte géographique des sites de lancement actifs dans le monde</w:t>
      </w:r>
    </w:p>
    <w:p>
      <w:pPr>
        <w:spacing w:after="0" w:before="200"/>
      </w:pPr>
      <w:r>
        <w:t xml:space="preserve"/>
      </w:r>
    </w:p>
    <w:p>
      <w:pPr>
        <w:pStyle w:val="Heading2"/>
        <w:spacing w:after="160" w:before="320"/>
      </w:pPr>
      <w:r>
        <w:rPr>
          <w:rFonts w:ascii="Arial" w:cs="Arial" w:eastAsia="Arial" w:hAnsi="Arial"/>
          <w:b/>
          <w:bCs/>
          <w:color w:val="2E86C1"/>
          <w:sz w:val="26"/>
          <w:szCs w:val="26"/>
        </w:rPr>
        <w:t xml:space="preserve">6.3 Contraintes</w:t>
      </w:r>
    </w:p>
    <w:p>
      <w:pPr>
        <w:spacing w:after="100" w:before="100"/>
        <w:jc w:val="both"/>
      </w:pPr>
      <w:r>
        <w:rPr>
          <w:rFonts w:ascii="Arial" w:cs="Arial" w:eastAsia="Arial" w:hAnsi="Arial"/>
          <w:color w:val="222222"/>
          <w:sz w:val="22"/>
          <w:szCs w:val="22"/>
        </w:rPr>
        <w:t xml:space="preserve">La réalisation du projet est soumise à plusieurs contraintes techniques et organisationnelles qui devront être anticipées et prises en compte lors du développement :</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6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86C1"/>
                <w:sz w:val="20"/>
                <w:szCs w:val="20"/>
              </w:rPr>
              <w:t xml:space="preserve">Limitation de l'API</w:t>
            </w:r>
          </w:p>
        </w:tc>
        <w:tc>
          <w:tcPr>
            <w:tcW w:type="dxa" w:w="6026"/>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L'API Launch Library impose un nombre maximal de requêtes par tranche de temps (rate limiting). Une stratégie de mise en cache des données devra être mise en place pour éviter les blocages.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C1"/>
                <w:sz w:val="20"/>
                <w:szCs w:val="20"/>
              </w:rPr>
              <w:t xml:space="preserve">Qualité des données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Les données disponibles en open data peuvent présenter des incomplétudes ou des incohérences. Un pipeline de nettoyage rigoureux est indispensable avant toute analyse.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86C1"/>
                <w:sz w:val="20"/>
                <w:szCs w:val="20"/>
              </w:rPr>
              <w:t xml:space="preserve">Temps de traitement</w:t>
            </w:r>
          </w:p>
        </w:tc>
        <w:tc>
          <w:tcPr>
            <w:tcW w:type="dxa" w:w="6026"/>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Le volume potentiellement élevé des données (historiques multi-décennies) peut ralentir les requêtes et les visualisations. Des optimisations de performances seront nécessaires.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C1"/>
                <w:sz w:val="20"/>
                <w:szCs w:val="20"/>
              </w:rPr>
              <w:t xml:space="preserve">Nettoyage préalable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Les données brutes doivent obligatoirement être nettoyées et homogénéisées avant l'analyse. Cette étape est critique pour la fiabilité des résultats.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2E86C1"/>
                <w:sz w:val="20"/>
                <w:szCs w:val="20"/>
              </w:rPr>
              <w:t xml:space="preserve">Couverture temporelle</w:t>
            </w:r>
          </w:p>
        </w:tc>
        <w:tc>
          <w:tcPr>
            <w:tcW w:type="dxa" w:w="6026"/>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Les données historiques antérieures aux années 1990 peuvent être moins complètes. Il conviendra de documenter les lacunes identifiées dans le rapport.</w:t>
            </w:r>
          </w:p>
        </w:tc>
      </w:tr>
    </w:tbl>
    <w:p>
      <w:pPr>
        <w:spacing w:after="0" w:before="300"/>
      </w:pPr>
      <w:r>
        <w:t xml:space="preserve"/>
      </w:r>
    </w:p>
    <w:p>
      <w:pPr>
        <w:spacing w:before="200"/>
        <w:jc w:val="center"/>
      </w:pPr>
      <w:r>
        <w:rPr>
          <w:rFonts w:ascii="Arial" w:cs="Arial" w:eastAsia="Arial" w:hAnsi="Arial"/>
          <w:i/>
          <w:iCs/>
          <w:color w:val="888888"/>
          <w:sz w:val="18"/>
          <w:szCs w:val="18"/>
        </w:rPr>
        <w:t xml:space="preserve">Document rédigé dans le cadre du projet de data science — Analyse des Lancements Spatiaux Mondiaux</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rFonts w:ascii="Arial" w:cs="Arial" w:eastAsia="Arial" w:hAnsi="Arial"/>
        <w:i/>
        <w:iCs/>
        <w:color w:val="888888"/>
        <w:sz w:val="16"/>
        <w:szCs w:val="16"/>
      </w:rPr>
      <w:t xml:space="preserve">Cahier des Charges Fonctionnel — Analyse des Lancements Spatiaux Mondiaux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6B"/>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2026-04-10T09:25:33.965Z</dcterms:created>
  <dcterms:modified xsi:type="dcterms:W3CDTF">2026-04-10T09:25:33.966Z</dcterms:modified>
</cp:coreProperties>
</file>

<file path=docProps/custom.xml><?xml version="1.0" encoding="utf-8"?>
<Properties xmlns="http://schemas.openxmlformats.org/officeDocument/2006/custom-properties" xmlns:vt="http://schemas.openxmlformats.org/officeDocument/2006/docPropsVTypes"/>
</file>