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KV Cache and the IO Wall</w:t>
      </w:r>
    </w:p>
    <w:p>
      <w:pPr>
        <w:jc w:val="center"/>
      </w:pPr>
      <w:r>
        <w:rPr>
          <w:i/>
          <w:color w:val="6A737D"/>
          <w:sz w:val="28"/>
        </w:rPr>
        <w:t>How Memory Bandwidth Became the Bottleneck in LLM Inference</w:t>
        <w:br/>
        <w:t>— and What We're Doing About It</w:t>
      </w:r>
    </w:p>
    <w:p/>
    <w:p>
      <w:pPr>
        <w:jc w:val="center"/>
      </w:pPr>
      <w:r>
        <w:rPr>
          <w:i/>
          <w:color w:val="959DA5"/>
          <w:sz w:val="20"/>
        </w:rPr>
        <w:t>Based on experiments run in the Vidur / InferSim simulation framework</w:t>
      </w:r>
    </w:p>
    <w:p/>
    <w:p>
      <w:pPr>
        <w:pStyle w:val="Heading1"/>
      </w:pPr>
      <w:r>
        <w:t>TL;DR</w:t>
      </w:r>
    </w:p>
    <w:p>
      <w:r>
        <w:rPr>
          <w:b w:val="0"/>
          <w:i w:val="0"/>
        </w:rPr>
        <w:t>Every token an LLM generates requires loading the entire KV cache accumulated so far — and that load dominates everything else. For a vanilla Llama-2-7B serving decode requests, the KV cache IO takes 4.94× longer than the actual compute. 100% of decode batches are IO-bound. The field has responded with a sequence of architectural innovations — GQA, MLA, sparse attention, Engram, TurboQuant — each attacking the same bottleneck from a different angle. But even with a 199× compressed cache, system-level scheduling determines whether any of it matters. When concurrent agentic sessions thrash the cache, 81–84% of prefill compute is wasted, TTFT inflates by 11.6× at p95, and a monitoring system that only looks at utilization sees nothing wrong.</w:t>
      </w:r>
    </w:p>
    <w:p/>
    <w:p>
      <w:r>
        <w:br w:type="page"/>
      </w:r>
    </w:p>
    <w:p>
      <w:pPr>
        <w:pStyle w:val="Heading1"/>
      </w:pPr>
      <w:r>
        <w:t>Part I: The IO Wall</w:t>
      </w:r>
    </w:p>
    <w:p>
      <w:pPr>
        <w:pStyle w:val="Heading2"/>
      </w:pPr>
      <w:r>
        <w:t>Why Decode Is Different</w:t>
      </w:r>
    </w:p>
    <w:p>
      <w:r>
        <w:rPr>
          <w:b w:val="0"/>
          <w:i w:val="0"/>
        </w:rPr>
        <w:t>Prefill and decode look similar on the surface — both run transformer layers over tokens — but their compute profiles are completely different.</w:t>
      </w:r>
    </w:p>
    <w:p>
      <w:r>
        <w:rPr>
          <w:b w:val="0"/>
          <w:i w:val="0"/>
        </w:rPr>
        <w:t>During prefill, you process a batch of prompt tokens together. The attention GEMM is a fat matrix multiply. GPU utilization is high. Compute dominates.</w:t>
      </w:r>
    </w:p>
    <w:p>
      <w:r>
        <w:rPr>
          <w:b w:val="0"/>
          <w:i w:val="0"/>
        </w:rPr>
        <w:t>During decode, you generate one new token per request per step. The attention operation becomes a thin vector-times-matrix: one query vector attended against a KV cache of all prior tokens. The GEMM is trivially small. But you still have to load the full KV cache for every token generated.</w:t>
      </w:r>
    </w:p>
    <w:p>
      <w:r>
        <w:rPr>
          <w:b w:val="0"/>
          <w:i w:val="0"/>
        </w:rPr>
        <w:t>For a model with 32 layers, 32 KV heads, head dimension 128, and FP16 precision, that's 2 × 32 × 128 × 2 bytes = 16,384 bytes per token per layer. At 2,048 tokens of context and 32 layers: 1 GB of KV data to load from HBM for a single decode step.</w:t>
      </w:r>
    </w:p>
    <w:p>
      <w:pPr>
        <w:pStyle w:val="Heading2"/>
      </w:pPr>
      <w:r>
        <w:t>Measuring the Bottleneck</w:t>
      </w:r>
    </w:p>
    <w:p>
      <w:r>
        <w:rPr>
          <w:b w:val="0"/>
          <w:i w:val="0"/>
        </w:rPr>
        <w:t>Our layer-timing experiments on Llama-2-7B quantify this precisely:</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Time per layer</w:t>
            </w:r>
          </w:p>
        </w:tc>
      </w:tr>
      <w:tr>
        <w:tc>
          <w:tcPr>
            <w:tcW w:type="dxa" w:w="4320"/>
          </w:tcPr>
          <w:p>
            <w:r>
              <w:rPr>
                <w:sz w:val="18"/>
              </w:rPr>
              <w:t>Attention compute</w:t>
            </w:r>
          </w:p>
        </w:tc>
        <w:tc>
          <w:tcPr>
            <w:tcW w:type="dxa" w:w="4320"/>
          </w:tcPr>
          <w:p>
            <w:r>
              <w:rPr>
                <w:sz w:val="18"/>
              </w:rPr>
              <w:t>0.462 ms</w:t>
            </w:r>
          </w:p>
        </w:tc>
      </w:tr>
      <w:tr>
        <w:tc>
          <w:tcPr>
            <w:tcW w:type="dxa" w:w="4320"/>
          </w:tcPr>
          <w:p>
            <w:r>
              <w:rPr>
                <w:sz w:val="18"/>
              </w:rPr>
              <w:t>MLP compute</w:t>
            </w:r>
          </w:p>
        </w:tc>
        <w:tc>
          <w:tcPr>
            <w:tcW w:type="dxa" w:w="4320"/>
          </w:tcPr>
          <w:p>
            <w:r>
              <w:rPr>
                <w:sz w:val="18"/>
              </w:rPr>
              <w:t>0.681 ms</w:t>
            </w:r>
          </w:p>
        </w:tc>
      </w:tr>
      <w:tr>
        <w:tc>
          <w:tcPr>
            <w:tcW w:type="dxa" w:w="4320"/>
          </w:tcPr>
          <w:p>
            <w:r>
              <w:rPr>
                <w:sz w:val="18"/>
              </w:rPr>
              <w:t>KV cache load</w:t>
            </w:r>
          </w:p>
        </w:tc>
        <w:tc>
          <w:tcPr>
            <w:tcW w:type="dxa" w:w="4320"/>
          </w:tcPr>
          <w:p>
            <w:r>
              <w:rPr>
                <w:sz w:val="18"/>
              </w:rPr>
              <w:t>1.583 ms</w:t>
            </w:r>
          </w:p>
        </w:tc>
      </w:tr>
      <w:tr>
        <w:tc>
          <w:tcPr>
            <w:tcW w:type="dxa" w:w="4320"/>
          </w:tcPr>
          <w:p>
            <w:r>
              <w:rPr>
                <w:sz w:val="18"/>
              </w:rPr>
              <w:t>IO/Compute ratio</w:t>
            </w:r>
          </w:p>
        </w:tc>
        <w:tc>
          <w:tcPr>
            <w:tcW w:type="dxa" w:w="4320"/>
          </w:tcPr>
          <w:p>
            <w:r>
              <w:rPr>
                <w:sz w:val="18"/>
              </w:rPr>
              <w:t>4.94×</w:t>
            </w:r>
          </w:p>
        </w:tc>
      </w:tr>
    </w:tbl>
    <w:p/>
    <w:p>
      <w:r>
        <w:rPr>
          <w:b w:val="0"/>
          <w:i w:val="0"/>
        </w:rPr>
        <w:t>The model is IO-bound in 100% of decode batches. Every single one. Adding more compute (bigger GPU) doesn't help. The bottleneck is reading data from memory.</w:t>
      </w:r>
    </w:p>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(left) is dominated by KV cache IO. DeepSeek-V3 with MLA (right) achieves near-balance.</w:t>
      </w:r>
    </w:p>
    <w:p/>
    <w:p>
      <w:pPr>
        <w:pStyle w:val="Heading2"/>
      </w:pPr>
      <w:r>
        <w:t>The Three-Stream Hardware Model</w:t>
      </w:r>
    </w:p>
    <w:p>
      <w:r>
        <w:rPr>
          <w:b w:val="0"/>
          <w:i w:val="0"/>
        </w:rPr>
        <w:t>Modern GPUs have three independent execution units: SM (compute), DMA engine (memory transfers), and NCCL (communication). You can overlap the next layer's KV load with the current layer's compute ("prefetch"). But savings are bounded by min(compute_time, next_kv_load_time). When IO &gt;&gt; compute — the MHA regime — the GPU sits idle waiting for data.</w:t>
      </w:r>
    </w:p>
    <w:p>
      <w:pPr>
        <w:jc w:val="center"/>
      </w:pPr>
      <w:r>
        <w:drawing>
          <wp:inline xmlns:a="http://schemas.openxmlformats.org/drawingml/2006/main" xmlns:pic="http://schemas.openxmlformats.org/drawingml/2006/picture">
            <wp:extent cx="5669280" cy="2419228"/>
            <wp:docPr id="2" name="Picture 2"/>
            <wp:cNvGraphicFramePr>
              <a:graphicFrameLocks noChangeAspect="1"/>
            </wp:cNvGraphicFramePr>
            <a:graphic>
              <a:graphicData uri="http://schemas.openxmlformats.org/drawingml/2006/picture">
                <pic:pic>
                  <pic:nvPicPr>
                    <pic:cNvPr id="0" name="fig09_three_stream_scheduling.png"/>
                    <pic:cNvPicPr/>
                  </pic:nvPicPr>
                  <pic:blipFill>
                    <a:blip r:embed="rId10"/>
                    <a:stretch>
                      <a:fillRect/>
                    </a:stretch>
                  </pic:blipFill>
                  <pic:spPr>
                    <a:xfrm>
                      <a:off x="0" y="0"/>
                      <a:ext cx="5669280" cy="2419228"/>
                    </a:xfrm>
                    <a:prstGeom prst="rect"/>
                  </pic:spPr>
                </pic:pic>
              </a:graphicData>
            </a:graphic>
          </wp:inline>
        </w:drawing>
      </w:r>
    </w:p>
    <w:p>
      <w:pPr>
        <w:jc w:val="center"/>
      </w:pPr>
      <w:r>
        <w:rPr>
          <w:i/>
          <w:color w:val="6A737D"/>
          <w:sz w:val="18"/>
        </w:rPr>
        <w:t>Figure 2: Without prefetch (top), IO runs sequentially. With prefetch (bottom), DMA overlaps with compute — but savings are capped by compute time.</w:t>
      </w:r>
    </w:p>
    <w:p/>
    <w:p>
      <w:pPr>
        <w:pStyle w:val="Heading2"/>
      </w:pPr>
      <w:r>
        <w:t>PDD Exposes the Problem Further</w:t>
      </w:r>
    </w:p>
    <w:p>
      <w:r>
        <w:rPr>
          <w:b w:val="0"/>
          <w:i w:val="0"/>
        </w:rPr>
        <w:t>Prefill-Decode Disaggregation (PDD) separates prefill and decode onto different GPU pools. The KV cache must transfer between pools over PCIe. For MHA models, this transfer dwarfs the actual decode compute.</w:t>
      </w:r>
    </w:p>
    <w:p>
      <w:pPr>
        <w:jc w:val="center"/>
      </w:pPr>
      <w:r>
        <w:drawing>
          <wp:inline xmlns:a="http://schemas.openxmlformats.org/drawingml/2006/main" xmlns:pic="http://schemas.openxmlformats.org/drawingml/2006/picture">
            <wp:extent cx="5669280" cy="2616229"/>
            <wp:docPr id="3" name="Picture 3"/>
            <wp:cNvGraphicFramePr>
              <a:graphicFrameLocks noChangeAspect="1"/>
            </wp:cNvGraphicFramePr>
            <a:graphic>
              <a:graphicData uri="http://schemas.openxmlformats.org/drawingml/2006/picture">
                <pic:pic>
                  <pic:nvPicPr>
                    <pic:cNvPr id="0" name="fig08_pdd_transfer_dominance.png"/>
                    <pic:cNvPicPr/>
                  </pic:nvPicPr>
                  <pic:blipFill>
                    <a:blip r:embed="rId11"/>
                    <a:stretch>
                      <a:fillRect/>
                    </a:stretch>
                  </pic:blipFill>
                  <pic:spPr>
                    <a:xfrm>
                      <a:off x="0" y="0"/>
                      <a:ext cx="5669280" cy="2616229"/>
                    </a:xfrm>
                    <a:prstGeom prst="rect"/>
                  </pic:spPr>
                </pic:pic>
              </a:graphicData>
            </a:graphic>
          </wp:inline>
        </w:drawing>
      </w:r>
    </w:p>
    <w:p>
      <w:pPr>
        <w:jc w:val="center"/>
      </w:pPr>
      <w:r>
        <w:rPr>
          <w:i/>
          <w:color w:val="6A737D"/>
          <w:sz w:val="18"/>
        </w:rPr>
        <w:t>Figure 3: KV transfer/compute ratios in PDD. MHA: 64.7× — the transfer is 65× the compute it's trying to support.</w:t>
      </w:r>
    </w:p>
    <w:p/>
    <w:p>
      <w:r>
        <w:rPr>
          <w:b w:val="0"/>
          <w:i w:val="0"/>
        </w:rPr>
        <w:t>And a cruel irony: faster GPUs make this worse. H100 delivers 3.2× more compute TFLOPS than A100, but PCIe Gen5 is only 2× faster than Gen4. The IO-to-compute gap grows each generation.</w:t>
      </w:r>
    </w:p>
    <w:p>
      <w:r>
        <w:br w:type="page"/>
      </w:r>
    </w:p>
    <w:p>
      <w:pPr>
        <w:pStyle w:val="Heading1"/>
      </w:pPr>
      <w:r>
        <w:t>Part II: The Architectural Response — Compressing the Cache</w:t>
      </w:r>
    </w:p>
    <w:p>
      <w:pPr>
        <w:pStyle w:val="Heading2"/>
      </w:pPr>
      <w:r>
        <w:t>MHA → GQA → MLA: The Ladder of Compression</w:t>
      </w:r>
    </w:p>
    <w:p>
      <w:r>
        <w:rPr>
          <w:b w:val="0"/>
          <w:i w:val="0"/>
        </w:rPr>
        <w:t>Multi-Head Attention (MHA) is the baseline. Every query head has its own KV head. For Llama-2-7B: 32 KV heads × 128 dims × 2 bytes × 2 (K+V) = 16,384 bytes per token per layer.</w:t>
      </w:r>
    </w:p>
    <w:p>
      <w:r>
        <w:rPr>
          <w:b w:val="0"/>
          <w:i w:val="0"/>
        </w:rPr>
        <w:t>Grouped Query Attention (GQA), introduced in Llama-2-70B, shares KV heads across groups of query heads. With 8 KV heads serving 64 query heads: 4,096 bytes/token/layer — a 4× reduction.</w:t>
      </w:r>
    </w:p>
    <w:p>
      <w:r>
        <w:rPr>
          <w:b w:val="0"/>
          <w:i w:val="0"/>
        </w:rPr>
        <w:t>Multi-head Latent Attention (MLA), DeepSeek-V3's invention, compresses KV into a low-rank latent vector of dimension 576, rather than the full tensor. It reconstructs K and V via learned up-projections during decode: (512 + 64) × 2 = 1,152 bytes/token/layer — a 14.2× reduction from MHA.</w:t>
      </w:r>
    </w:p>
    <w:p>
      <w:pPr>
        <w:jc w:val="center"/>
      </w:pPr>
      <w:r>
        <w:drawing>
          <wp:inline xmlns:a="http://schemas.openxmlformats.org/drawingml/2006/main" xmlns:pic="http://schemas.openxmlformats.org/drawingml/2006/picture">
            <wp:extent cx="5669280" cy="2095414"/>
            <wp:docPr id="4" name="Picture 4"/>
            <wp:cNvGraphicFramePr>
              <a:graphicFrameLocks noChangeAspect="1"/>
            </wp:cNvGraphicFramePr>
            <a:graphic>
              <a:graphicData uri="http://schemas.openxmlformats.org/drawingml/2006/picture">
                <pic:pic>
                  <pic:nvPicPr>
                    <pic:cNvPr id="0" name="fig02_kv_cache_size_landscape.png"/>
                    <pic:cNvPicPr/>
                  </pic:nvPicPr>
                  <pic:blipFill>
                    <a:blip r:embed="rId12"/>
                    <a:stretch>
                      <a:fillRect/>
                    </a:stretch>
                  </pic:blipFill>
                  <pic:spPr>
                    <a:xfrm>
                      <a:off x="0" y="0"/>
                      <a:ext cx="5669280" cy="2095414"/>
                    </a:xfrm>
                    <a:prstGeom prst="rect"/>
                  </pic:spPr>
                </pic:pic>
              </a:graphicData>
            </a:graphic>
          </wp:inline>
        </w:drawing>
      </w:r>
    </w:p>
    <w:p>
      <w:pPr>
        <w:jc w:val="center"/>
      </w:pPr>
      <w:r>
        <w:rPr>
          <w:i/>
          <w:color w:val="6A737D"/>
          <w:sz w:val="18"/>
        </w:rPr>
        <w:t>Figure 4: Left — KV cache bytes per token per layer (log scale). MLA is a qualitative jump. Right — Total KV at 1M context. Only MLA-based configs fit in a single H100.</w:t>
      </w:r>
    </w:p>
    <w:p/>
    <w:p>
      <w:r>
        <w:rPr>
          <w:b w:val="0"/>
          <w:i w:val="0"/>
        </w:rPr>
        <w:t>The impact on IO/compute balance is dramatic. DeepSeek-V3 with MLA achieves an IO/Compute ratio of 1.47× (vs 4.94× for MHA). Only 60.3% of decode batches are IO-bound, compared to 100% for MHA.</w:t>
      </w:r>
    </w:p>
    <w:p>
      <w:pPr>
        <w:jc w:val="center"/>
      </w:pPr>
      <w:r>
        <w:drawing>
          <wp:inline xmlns:a="http://schemas.openxmlformats.org/drawingml/2006/main" xmlns:pic="http://schemas.openxmlformats.org/drawingml/2006/picture">
            <wp:extent cx="5669280" cy="1967079"/>
            <wp:docPr id="5" name="Picture 5"/>
            <wp:cNvGraphicFramePr>
              <a:graphicFrameLocks noChangeAspect="1"/>
            </wp:cNvGraphicFramePr>
            <a:graphic>
              <a:graphicData uri="http://schemas.openxmlformats.org/drawingml/2006/picture">
                <pic:pic>
                  <pic:nvPicPr>
                    <pic:cNvPr id="0" name="fig03_io_compute_shift.png"/>
                    <pic:cNvPicPr/>
                  </pic:nvPicPr>
                  <pic:blipFill>
                    <a:blip r:embed="rId13"/>
                    <a:stretch>
                      <a:fillRect/>
                    </a:stretch>
                  </pic:blipFill>
                  <pic:spPr>
                    <a:xfrm>
                      <a:off x="0" y="0"/>
                      <a:ext cx="5669280" cy="1967079"/>
                    </a:xfrm>
                    <a:prstGeom prst="rect"/>
                  </pic:spPr>
                </pic:pic>
              </a:graphicData>
            </a:graphic>
          </wp:inline>
        </w:drawing>
      </w:r>
    </w:p>
    <w:p>
      <w:pPr>
        <w:jc w:val="center"/>
      </w:pPr>
      <w:r>
        <w:rPr>
          <w:i/>
          <w:color w:val="6A737D"/>
          <w:sz w:val="18"/>
        </w:rPr>
        <w:t>Figure 5: Left/Center — IO-bound fraction: 100% for MHA vs 60.3% for MLA. Right — Context length (not batch size) drives IO-boundedness.</w:t>
      </w:r>
    </w:p>
    <w:p/>
    <w:p>
      <w:pPr>
        <w:pStyle w:val="Heading2"/>
      </w:pPr>
      <w:r>
        <w:t>DeepSeek's Sparse Attention</w:t>
      </w:r>
    </w:p>
    <w:p>
      <w:r>
        <w:rPr>
          <w:b w:val="0"/>
          <w:i w:val="0"/>
        </w:rPr>
        <w:t>While MLA compresses the KV representation, DeepSeek also explored native sparse attention — selectively attending to only the most relevant KV entries rather than the full context. The two techniques compose: sparse selection over a compressed representation yields a doubly-reduced IO footprint. The key system insight: the scheduler must now track which KV entries are hot for each active request, not just total cache space consumed.</w:t>
      </w:r>
    </w:p>
    <w:p>
      <w:pPr>
        <w:pStyle w:val="Heading2"/>
      </w:pPr>
      <w:r>
        <w:t>Engram: Conditional Memory as a New Axis of Sparsity</w:t>
      </w:r>
    </w:p>
    <w:p>
      <w:r>
        <w:rPr>
          <w:b w:val="0"/>
          <w:i w:val="0"/>
        </w:rPr>
        <w:t>Engram (DeepSeek, arXiv:2601.07372) separates language modeling into two workloads: dynamic reasoning (handled by MoE transformer layers) and static pattern recall (handled by O(1) lookup tables indexed by N-gram hashes). By replacing 17 routed experts with Engram lookup, you load 24% fewer expert weight tensors from HBM per layer — directly reducing the IO bottleneck.</w:t>
      </w:r>
    </w:p>
    <w:p>
      <w:r>
        <w:rPr>
          <w:b w:val="0"/>
          <w:i w:val="0"/>
        </w:rPr>
        <w:t>The killer property: Engram addresses are deterministic — they depend only on input token IDs, not activations. DMA transfers begin before any layer executes. The GPU compute of preceding layers fully hides the host DRAM lookup. The DMA never stalls (9–64× prefetch headroom).</w:t>
      </w:r>
    </w:p>
    <w:p>
      <w:pPr>
        <w:jc w:val="center"/>
      </w:pPr>
      <w:r>
        <w:drawing>
          <wp:inline xmlns:a="http://schemas.openxmlformats.org/drawingml/2006/main" xmlns:pic="http://schemas.openxmlformats.org/drawingml/2006/picture">
            <wp:extent cx="5669280" cy="1917395"/>
            <wp:docPr id="6" name="Picture 6"/>
            <wp:cNvGraphicFramePr>
              <a:graphicFrameLocks noChangeAspect="1"/>
            </wp:cNvGraphicFramePr>
            <a:graphic>
              <a:graphicData uri="http://schemas.openxmlformats.org/drawingml/2006/picture">
                <pic:pic>
                  <pic:nvPicPr>
                    <pic:cNvPr id="0" name="fig04_engram_pareto.png"/>
                    <pic:cNvPicPr/>
                  </pic:nvPicPr>
                  <pic:blipFill>
                    <a:blip r:embed="rId14"/>
                    <a:stretch>
                      <a:fillRect/>
                    </a:stretch>
                  </pic:blipFill>
                  <pic:spPr>
                    <a:xfrm>
                      <a:off x="0" y="0"/>
                      <a:ext cx="5669280" cy="1917395"/>
                    </a:xfrm>
                    <a:prstGeom prst="rect"/>
                  </pic:spPr>
                </pic:pic>
              </a:graphicData>
            </a:graphic>
          </wp:inline>
        </w:drawing>
      </w:r>
    </w:p>
    <w:p>
      <w:pPr>
        <w:jc w:val="center"/>
      </w:pPr>
      <w:r>
        <w:rPr>
          <w:i/>
          <w:color w:val="6A737D"/>
          <w:sz w:val="18"/>
        </w:rPr>
        <w:t>Figure 6: Left — U-shaped quality curve: optimal split at ρ ≈ 0.74. Center — Engram is 21–31% faster at batch 32–64. Right — Prefetch headroom: the DMA transfer is always hidden behind compute, regardless of batch size.</w:t>
      </w:r>
    </w:p>
    <w:p/>
    <w:p>
      <w:r>
        <w:rPr>
          <w:b w:val="0"/>
          <w:i w:val="0"/>
        </w:rPr>
        <w:t>At V3 scale, a 100B-parameter Engram table lives entirely in host DRAM (~186 GB at ~$5/GB), freeing that HBM for KV cache or batch capacity. O(1) access means table size doesn't affect per-token latency — a 200B table has the same cost as a 1B table.</w:t>
      </w:r>
    </w:p>
    <w:p>
      <w:pPr>
        <w:pStyle w:val="Heading2"/>
      </w:pPr>
      <w:r>
        <w:t>TurboQuant: Quantizing the Cache to 3 Bits</w:t>
      </w:r>
    </w:p>
    <w:p>
      <w:r>
        <w:rPr>
          <w:b w:val="0"/>
          <w:i w:val="0"/>
        </w:rPr>
        <w:t>TurboQuant (Google, arXiv:2504.19874) compresses KV entries from FP16 to 3 bits per element via PolarQuant (rotational grid mapping) + QJL (sign-bit error correction), achieving 5.33× compression with negligible accuracy loss. The compression is orthogonal to the attention architecture — it stacks on top of MHA, GQA, or MLA.</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pPr>
        <w:jc w:val="center"/>
      </w:pPr>
      <w:r>
        <w:drawing>
          <wp:inline xmlns:a="http://schemas.openxmlformats.org/drawingml/2006/main" xmlns:pic="http://schemas.openxmlformats.org/drawingml/2006/picture">
            <wp:extent cx="5669280" cy="2243545"/>
            <wp:docPr id="7" name="Picture 7"/>
            <wp:cNvGraphicFramePr>
              <a:graphicFrameLocks noChangeAspect="1"/>
            </wp:cNvGraphicFramePr>
            <a:graphic>
              <a:graphicData uri="http://schemas.openxmlformats.org/drawingml/2006/picture">
                <pic:pic>
                  <pic:nvPicPr>
                    <pic:cNvPr id="0" name="fig05_turboquant_impact.png"/>
                    <pic:cNvPicPr/>
                  </pic:nvPicPr>
                  <pic:blipFill>
                    <a:blip r:embed="rId15"/>
                    <a:stretch>
                      <a:fillRect/>
                    </a:stretch>
                  </pic:blipFill>
                  <pic:spPr>
                    <a:xfrm>
                      <a:off x="0" y="0"/>
                      <a:ext cx="5669280" cy="2243545"/>
                    </a:xfrm>
                    <a:prstGeom prst="rect"/>
                  </pic:spPr>
                </pic:pic>
              </a:graphicData>
            </a:graphic>
          </wp:inline>
        </w:drawing>
      </w:r>
    </w:p>
    <w:p>
      <w:pPr>
        <w:jc w:val="center"/>
      </w:pPr>
      <w:r>
        <w:rPr>
          <w:i/>
          <w:color w:val="6A737D"/>
          <w:sz w:val="18"/>
        </w:rPr>
        <w:t>Figure 7: Left — TPOT improvement: 5.3× on MHA (IO-bound), negligible on GQA (already compact). Right — Memory access patterns: MHA reads everything, MLA reads 1.6%, TQ reads sparse discrete.</w:t>
      </w:r>
    </w:p>
    <w:p/>
    <w:p>
      <w:r>
        <w:br w:type="page"/>
      </w:r>
    </w:p>
    <w:p>
      <w:pPr>
        <w:pStyle w:val="Heading1"/>
      </w:pPr>
      <w:r>
        <w:t>Prefix Caching: Exploiting Workload Structure</w:t>
      </w:r>
    </w:p>
    <w:p>
      <w:r>
        <w:rPr>
          <w:b w:val="0"/>
          <w:i w:val="0"/>
        </w:rPr>
        <w:t>Architecture reduces cache size per token. Prefix caching reduces how many tokens you need to process. If multiple requests share a common prefix (system prompt, few-shot examples), cache the KV entries and reuse them. A radix tree with LRU eviction handles lookup.</w:t>
      </w:r>
    </w:p>
    <w:p>
      <w:pPr>
        <w:jc w:val="center"/>
      </w:pPr>
      <w:r>
        <w:drawing>
          <wp:inline xmlns:a="http://schemas.openxmlformats.org/drawingml/2006/main" xmlns:pic="http://schemas.openxmlformats.org/drawingml/2006/picture">
            <wp:extent cx="5669280" cy="2042875"/>
            <wp:docPr id="8" name="Picture 8"/>
            <wp:cNvGraphicFramePr>
              <a:graphicFrameLocks noChangeAspect="1"/>
            </wp:cNvGraphicFramePr>
            <a:graphic>
              <a:graphicData uri="http://schemas.openxmlformats.org/drawingml/2006/picture">
                <pic:pic>
                  <pic:nvPicPr>
                    <pic:cNvPr id="0" name="fig11_prefix_caching.png"/>
                    <pic:cNvPicPr/>
                  </pic:nvPicPr>
                  <pic:blipFill>
                    <a:blip r:embed="rId16"/>
                    <a:stretch>
                      <a:fillRect/>
                    </a:stretch>
                  </pic:blipFill>
                  <pic:spPr>
                    <a:xfrm>
                      <a:off x="0" y="0"/>
                      <a:ext cx="5669280" cy="2042875"/>
                    </a:xfrm>
                    <a:prstGeom prst="rect"/>
                  </pic:spPr>
                </pic:pic>
              </a:graphicData>
            </a:graphic>
          </wp:inline>
        </w:drawing>
      </w:r>
    </w:p>
    <w:p>
      <w:pPr>
        <w:jc w:val="center"/>
      </w:pPr>
      <w:r>
        <w:rPr>
          <w:i/>
          <w:color w:val="6A737D"/>
          <w:sz w:val="18"/>
        </w:rPr>
        <w:t>Figure 8: Left — Token hit rate scales linearly with shared prefix fraction. Right — Eviction pressure drops 17× at 90% sharing.</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r>
        <w:rPr>
          <w:b w:val="0"/>
          <w:i w:val="0"/>
        </w:rPr>
        <w:t>For chat applications with shared system prompts, prefix caching can eliminate 50–85% of all prefill computation. But there is a failure mode that neither architecture nor prefix caching can prevent.</w:t>
      </w:r>
    </w:p>
    <w:p>
      <w:r>
        <w:br w:type="page"/>
      </w:r>
    </w:p>
    <w:p>
      <w:pPr>
        <w:pStyle w:val="Heading1"/>
      </w:pPr>
      <w:r>
        <w:t>Part III: When Everything Breaks — The Thrashing Cliff</w:t>
      </w:r>
    </w:p>
    <w:p>
      <w:pPr>
        <w:pStyle w:val="Heading2"/>
      </w:pPr>
      <w:r>
        <w:t>Agentic Workloads and Growing Contexts</w:t>
      </w:r>
    </w:p>
    <w:p>
      <w:r>
        <w:rPr>
          <w:b w:val="0"/>
          <w:i w:val="0"/>
        </w:rPr>
        <w:t>In agentic inference — tool-use loops, chain-of-thought planning, multi-step code generation — each step appends to a growing, unique context. Step 0 might be 300 tokens; by step 12, it's 2,700 tokens. Each step shares the full prefix of all prior steps.</w:t>
      </w:r>
    </w:p>
    <w:p>
      <w:r>
        <w:rPr>
          <w:b w:val="0"/>
          <w:i w:val="0"/>
        </w:rPr>
        <w:t>With N concurrent agent sessions, the aggregate working set grows until it exceeds cache capacity. At that point, inserting new blocks for session A evicts blocks belonging to session B — but session B needs exactly those blocks on its very next step. This is mid-phase thrashing: the cache is full of the wrong data, and the system never recovers.</w:t>
      </w:r>
    </w:p>
    <w:p>
      <w:pPr>
        <w:pStyle w:val="Heading2"/>
      </w:pPr>
      <w:r>
        <w:t>The Cliff Is Binary</w:t>
      </w:r>
    </w:p>
    <w:p>
      <w:r>
        <w:rPr>
          <w:b w:val="0"/>
          <w:i w:val="0"/>
        </w:rPr>
        <w:t>We simulated this across concurrent sessions (2–12) and cache sizes (200–1,200 blocks). The result is not a gradient — it's a cliff.</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06_thrashing_cliff.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Thrashing boundary heatmap. The transition from ~80% to ~20% hit rate is nearly instantaneous. Right — Compute overhead: below the threshold, no penalty. Above it, immediate 5× overhead with 81% of prefill compute wasted.</w:t>
      </w:r>
    </w:p>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pPr>
        <w:pStyle w:val="Heading2"/>
      </w:pPr>
      <w:r>
        <w:t>Utilization Is a Lie</w:t>
      </w:r>
    </w:p>
    <w:p>
      <w:r>
        <w:rPr>
          <w:b w:val="0"/>
          <w:i w:val="0"/>
        </w:rPr>
        <w:t>The most dangerous property of thrashing: standard utilization metrics are completely uninformative. During severe thrashing (12 concurrent, 400 blocks), cache utilization is ~83% while token hit rate is ~18%. A monitoring system that only tracks utilization would report the cache as healthy.</w:t>
      </w:r>
    </w:p>
    <w:p>
      <w:r>
        <w:rPr>
          <w:b w:val="0"/>
          <w:i w:val="0"/>
        </w:rPr>
        <w:t>The correct diagnostic triad: high utilization + high eviction rate + low hit rate = thrashing. All three signals are required.</w:t>
      </w:r>
    </w:p>
    <w:p>
      <w:pPr>
        <w:pStyle w:val="Heading2"/>
      </w:pPr>
      <w:r>
        <w:t>Heterogeneous Agents: Asymmetric Destruction</w:t>
      </w:r>
    </w:p>
    <w:p>
      <w:r>
        <w:rPr>
          <w:b w:val="0"/>
          <w:i w:val="0"/>
        </w:rPr>
        <w:t>Real deployments mix short (4-step), medium (12-step), and long (24-step) agents. When these share the same cache, long agents' massive insertions evict short agents' cached prefixes. Short agents lose 35 percentage points of hit rate. Long agents barely notice.</w:t>
      </w:r>
    </w:p>
    <w:p>
      <w:pPr>
        <w:jc w:val="center"/>
      </w:pPr>
      <w:r>
        <w:drawing>
          <wp:inline xmlns:a="http://schemas.openxmlformats.org/drawingml/2006/main" xmlns:pic="http://schemas.openxmlformats.org/drawingml/2006/picture">
            <wp:extent cx="5669280" cy="2252441"/>
            <wp:docPr id="10" name="Picture 10"/>
            <wp:cNvGraphicFramePr>
              <a:graphicFrameLocks noChangeAspect="1"/>
            </wp:cNvGraphicFramePr>
            <a:graphic>
              <a:graphicData uri="http://schemas.openxmlformats.org/drawingml/2006/picture">
                <pic:pic>
                  <pic:nvPicPr>
                    <pic:cNvPr id="0" name="fig07_utilization_lies_hetero.png"/>
                    <pic:cNvPicPr/>
                  </pic:nvPicPr>
                  <pic:blipFill>
                    <a:blip r:embed="rId18"/>
                    <a:stretch>
                      <a:fillRect/>
                    </a:stretch>
                  </pic:blipFill>
                  <pic:spPr>
                    <a:xfrm>
                      <a:off x="0" y="0"/>
                      <a:ext cx="5669280" cy="2252441"/>
                    </a:xfrm>
                    <a:prstGeom prst="rect"/>
                  </pic:spPr>
                </pic:pic>
              </a:graphicData>
            </a:graphic>
          </wp:inline>
        </w:drawing>
      </w:r>
    </w:p>
    <w:p>
      <w:pPr>
        <w:jc w:val="center"/>
      </w:pPr>
      <w:r>
        <w:rPr>
          <w:i/>
          <w:color w:val="6A737D"/>
          <w:sz w:val="18"/>
        </w:rPr>
        <w:t>Figure 10: Left — Cache utilization stays high (~83%) while hit rate collapses to 18%. Right — Mixing short+long agents (21% hit rate) is worse than all-medium (56%).</w:t>
      </w:r>
    </w:p>
    <w:p/>
    <w:p>
      <w:r>
        <w:rPr>
          <w:b w:val="0"/>
          <w:i w:val="0"/>
        </w:rPr>
        <w:t>The capacity planning rule: provision cache for the largest agent type's full working set × its concurrent count. A pool with 25% long agents behaves as if it were 100% long agents from a cache-pressure perspective.</w:t>
      </w:r>
    </w:p>
    <w:p>
      <w:r>
        <w:br w:type="page"/>
      </w:r>
    </w:p>
    <w:p>
      <w:pPr>
        <w:pStyle w:val="Heading1"/>
      </w:pPr>
      <w:r>
        <w:t>Part IV: The IO-Aware Scheduler</w:t>
      </w:r>
    </w:p>
    <w:p>
      <w:r>
        <w:rPr>
          <w:b w:val="0"/>
          <w:i w:val="0"/>
        </w:rPr>
        <w:t>Architectural compression (MLA, Engram, TurboQuant) reduces KV footprint per token. But it doesn't prevent thrashing — it just shifts the boundary to higher concurrency or longer contexts. The system-level scheduler is the last line of defense.</w:t>
      </w:r>
    </w:p>
    <w:p>
      <w:pPr>
        <w:pStyle w:val="Heading2"/>
      </w:pPr>
      <w:r>
        <w:t>What Makes a Scheduler IO-Aware</w:t>
      </w:r>
    </w:p>
    <w:p>
      <w:r>
        <w:rPr>
          <w:b/>
          <w:i w:val="0"/>
        </w:rPr>
        <w:t>1. Working-Set-Aware Admission Control</w:t>
      </w:r>
    </w:p>
    <w:p>
      <w:r>
        <w:rPr>
          <w:b w:val="0"/>
          <w:i w:val="0"/>
        </w:rPr>
        <w:t>Before admitting a new session, check: sum(active_session_blocks) + new_session_max_blocks ≤ α × cache_capacity, where α &lt; 1.0 provides a safety margin. The thrashing cliff is a hard phase boundary — partial overcommit immediately delivers the full 5× penalty.</w:t>
      </w:r>
    </w:p>
    <w:p>
      <w:r>
        <w:rPr>
          <w:b/>
          <w:i w:val="0"/>
        </w:rPr>
        <w:t>2. Replace Utilization Monitoring With the Diagnostic Triad</w:t>
      </w:r>
    </w:p>
    <w:p>
      <w:r>
        <w:rPr>
          <w:b w:val="0"/>
          <w:i w:val="0"/>
        </w:rPr>
        <w:t>Stop monitoring cache utilization as a health metric. The actionable signal is: high utilization + high eviction rate + low hit rate = thrashing. Utilization is near 100% in both healthy and thrashing regimes.</w:t>
      </w:r>
    </w:p>
    <w:p>
      <w:r>
        <w:rPr>
          <w:b/>
          <w:i w:val="0"/>
        </w:rPr>
        <w:t>3. Session-Aware Eviction Over Pure LRU</w:t>
      </w:r>
    </w:p>
    <w:p>
      <w:r>
        <w:rPr>
          <w:b w:val="0"/>
          <w:i w:val="0"/>
        </w:rPr>
        <w:t>LRU is adversarial for agentic workloads: the least-recently-used block is always the one from the session that will request it next. A session-aware policy protects active sessions' blocks and only evicts cold (completed session) blocks.</w:t>
      </w:r>
    </w:p>
    <w:p>
      <w:r>
        <w:rPr>
          <w:b/>
          <w:i w:val="0"/>
        </w:rPr>
        <w:t>4. Type-Aware Scheduling and Cache Partitioning</w:t>
      </w:r>
    </w:p>
    <w:p>
      <w:r>
        <w:rPr>
          <w:b w:val="0"/>
          <w:i w:val="0"/>
        </w:rPr>
        <w:t>When agent types are known at dispatch time, partition cache space by agent type to prevent cross-type eviction. Short agents should have a dedicated segment that long agents cannot pollute, eliminating the asymmetric fairness failure.</w:t>
      </w:r>
    </w:p>
    <w:p>
      <w:r>
        <w:rPr>
          <w:b/>
          <w:i w:val="0"/>
        </w:rPr>
        <w:t>5. Dynamic Concurrency Limits</w:t>
      </w:r>
    </w:p>
    <w:p>
      <w:r>
        <w:rPr>
          <w:b w:val="0"/>
          <w:i w:val="0"/>
        </w:rPr>
        <w:t>Rather than a fixed batch size cap, dynamically adjust concurrent session count based on measured working set. The capacity planning rule:</w:t>
      </w:r>
    </w:p>
    <w:p>
      <w:r>
        <w:rPr>
          <w:b/>
          <w:i w:val="0"/>
        </w:rPr>
        <w:t>Required cache blocks ≥ N_concurrent × max_blocks_per_session_type</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Agent Type</w:t>
            </w:r>
          </w:p>
        </w:tc>
        <w:tc>
          <w:tcPr>
            <w:tcW w:type="dxa" w:w="2160"/>
          </w:tcPr>
          <w:p>
            <w:r>
              <w:rPr>
                <w:b/>
                <w:sz w:val="18"/>
              </w:rPr>
              <w:t>Max Blocks/Session</w:t>
            </w:r>
          </w:p>
        </w:tc>
        <w:tc>
          <w:tcPr>
            <w:tcW w:type="dxa" w:w="2160"/>
          </w:tcPr>
          <w:p>
            <w:r>
              <w:rPr>
                <w:b/>
                <w:sz w:val="18"/>
              </w:rPr>
              <w:t>8 Concurrent Requires</w:t>
            </w:r>
          </w:p>
        </w:tc>
        <w:tc>
          <w:tcPr>
            <w:tcW w:type="dxa" w:w="2160"/>
          </w:tcPr>
          <w:p>
            <w:r>
              <w:rPr>
                <w:b/>
                <w:sz w:val="18"/>
              </w:rPr>
              <w:t>Safe Cache</w:t>
            </w:r>
          </w:p>
        </w:tc>
      </w:tr>
      <w:tr>
        <w:tc>
          <w:tcPr>
            <w:tcW w:type="dxa" w:w="2160"/>
          </w:tcPr>
          <w:p>
            <w:r>
              <w:rPr>
                <w:sz w:val="18"/>
              </w:rPr>
              <w:t>Short (4 steps)</w:t>
            </w:r>
          </w:p>
        </w:tc>
        <w:tc>
          <w:tcPr>
            <w:tcW w:type="dxa" w:w="2160"/>
          </w:tcPr>
          <w:p>
            <w:r>
              <w:rPr>
                <w:sz w:val="18"/>
              </w:rPr>
              <w:t>39</w:t>
            </w:r>
          </w:p>
        </w:tc>
        <w:tc>
          <w:tcPr>
            <w:tcW w:type="dxa" w:w="2160"/>
          </w:tcPr>
          <w:p>
            <w:r>
              <w:rPr>
                <w:sz w:val="18"/>
              </w:rPr>
              <w:t>312 blocks</w:t>
            </w:r>
          </w:p>
        </w:tc>
        <w:tc>
          <w:tcPr>
            <w:tcW w:type="dxa" w:w="2160"/>
          </w:tcPr>
          <w:p>
            <w:r>
              <w:rPr>
                <w:sz w:val="18"/>
              </w:rPr>
              <w:t>~400 blocks</w:t>
            </w:r>
          </w:p>
        </w:tc>
      </w:tr>
      <w:tr>
        <w:tc>
          <w:tcPr>
            <w:tcW w:type="dxa" w:w="2160"/>
          </w:tcPr>
          <w:p>
            <w:r>
              <w:rPr>
                <w:sz w:val="18"/>
              </w:rPr>
              <w:t>Medium (12 steps)</w:t>
            </w:r>
          </w:p>
        </w:tc>
        <w:tc>
          <w:tcPr>
            <w:tcW w:type="dxa" w:w="2160"/>
          </w:tcPr>
          <w:p>
            <w:r>
              <w:rPr>
                <w:sz w:val="18"/>
              </w:rPr>
              <w:t>169</w:t>
            </w:r>
          </w:p>
        </w:tc>
        <w:tc>
          <w:tcPr>
            <w:tcW w:type="dxa" w:w="2160"/>
          </w:tcPr>
          <w:p>
            <w:r>
              <w:rPr>
                <w:sz w:val="18"/>
              </w:rPr>
              <w:t>1,352 blocks</w:t>
            </w:r>
          </w:p>
        </w:tc>
        <w:tc>
          <w:tcPr>
            <w:tcW w:type="dxa" w:w="2160"/>
          </w:tcPr>
          <w:p>
            <w:r>
              <w:rPr>
                <w:sz w:val="18"/>
              </w:rPr>
              <w:t>~1,400 blocks</w:t>
            </w:r>
          </w:p>
        </w:tc>
      </w:tr>
      <w:tr>
        <w:tc>
          <w:tcPr>
            <w:tcW w:type="dxa" w:w="2160"/>
          </w:tcPr>
          <w:p>
            <w:r>
              <w:rPr>
                <w:sz w:val="18"/>
              </w:rPr>
              <w:t>Long (24 steps)</w:t>
            </w:r>
          </w:p>
        </w:tc>
        <w:tc>
          <w:tcPr>
            <w:tcW w:type="dxa" w:w="2160"/>
          </w:tcPr>
          <w:p>
            <w:r>
              <w:rPr>
                <w:sz w:val="18"/>
              </w:rPr>
              <w:t>469</w:t>
            </w:r>
          </w:p>
        </w:tc>
        <w:tc>
          <w:tcPr>
            <w:tcW w:type="dxa" w:w="2160"/>
          </w:tcPr>
          <w:p>
            <w:r>
              <w:rPr>
                <w:sz w:val="18"/>
              </w:rPr>
              <w:t>3,752 blocks</w:t>
            </w:r>
          </w:p>
        </w:tc>
        <w:tc>
          <w:tcPr>
            <w:tcW w:type="dxa" w:w="2160"/>
          </w:tcPr>
          <w:p>
            <w:r>
              <w:rPr>
                <w:sz w:val="18"/>
              </w:rPr>
              <w:t>~4,000 blocks</w:t>
            </w:r>
          </w:p>
        </w:tc>
      </w:tr>
    </w:tbl>
    <w:p/>
    <w:p>
      <w:r>
        <w:rPr>
          <w:b w:val="0"/>
          <w:i w:val="0"/>
        </w:rPr>
        <w:t>For mixed pools, dimension against the largest type present, not the average.</w:t>
      </w:r>
    </w:p>
    <w:p>
      <w:pPr>
        <w:pStyle w:val="Heading2"/>
      </w:pPr>
      <w:r>
        <w:t>The Memory Hierarchy Extends Beyond GPU</w:t>
      </w:r>
    </w:p>
    <w:p>
      <w:r>
        <w:rPr>
          <w:b w:val="0"/>
          <w:i w:val="0"/>
        </w:rPr>
        <w:t>Our Qwen3-Coder-Next experiment (80B total / 3B active) reveals a counterintuitive result: CPU-resident expert weights can beat GPU transfer by 30% per layer (0.81 ms vs 1.16 ms). Reading 30 MB from DDR5 at 200 GB/s (0.15 ms) beats pushing the same data over PCIe at 25.2 GB/s (1.16 ms). The future IO-aware scheduler needs to reason about this extended hierarchy: GPU HBM for hot KV blocks, host DRAM for Engram tables and cold KV, PCIe as a constrained interconnect.</w:t>
      </w:r>
    </w:p>
    <w:p>
      <w:r>
        <w:br w:type="page"/>
      </w:r>
    </w:p>
    <w:p>
      <w:pPr>
        <w:pStyle w:val="Heading1"/>
      </w:pPr>
      <w:r>
        <w:t>Conclusion: The Full Stack</w:t>
      </w:r>
    </w:p>
    <w:p>
      <w:pPr>
        <w:jc w:val="center"/>
      </w:pPr>
      <w:r>
        <w:drawing>
          <wp:inline xmlns:a="http://schemas.openxmlformats.org/drawingml/2006/main" xmlns:pic="http://schemas.openxmlformats.org/drawingml/2006/picture">
            <wp:extent cx="5669280" cy="2445809"/>
            <wp:docPr id="11" name="Picture 11"/>
            <wp:cNvGraphicFramePr>
              <a:graphicFrameLocks noChangeAspect="1"/>
            </wp:cNvGraphicFramePr>
            <a:graphic>
              <a:graphicData uri="http://schemas.openxmlformats.org/drawingml/2006/picture">
                <pic:pic>
                  <pic:nvPicPr>
                    <pic:cNvPr id="0" name="fig10_full_compression_stack.png"/>
                    <pic:cNvPicPr/>
                  </pic:nvPicPr>
                  <pic:blipFill>
                    <a:blip r:embed="rId19"/>
                    <a:stretch>
                      <a:fillRect/>
                    </a:stretch>
                  </pic:blipFill>
                  <pic:spPr>
                    <a:xfrm>
                      <a:off x="0" y="0"/>
                      <a:ext cx="5669280" cy="2445809"/>
                    </a:xfrm>
                    <a:prstGeom prst="rect"/>
                  </pic:spPr>
                </pic:pic>
              </a:graphicData>
            </a:graphic>
          </wp:inline>
        </w:drawing>
      </w:r>
    </w:p>
    <w:p>
      <w:pPr>
        <w:jc w:val="center"/>
      </w:pPr>
      <w:r>
        <w:rPr>
          <w:i/>
          <w:color w:val="6A737D"/>
          <w:sz w:val="18"/>
        </w:rPr>
        <w:t>Figure 11: The full compression stack compounds: MHA FP16 (2,560 GB) → MLA + TQ + Prefix Cache (1.9 GB effective). Each layer is necessary; none alone is sufficient.</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14.2×</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loads</w:t>
            </w:r>
          </w:p>
        </w:tc>
        <w:tc>
          <w:tcPr>
            <w:tcW w:type="dxa" w:w="2160"/>
          </w:tcPr>
          <w:p>
            <w:r>
              <w:rPr>
                <w:sz w:val="18"/>
              </w:rPr>
              <w:t>24% per layer</w:t>
            </w:r>
          </w:p>
        </w:tc>
      </w:tr>
      <w:tr>
        <w:tc>
          <w:tcPr>
            <w:tcW w:type="dxa" w:w="2160"/>
          </w:tcPr>
          <w:p>
            <w:r>
              <w:rPr>
                <w:sz w:val="18"/>
              </w:rPr>
              <w:t>Quantization</w:t>
            </w:r>
          </w:p>
        </w:tc>
        <w:tc>
          <w:tcPr>
            <w:tcW w:type="dxa" w:w="2160"/>
          </w:tcPr>
          <w:p>
            <w:r>
              <w:rPr>
                <w:sz w:val="18"/>
              </w:rPr>
              <w:t>TurboQuant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r>
        <w:tc>
          <w:tcPr>
            <w:tcW w:type="dxa" w:w="2160"/>
          </w:tcPr>
          <w:p>
            <w:r>
              <w:rPr>
                <w:sz w:val="18"/>
              </w:rPr>
              <w:t>Scheduling</w:t>
            </w:r>
          </w:p>
        </w:tc>
        <w:tc>
          <w:tcPr>
            <w:tcW w:type="dxa" w:w="2160"/>
          </w:tcPr>
          <w:p>
            <w:r>
              <w:rPr>
                <w:sz w:val="18"/>
              </w:rPr>
              <w:t>IO-aware scheduler</w:t>
            </w:r>
          </w:p>
        </w:tc>
        <w:tc>
          <w:tcPr>
            <w:tcW w:type="dxa" w:w="2160"/>
          </w:tcPr>
          <w:p>
            <w:r>
              <w:rPr>
                <w:sz w:val="18"/>
              </w:rPr>
              <w:t>Thrashing-wasted compute</w:t>
            </w:r>
          </w:p>
        </w:tc>
        <w:tc>
          <w:tcPr>
            <w:tcW w:type="dxa" w:w="2160"/>
          </w:tcPr>
          <w:p>
            <w:r>
              <w:rPr>
                <w:sz w:val="18"/>
              </w:rPr>
              <w:t>up to 81%</w:t>
            </w:r>
          </w:p>
        </w:tc>
      </w:tr>
    </w:tbl>
    <w:p/>
    <w:p>
      <w:r>
        <w:rPr>
          <w:b w:val="0"/>
          <w:i w:val="0"/>
        </w:rPr>
        <w:t>None of these are redundant. MLA without scheduling still thrashes. Prefix caching without admission control still thrashes. TurboQuant on top of GQA still doesn't fit a million-token context in a single H100. The stack composes — MLA + TurboQuant + prefix caching + IO-aware scheduling is qualitatively better than any subset.</w:t>
      </w:r>
    </w:p>
    <w:p>
      <w:r>
        <w:rPr>
          <w:b w:val="0"/>
          <w:i w:val="0"/>
        </w:rPr>
        <w:t>The uncomfortable trajectory: faster GPUs widen the IO gap. H100 delivers 3.2× more FP16 TFLOPS than A100, but only 2× more PCIe bandwidth. Each GPU generation, compute-to-IO improves, and KV IO becomes relatively more of the bottleneck. The architectural and system-level techniques described here will become more important, not less.</w:t>
      </w:r>
    </w:p>
    <w:p>
      <w:r>
        <w:rPr>
          <w:b w:val="0"/>
          <w:i w:val="0"/>
        </w:rPr>
        <w:t>The problem is fundamental: autoregressive generation reads an amount of memory proportional to context length to produce a single token. Until the architecture of decoding itself changes, the memory wall will keep moving. Every technique here buys time. The scheduler is what determines whether that time is well spent.</w:t>
      </w:r>
    </w:p>
    <w:p/>
    <w:p>
      <w:pPr>
        <w:jc w:val="center"/>
      </w:pPr>
      <w:r>
        <w:rPr>
          <w:i/>
          <w:color w:val="959DA5"/>
          <w:sz w:val="18"/>
        </w:rPr>
        <w:t>Experiments run using the Vidur + InferSim simulation framework. All numerical results are from simulation.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