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Vidur</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Vidur,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2025 (TurboQuant) and January 2025 (Engram), obtaining results quantitatively consistent with their respective papers. All experiments, scripts, and data are open-source.</w:t>
      </w:r>
    </w:p>
    <w:p/>
    <w:p>
      <w:r>
        <w:br w:type="page"/>
      </w:r>
    </w:p>
    <w:p>
      <w:pPr>
        <w:pStyle w:val="Heading1"/>
      </w:pPr>
      <w:r>
        <w:t>1. Vidur: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Vidur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(SM, DMA, NCCL) with overlap computation</w:t>
      </w:r>
    </w:p>
    <w:p>
      <w:r>
        <w:rPr>
          <w:b w:val="0"/>
          <w:i w:val="0"/>
        </w:rPr>
        <w:t>•  GPU-initiated KV cache prefetching with analytical overlap budgets</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pPr>
        <w:pStyle w:val="Heading2"/>
      </w:pPr>
      <w:r>
        <w:t>The Three-Stream Hardware Model</w:t>
      </w:r>
    </w:p>
    <w:p>
      <w:r>
        <w:rPr>
          <w:b w:val="0"/>
          <w:i w:val="0"/>
        </w:rPr>
        <w:t>The simulator models three independent GPU execution units: SM (compute), DMA (memory transfers), and NCCL (communication). KV cache prefetching overlaps the next layer’s DMA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419228"/>
            <wp:docPr id="2" name="Picture 2"/>
            <wp:cNvGraphicFramePr>
              <a:graphicFrameLocks noChangeAspect="1"/>
            </wp:cNvGraphicFramePr>
            <a:graphic>
              <a:graphicData uri="http://schemas.openxmlformats.org/drawingml/2006/picture">
                <pic:pic>
                  <pic:nvPicPr>
                    <pic:cNvPr id="0" name="fig09_three_stream_scheduling.png"/>
                    <pic:cNvPicPr/>
                  </pic:nvPicPr>
                  <pic:blipFill>
                    <a:blip r:embed="rId10"/>
                    <a:stretch>
                      <a:fillRect/>
                    </a:stretch>
                  </pic:blipFill>
                  <pic:spPr>
                    <a:xfrm>
                      <a:off x="0" y="0"/>
                      <a:ext cx="5669280" cy="2419228"/>
                    </a:xfrm>
                    <a:prstGeom prst="rect"/>
                  </pic:spPr>
                </pic:pic>
              </a:graphicData>
            </a:graphic>
          </wp:inline>
        </w:drawing>
      </w:r>
    </w:p>
    <w:p>
      <w:pPr>
        <w:jc w:val="center"/>
      </w:pPr>
      <w:r>
        <w:rPr>
          <w:i/>
          <w:color w:val="6A737D"/>
          <w:sz w:val="18"/>
        </w:rPr>
        <w:t>Figure 2: Sequential IO (top) vs. GPU-initiated prefetch (bottom). DMA overlaps with SM compute, but savings are capped by compute time.</w:t>
      </w:r>
    </w:p>
    <w:p/>
    <w:p>
      <w:pPr>
        <w:pStyle w:val="Heading2"/>
      </w:pPr>
      <w:r>
        <w:t>Context Length, Not Batch Size, Drives IO</w:t>
      </w:r>
    </w:p>
    <w:p>
      <w:r>
        <w:rPr>
          <w:b w:val="0"/>
          <w:i w:val="0"/>
        </w:rPr>
        <w:t>We swept batch sizes from 16 to 512 for DeepSeek-V3 and found the IO/Compute ratio constant at 1.34× across every batch size. The reason: MLA’s per-token KV is so small (1,152 bytes) that batch size barely moves the needle. What drives IO-boundedness is context length — the accumulated tokens in each request’s KV cache. The crossover point (IO = compute) is at ~38,480 tokens.</w:t>
      </w:r>
    </w:p>
    <w:p>
      <w:pPr>
        <w:jc w:val="center"/>
      </w:pPr>
      <w:r>
        <w:drawing>
          <wp:inline xmlns:a="http://schemas.openxmlformats.org/drawingml/2006/main" xmlns:pic="http://schemas.openxmlformats.org/drawingml/2006/picture">
            <wp:extent cx="5669280" cy="1967079"/>
            <wp:docPr id="3" name="Picture 3"/>
            <wp:cNvGraphicFramePr>
              <a:graphicFrameLocks noChangeAspect="1"/>
            </wp:cNvGraphicFramePr>
            <a:graphic>
              <a:graphicData uri="http://schemas.openxmlformats.org/drawingml/2006/picture">
                <pic:pic>
                  <pic:nvPicPr>
                    <pic:cNvPr id="0" name="fig03_io_compute_shift.png"/>
                    <pic:cNvPicPr/>
                  </pic:nvPicPr>
                  <pic:blipFill>
                    <a:blip r:embed="rId11"/>
                    <a:stretch>
                      <a:fillRect/>
                    </a:stretch>
                  </pic:blipFill>
                  <pic:spPr>
                    <a:xfrm>
                      <a:off x="0" y="0"/>
                      <a:ext cx="5669280" cy="1967079"/>
                    </a:xfrm>
                    <a:prstGeom prst="rect"/>
                  </pic:spPr>
                </pic:pic>
              </a:graphicData>
            </a:graphic>
          </wp:inline>
        </w:drawing>
      </w:r>
    </w:p>
    <w:p>
      <w:pPr>
        <w:jc w:val="center"/>
      </w:pPr>
      <w:r>
        <w:rPr>
          <w:i/>
          <w:color w:val="6A737D"/>
          <w:sz w:val="18"/>
        </w:rPr>
        <w:t>Figure 3: Left/Center — IO-bound fraction: 100% for MHA vs. 60.3% for MLA. Right — KV load time scales with context length, not batch size.</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(Llama-2-7B): Every query head has its own KV head. 2 × 32 heads × 128 dims × 2 bytes = 16,384 bytes per token per layer.</w:t>
      </w:r>
    </w:p>
    <w:p>
      <w:r>
        <w:rPr>
          <w:b w:val="0"/>
          <w:i w:val="0"/>
        </w:rPr>
        <w:t>GQA (Llama-2-70B): 8 KV heads shared across 64 query heads. 2 × 8 × 128 × 2 = 4,096 bytes per token per layer — a 4× reduction.</w:t>
      </w:r>
    </w:p>
    <w:p>
      <w:r>
        <w:rPr>
          <w:b w:val="0"/>
          <w:i w:val="0"/>
        </w:rPr>
        <w:t>MLA (DeepSeek-V3): Compresses KV into a low-rank latent of dimension 576 (kv_lora_rank=512 + rope_dim=64). (512 + 64) × 2 = 1,152 bytes per token per layer — a 14.2× reduction from MHA.</w:t>
      </w:r>
    </w:p>
    <w:p>
      <w:pPr>
        <w:jc w:val="center"/>
      </w:pPr>
      <w:r>
        <w:drawing>
          <wp:inline xmlns:a="http://schemas.openxmlformats.org/drawingml/2006/main" xmlns:pic="http://schemas.openxmlformats.org/drawingml/2006/picture">
            <wp:extent cx="5669280" cy="2095414"/>
            <wp:docPr id="4" name="Picture 4"/>
            <wp:cNvGraphicFramePr>
              <a:graphicFrameLocks noChangeAspect="1"/>
            </wp:cNvGraphicFramePr>
            <a:graphic>
              <a:graphicData uri="http://schemas.openxmlformats.org/drawingml/2006/picture">
                <pic:pic>
                  <pic:nvPicPr>
                    <pic:cNvPr id="0" name="fig02_kv_cache_size_landscape.png"/>
                    <pic:cNvPicPr/>
                  </pic:nvPicPr>
                  <pic:blipFill>
                    <a:blip r:embed="rId12"/>
                    <a:stretch>
                      <a:fillRect/>
                    </a:stretch>
                  </pic:blipFill>
                  <pic:spPr>
                    <a:xfrm>
                      <a:off x="0" y="0"/>
                      <a:ext cx="5669280" cy="2095414"/>
                    </a:xfrm>
                    <a:prstGeom prst="rect"/>
                  </pic:spPr>
                </pic:pic>
              </a:graphicData>
            </a:graphic>
          </wp:inline>
        </w:drawing>
      </w:r>
    </w:p>
    <w:p>
      <w:pPr>
        <w:jc w:val="center"/>
      </w:pPr>
      <w:r>
        <w:rPr>
          <w:i/>
          <w:color w:val="6A737D"/>
          <w:sz w:val="18"/>
        </w:rPr>
        <w:t>Figure 4: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5" name="Picture 5"/>
            <wp:cNvGraphicFramePr>
              <a:graphicFrameLocks noChangeAspect="1"/>
            </wp:cNvGraphicFramePr>
            <a:graphic>
              <a:graphicData uri="http://schemas.openxmlformats.org/drawingml/2006/picture">
                <pic:pic>
                  <pic:nvPicPr>
                    <pic:cNvPr id="0" name="fig08_pdd_transfer_dominance.png"/>
                    <pic:cNvPicPr/>
                  </pic:nvPicPr>
                  <pic:blipFill>
                    <a:blip r:embed="rId13"/>
                    <a:stretch>
                      <a:fillRect/>
                    </a:stretch>
                  </pic:blipFill>
                  <pic:spPr>
                    <a:xfrm>
                      <a:off x="0" y="0"/>
                      <a:ext cx="5669280" cy="2616229"/>
                    </a:xfrm>
                    <a:prstGeom prst="rect"/>
                  </pic:spPr>
                </pic:pic>
              </a:graphicData>
            </a:graphic>
          </wp:inline>
        </w:drawing>
      </w:r>
    </w:p>
    <w:p>
      <w:pPr>
        <w:jc w:val="center"/>
      </w:pPr>
      <w:r>
        <w:rPr>
          <w:i/>
          <w:color w:val="6A737D"/>
          <w:sz w:val="18"/>
        </w:rPr>
        <w:t>Figure 5: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Vidur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DMA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6" name="Picture 6"/>
            <wp:cNvGraphicFramePr>
              <a:graphicFrameLocks noChangeAspect="1"/>
            </wp:cNvGraphicFramePr>
            <a:graphic>
              <a:graphicData uri="http://schemas.openxmlformats.org/drawingml/2006/picture">
                <pic:pic>
                  <pic:nvPicPr>
                    <pic:cNvPr id="0" name="fig04_engram_pareto.png"/>
                    <pic:cNvPicPr/>
                  </pic:nvPicPr>
                  <pic:blipFill>
                    <a:blip r:embed="rId14"/>
                    <a:stretch>
                      <a:fillRect/>
                    </a:stretch>
                  </pic:blipFill>
                  <pic:spPr>
                    <a:xfrm>
                      <a:off x="0" y="0"/>
                      <a:ext cx="5669280" cy="1917395"/>
                    </a:xfrm>
                    <a:prstGeom prst="rect"/>
                  </pic:spPr>
                </pic:pic>
              </a:graphicData>
            </a:graphic>
          </wp:inline>
        </w:drawing>
      </w:r>
    </w:p>
    <w:p>
      <w:pPr>
        <w:jc w:val="center"/>
      </w:pPr>
      <w:r>
        <w:rPr>
          <w:i/>
          <w:color w:val="6A737D"/>
          <w:sz w:val="18"/>
        </w:rPr>
        <w:t>Figure 6: Left — Validation loss U-curve; optimum at ρ≈0.74. Center — Engram is 21–31% faster. Right — Prefetch headroom: DMA never stalls (9–64× budget).</w:t>
      </w:r>
    </w:p>
    <w:p/>
    <w:p>
      <w:r>
        <w:rPr>
          <w:b w:val="0"/>
          <w:i w:val="0"/>
        </w:rPr>
        <w:t>The mechanism is straightforward: fewer routed experts = 24% less HBM IO per layer. The Engram lookup adds negligible overhead (&lt;0.1 ms per Engram layer) because the DMA is fully hidden behind preceding layers’ compute. At batch=32, the prefetch budget exceeds the DMA transfer by 9× at layer 2 and 64× at layer 15 — the ratio is a structural constant, independent of batch size.</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2025) compresses KV cache entries from FP16 to 3 bits per element via PolarQuant (rotational grid mapping) + QJL (sign-bit error correction), achieving 5.33× compression with negligible accuracy loss. It was published after Vidur’s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pPr>
        <w:jc w:val="center"/>
      </w:pPr>
      <w:r>
        <w:drawing>
          <wp:inline xmlns:a="http://schemas.openxmlformats.org/drawingml/2006/main" xmlns:pic="http://schemas.openxmlformats.org/drawingml/2006/picture">
            <wp:extent cx="5669280" cy="2243545"/>
            <wp:docPr id="7" name="Picture 7"/>
            <wp:cNvGraphicFramePr>
              <a:graphicFrameLocks noChangeAspect="1"/>
            </wp:cNvGraphicFramePr>
            <a:graphic>
              <a:graphicData uri="http://schemas.openxmlformats.org/drawingml/2006/picture">
                <pic:pic>
                  <pic:nvPicPr>
                    <pic:cNvPr id="0" name="fig05_turboquant_impact.png"/>
                    <pic:cNvPicPr/>
                  </pic:nvPicPr>
                  <pic:blipFill>
                    <a:blip r:embed="rId15"/>
                    <a:stretch>
                      <a:fillRect/>
                    </a:stretch>
                  </pic:blipFill>
                  <pic:spPr>
                    <a:xfrm>
                      <a:off x="0" y="0"/>
                      <a:ext cx="5669280" cy="2243545"/>
                    </a:xfrm>
                    <a:prstGeom prst="rect"/>
                  </pic:spPr>
                </pic:pic>
              </a:graphicData>
            </a:graphic>
          </wp:inline>
        </w:drawing>
      </w:r>
    </w:p>
    <w:p>
      <w:pPr>
        <w:jc w:val="center"/>
      </w:pPr>
      <w:r>
        <w:rPr>
          <w:i/>
          <w:color w:val="6A737D"/>
          <w:sz w:val="18"/>
        </w:rPr>
        <w:t>Figure 7: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Vidur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8" name="Picture 8"/>
            <wp:cNvGraphicFramePr>
              <a:graphicFrameLocks noChangeAspect="1"/>
            </wp:cNvGraphicFramePr>
            <a:graphic>
              <a:graphicData uri="http://schemas.openxmlformats.org/drawingml/2006/picture">
                <pic:pic>
                  <pic:nvPicPr>
                    <pic:cNvPr id="0" name="fig11_prefix_caching.png"/>
                    <pic:cNvPicPr/>
                  </pic:nvPicPr>
                  <pic:blipFill>
                    <a:blip r:embed="rId16"/>
                    <a:stretch>
                      <a:fillRect/>
                    </a:stretch>
                  </pic:blipFill>
                  <pic:spPr>
                    <a:xfrm>
                      <a:off x="0" y="0"/>
                      <a:ext cx="5669280" cy="2042875"/>
                    </a:xfrm>
                    <a:prstGeom prst="rect"/>
                  </pic:spPr>
                </pic:pic>
              </a:graphicData>
            </a:graphic>
          </wp:inline>
        </w:drawing>
      </w:r>
    </w:p>
    <w:p>
      <w:pPr>
        <w:jc w:val="center"/>
      </w:pPr>
      <w:r>
        <w:rPr>
          <w:i/>
          <w:color w:val="6A737D"/>
          <w:sz w:val="18"/>
        </w:rPr>
        <w:t>Figure 8: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pStyle w:val="Heading2"/>
      </w:pPr>
      <w:r>
        <w:t>A Binary Cliff</w:t>
      </w:r>
    </w:p>
    <w:p>
      <w:pPr>
        <w:jc w:val="center"/>
      </w:pPr>
      <w:r>
        <w:drawing>
          <wp:inline xmlns:a="http://schemas.openxmlformats.org/drawingml/2006/main" xmlns:pic="http://schemas.openxmlformats.org/drawingml/2006/picture">
            <wp:extent cx="5669280" cy="2219559"/>
            <wp:docPr id="9" name="Picture 9"/>
            <wp:cNvGraphicFramePr>
              <a:graphicFrameLocks noChangeAspect="1"/>
            </wp:cNvGraphicFramePr>
            <a:graphic>
              <a:graphicData uri="http://schemas.openxmlformats.org/drawingml/2006/picture">
                <pic:pic>
                  <pic:nvPicPr>
                    <pic:cNvPr id="0" name="fig06_thrashing_cliff.png"/>
                    <pic:cNvPicPr/>
                  </pic:nvPicPr>
                  <pic:blipFill>
                    <a:blip r:embed="rId17"/>
                    <a:stretch>
                      <a:fillRect/>
                    </a:stretch>
                  </pic:blipFill>
                  <pic:spPr>
                    <a:xfrm>
                      <a:off x="0" y="0"/>
                      <a:ext cx="5669280" cy="2219559"/>
                    </a:xfrm>
                    <a:prstGeom prst="rect"/>
                  </pic:spPr>
                </pic:pic>
              </a:graphicData>
            </a:graphic>
          </wp:inline>
        </w:drawing>
      </w:r>
    </w:p>
    <w:p>
      <w:pPr>
        <w:jc w:val="center"/>
      </w:pPr>
      <w:r>
        <w:rPr>
          <w:i/>
          <w:color w:val="6A737D"/>
          <w:sz w:val="18"/>
        </w:rPr>
        <w:t>Figure 9: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0" name="Picture 10"/>
            <wp:cNvGraphicFramePr>
              <a:graphicFrameLocks noChangeAspect="1"/>
            </wp:cNvGraphicFramePr>
            <a:graphic>
              <a:graphicData uri="http://schemas.openxmlformats.org/drawingml/2006/picture">
                <pic:pic>
                  <pic:nvPicPr>
                    <pic:cNvPr id="0" name="fig07_utilization_lies_hetero.png"/>
                    <pic:cNvPicPr/>
                  </pic:nvPicPr>
                  <pic:blipFill>
                    <a:blip r:embed="rId18"/>
                    <a:stretch>
                      <a:fillRect/>
                    </a:stretch>
                  </pic:blipFill>
                  <pic:spPr>
                    <a:xfrm>
                      <a:off x="0" y="0"/>
                      <a:ext cx="5669280" cy="2252441"/>
                    </a:xfrm>
                    <a:prstGeom prst="rect"/>
                  </pic:spPr>
                </pic:pic>
              </a:graphicData>
            </a:graphic>
          </wp:inline>
        </w:drawing>
      </w:r>
    </w:p>
    <w:p>
      <w:pPr>
        <w:jc w:val="center"/>
      </w:pPr>
      <w:r>
        <w:rPr>
          <w:i/>
          <w:color w:val="6A737D"/>
          <w:sz w:val="18"/>
        </w:rPr>
        <w:t>Figure 10: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1" name="Picture 11"/>
            <wp:cNvGraphicFramePr>
              <a:graphicFrameLocks noChangeAspect="1"/>
            </wp:cNvGraphicFramePr>
            <a:graphic>
              <a:graphicData uri="http://schemas.openxmlformats.org/drawingml/2006/picture">
                <pic:pic>
                  <pic:nvPicPr>
                    <pic:cNvPr id="0" name="fig10_full_compression_stack.png"/>
                    <pic:cNvPicPr/>
                  </pic:nvPicPr>
                  <pic:blipFill>
                    <a:blip r:embed="rId19"/>
                    <a:stretch>
                      <a:fillRect/>
                    </a:stretch>
                  </pic:blipFill>
                  <pic:spPr>
                    <a:xfrm>
                      <a:off x="0" y="0"/>
                      <a:ext cx="5669280" cy="2445809"/>
                    </a:xfrm>
                    <a:prstGeom prst="rect"/>
                  </pic:spPr>
                </pic:pic>
              </a:graphicData>
            </a:graphic>
          </wp:inline>
        </w:drawing>
      </w:r>
    </w:p>
    <w:p>
      <w:pPr>
        <w:jc w:val="center"/>
      </w:pPr>
      <w:r>
        <w:rPr>
          <w:i/>
          <w:color w:val="6A737D"/>
          <w:sz w:val="18"/>
        </w:rPr>
        <w:t>Figure 11: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14.2×</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DMA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Faster GPUs widen the IO gap. H100’s 3.2× compute improvement outpaces its 2× bandwidth improvement. Each GPU generation makes KV IO relatively more of the bottleneck.</w:t>
      </w:r>
    </w:p>
    <w:p/>
    <w:p>
      <w:r>
        <w:rPr>
          <w:b w:val="0"/>
          <w:i/>
        </w:rPr>
        <w:t>All experiments, scripts, profiling data, and generated figures are available in the Vidur repository. The simulator runs without GPUs and can be extended with new techniques by specifying their IO and compute characteristics — no hardware required.</w:t>
      </w:r>
    </w:p>
    <w:p/>
    <w:p>
      <w:pPr>
        <w:jc w:val="center"/>
      </w:pPr>
      <w:r>
        <w:rPr>
          <w:i/>
          <w:color w:val="959DA5"/>
          <w:sz w:val="18"/>
        </w:rPr>
        <w:t>Vidur: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