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Top — Per-request TTFT over time for the 8-concurrent / 400-block configuration, under three cache conditions, with PCIe reload overlapped against residual recompute (wall-clock = max(IO, compute)). Baseline (recompute, red) inflates to ~120 ms during sustained thrashing. Tiered (blue) stays at ~25 ms. The oracle unlimited-cache line (dashed green) sits at ~17 ms — the theoretical floor. The red band is the full cost of thrashing above the floor; the blue band is the residual above the floor after PCIe reload + overlap. What the two bands show: thrashing inflates TTFT by ~100 ms above oracle; tiered reload collapses that to ~8 ms — IO replaces compute, and overlap hides the IO behind the compute that remains. Bottom — HBM hit rate mirrors the TTFT curves: thrashing collapses hit rate; the DRAM tier absorbs the damage via IO instead of compute.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