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8" name="Picture 8"/>
            <wp:cNvGraphicFramePr>
              <a:graphicFrameLocks noChangeAspect="1"/>
            </wp:cNvGraphicFramePr>
            <a:graphic>
              <a:graphicData uri="http://schemas.openxmlformats.org/drawingml/2006/picture">
                <pic:pic>
                  <pic:nvPicPr>
                    <pic:cNvPr id="0" name="fig04_engram_pareto.png"/>
                    <pic:cNvPicPr/>
                  </pic:nvPicPr>
                  <pic:blipFill>
                    <a:blip r:embed="rId16"/>
                    <a:stretch>
                      <a:fillRect/>
                    </a:stretch>
                  </pic:blipFill>
                  <pic:spPr>
                    <a:xfrm>
                      <a:off x="0" y="0"/>
                      <a:ext cx="5669280" cy="1917395"/>
                    </a:xfrm>
                    <a:prstGeom prst="rect"/>
                  </pic:spPr>
                </pic:pic>
              </a:graphicData>
            </a:graphic>
          </wp:inline>
        </w:drawing>
      </w:r>
    </w:p>
    <w:p>
      <w:pPr>
        <w:jc w:val="center"/>
      </w:pPr>
      <w:r>
        <w:rPr>
          <w:i/>
          <w:color w:val="6A737D"/>
          <w:sz w:val="18"/>
        </w:rPr>
        <w:t>Figure 8: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IO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9" name="Picture 9"/>
            <wp:cNvGraphicFramePr>
              <a:graphicFrameLocks noChangeAspect="1"/>
            </wp:cNvGraphicFramePr>
            <a:graphic>
              <a:graphicData uri="http://schemas.openxmlformats.org/drawingml/2006/picture">
                <pic:pic>
                  <pic:nvPicPr>
                    <pic:cNvPr id="0" name="fig05_turboquant_impact.png"/>
                    <pic:cNvPicPr/>
                  </pic:nvPicPr>
                  <pic:blipFill>
                    <a:blip r:embed="rId17"/>
                    <a:stretch>
                      <a:fillRect/>
                    </a:stretch>
                  </pic:blipFill>
                  <pic:spPr>
                    <a:xfrm>
                      <a:off x="0" y="0"/>
                      <a:ext cx="5669280" cy="2243545"/>
                    </a:xfrm>
                    <a:prstGeom prst="rect"/>
                  </pic:spPr>
                </pic:pic>
              </a:graphicData>
            </a:graphic>
          </wp:inline>
        </w:drawing>
      </w:r>
    </w:p>
    <w:p>
      <w:pPr>
        <w:jc w:val="center"/>
      </w:pPr>
      <w:r>
        <w:rPr>
          <w:i/>
          <w:color w:val="6A737D"/>
          <w:sz w:val="18"/>
        </w:rPr>
        <w:t>Figure 9: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0" name="Picture 10"/>
            <wp:cNvGraphicFramePr>
              <a:graphicFrameLocks noChangeAspect="1"/>
            </wp:cNvGraphicFramePr>
            <a:graphic>
              <a:graphicData uri="http://schemas.openxmlformats.org/drawingml/2006/picture">
                <pic:pic>
                  <pic:nvPicPr>
                    <pic:cNvPr id="0" name="fig11_prefix_caching.png"/>
                    <pic:cNvPicPr/>
                  </pic:nvPicPr>
                  <pic:blipFill>
                    <a:blip r:embed="rId18"/>
                    <a:stretch>
                      <a:fillRect/>
                    </a:stretch>
                  </pic:blipFill>
                  <pic:spPr>
                    <a:xfrm>
                      <a:off x="0" y="0"/>
                      <a:ext cx="5669280" cy="2042875"/>
                    </a:xfrm>
                    <a:prstGeom prst="rect"/>
                  </pic:spPr>
                </pic:pic>
              </a:graphicData>
            </a:graphic>
          </wp:inline>
        </w:drawing>
      </w:r>
    </w:p>
    <w:p>
      <w:pPr>
        <w:jc w:val="center"/>
      </w:pPr>
      <w:r>
        <w:rPr>
          <w:i/>
          <w:color w:val="6A737D"/>
          <w:sz w:val="18"/>
        </w:rPr>
        <w:t>Figure 10: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1" name="Picture 11"/>
            <wp:cNvGraphicFramePr>
              <a:graphicFrameLocks noChangeAspect="1"/>
            </wp:cNvGraphicFramePr>
            <a:graphic>
              <a:graphicData uri="http://schemas.openxmlformats.org/drawingml/2006/picture">
                <pic:pic>
                  <pic:nvPicPr>
                    <pic:cNvPr id="0" name="fig14_thrashing_phases.png"/>
                    <pic:cNvPicPr/>
                  </pic:nvPicPr>
                  <pic:blipFill>
                    <a:blip r:embed="rId19"/>
                    <a:stretch>
                      <a:fillRect/>
                    </a:stretch>
                  </pic:blipFill>
                  <pic:spPr>
                    <a:xfrm>
                      <a:off x="0" y="0"/>
                      <a:ext cx="5669280" cy="2242327"/>
                    </a:xfrm>
                    <a:prstGeom prst="rect"/>
                  </pic:spPr>
                </pic:pic>
              </a:graphicData>
            </a:graphic>
          </wp:inline>
        </w:drawing>
      </w:r>
    </w:p>
    <w:p>
      <w:pPr>
        <w:jc w:val="center"/>
      </w:pPr>
      <w:r>
        <w:rPr>
          <w:i/>
          <w:color w:val="6A737D"/>
          <w:sz w:val="18"/>
        </w:rPr>
        <w:t>Figure 11: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2" name="Picture 12"/>
            <wp:cNvGraphicFramePr>
              <a:graphicFrameLocks noChangeAspect="1"/>
            </wp:cNvGraphicFramePr>
            <a:graphic>
              <a:graphicData uri="http://schemas.openxmlformats.org/drawingml/2006/picture">
                <pic:pic>
                  <pic:nvPicPr>
                    <pic:cNvPr id="0" name="fig06_thrashing_cliff.png"/>
                    <pic:cNvPicPr/>
                  </pic:nvPicPr>
                  <pic:blipFill>
                    <a:blip r:embed="rId20"/>
                    <a:stretch>
                      <a:fillRect/>
                    </a:stretch>
                  </pic:blipFill>
                  <pic:spPr>
                    <a:xfrm>
                      <a:off x="0" y="0"/>
                      <a:ext cx="5669280" cy="2219559"/>
                    </a:xfrm>
                    <a:prstGeom prst="rect"/>
                  </pic:spPr>
                </pic:pic>
              </a:graphicData>
            </a:graphic>
          </wp:inline>
        </w:drawing>
      </w:r>
    </w:p>
    <w:p>
      <w:pPr>
        <w:jc w:val="center"/>
      </w:pPr>
      <w:r>
        <w:rPr>
          <w:i/>
          <w:color w:val="6A737D"/>
          <w:sz w:val="18"/>
        </w:rPr>
        <w:t>Figure 12: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w:t>
      </w:r>
    </w:p>
    <w:p>
      <w:pPr>
        <w:jc w:val="center"/>
      </w:pPr>
      <w:r>
        <w:drawing>
          <wp:inline xmlns:a="http://schemas.openxmlformats.org/drawingml/2006/main" xmlns:pic="http://schemas.openxmlformats.org/drawingml/2006/picture">
            <wp:extent cx="5669280" cy="2244342"/>
            <wp:docPr id="13" name="Picture 13"/>
            <wp:cNvGraphicFramePr>
              <a:graphicFrameLocks noChangeAspect="1"/>
            </wp:cNvGraphicFramePr>
            <a:graphic>
              <a:graphicData uri="http://schemas.openxmlformats.org/drawingml/2006/picture">
                <pic:pic>
                  <pic:nvPicPr>
                    <pic:cNvPr id="0" name="fig15_pcie_kv_reload.png"/>
                    <pic:cNvPicPr/>
                  </pic:nvPicPr>
                  <pic:blipFill>
                    <a:blip r:embed="rId21"/>
                    <a:stretch>
                      <a:fillRect/>
                    </a:stretch>
                  </pic:blipFill>
                  <pic:spPr>
                    <a:xfrm>
                      <a:off x="0" y="0"/>
                      <a:ext cx="5669280" cy="2244342"/>
                    </a:xfrm>
                    <a:prstGeom prst="rect"/>
                  </pic:spPr>
                </pic:pic>
              </a:graphicData>
            </a:graphic>
          </wp:inline>
        </w:drawing>
      </w:r>
    </w:p>
    <w:p>
      <w:pPr>
        <w:jc w:val="center"/>
      </w:pPr>
      <w:r>
        <w:rPr>
          <w:i/>
          <w:color w:val="6A737D"/>
          <w:sz w:val="18"/>
        </w:rPr>
        <w:t>Figure 13: Left — Savings scale with tier-2 IO bandwidth. NVMe is too slow for 7B (reload costs more than recompute); PCIe Gen4 recovers 60% of wasted compute; CXL reaches 76%. Right — 70B with GQA achieves 80% savings because prefill is expensive but GQA’s 8× smaller KV makes PCIe reload 61× cheaper than recomputing.</w:t>
      </w:r>
    </w:p>
    <w:p/>
    <w:p>
      <w:r>
        <w:rPr>
          <w:b w:val="0"/>
          <w:i w:val="0"/>
        </w:rPr>
        <w:t>In the worst thrashing configuration (8 concurrent, 400-block HBM), the DRAM tier catches 62.6% of tokens that would have been recomputed. Total prefill compute drops from 71.9 s to 28.6 s — a 60% reduction in wasted compute. The average per-request cost falls from 92.2 ms to 36.7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smaller KV per token than 7B (320 KB vs 512 KB, thanks to grouped queries) but 10× more expensive prefill. The reload-vs-recompute ratio jumps to 61×, recovering 80% of thrashing waste. This is the IO perspective in full: the same KV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2848743"/>
            <wp:docPr id="14" name="Picture 14"/>
            <wp:cNvGraphicFramePr>
              <a:graphicFrameLocks noChangeAspect="1"/>
            </wp:cNvGraphicFramePr>
            <a:graphic>
              <a:graphicData uri="http://schemas.openxmlformats.org/drawingml/2006/picture">
                <pic:pic>
                  <pic:nvPicPr>
                    <pic:cNvPr id="0" name="fig16_ttft_over_time.png"/>
                    <pic:cNvPicPr/>
                  </pic:nvPicPr>
                  <pic:blipFill>
                    <a:blip r:embed="rId22"/>
                    <a:stretch>
                      <a:fillRect/>
                    </a:stretch>
                  </pic:blipFill>
                  <pic:spPr>
                    <a:xfrm>
                      <a:off x="0" y="0"/>
                      <a:ext cx="5669280" cy="2848743"/>
                    </a:xfrm>
                    <a:prstGeom prst="rect"/>
                  </pic:spPr>
                </pic:pic>
              </a:graphicData>
            </a:graphic>
          </wp:inline>
        </w:drawing>
      </w:r>
    </w:p>
    <w:p>
      <w:pPr>
        <w:jc w:val="center"/>
      </w:pPr>
      <w:r>
        <w:rPr>
          <w:i/>
          <w:color w:val="6A737D"/>
          <w:sz w:val="18"/>
        </w:rPr>
        <w:t>Figure 14: Top — Per-request TTFT over time for the 8-concurrent / 400-block configuration. Baseline (recompute, red) tracks the thrashing phases exactly: TTFT inflates to ~120 ms during sustained thrashing and recovers during drain. Tiered (PCIe reload, blue) stays at ~40 ms throughout, saving ~61% of latency. Bottom — HBM hit rate mirrors the TTFT curves: thrashing collapses hit rate, inflating latency; the DRAM tier absorbs the damage via IO instead of compute.</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5" name="Picture 15"/>
            <wp:cNvGraphicFramePr>
              <a:graphicFrameLocks noChangeAspect="1"/>
            </wp:cNvGraphicFramePr>
            <a:graphic>
              <a:graphicData uri="http://schemas.openxmlformats.org/drawingml/2006/picture">
                <pic:pic>
                  <pic:nvPicPr>
                    <pic:cNvPr id="0" name="fig07_utilization_lies_hetero.png"/>
                    <pic:cNvPicPr/>
                  </pic:nvPicPr>
                  <pic:blipFill>
                    <a:blip r:embed="rId23"/>
                    <a:stretch>
                      <a:fillRect/>
                    </a:stretch>
                  </pic:blipFill>
                  <pic:spPr>
                    <a:xfrm>
                      <a:off x="0" y="0"/>
                      <a:ext cx="5669280" cy="2252441"/>
                    </a:xfrm>
                    <a:prstGeom prst="rect"/>
                  </pic:spPr>
                </pic:pic>
              </a:graphicData>
            </a:graphic>
          </wp:inline>
        </w:drawing>
      </w:r>
    </w:p>
    <w:p>
      <w:pPr>
        <w:jc w:val="center"/>
      </w:pPr>
      <w:r>
        <w:rPr>
          <w:i/>
          <w:color w:val="6A737D"/>
          <w:sz w:val="18"/>
        </w:rPr>
        <w:t>Figure 15: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6" name="Picture 16"/>
            <wp:cNvGraphicFramePr>
              <a:graphicFrameLocks noChangeAspect="1"/>
            </wp:cNvGraphicFramePr>
            <a:graphic>
              <a:graphicData uri="http://schemas.openxmlformats.org/drawingml/2006/picture">
                <pic:pic>
                  <pic:nvPicPr>
                    <pic:cNvPr id="0" name="fig10_full_compression_stack.png"/>
                    <pic:cNvPicPr/>
                  </pic:nvPicPr>
                  <pic:blipFill>
                    <a:blip r:embed="rId24"/>
                    <a:stretch>
                      <a:fillRect/>
                    </a:stretch>
                  </pic:blipFill>
                  <pic:spPr>
                    <a:xfrm>
                      <a:off x="0" y="0"/>
                      <a:ext cx="5669280" cy="2445809"/>
                    </a:xfrm>
                    <a:prstGeom prst="rect"/>
                  </pic:spPr>
                </pic:pic>
              </a:graphicData>
            </a:graphic>
          </wp:inline>
        </w:drawing>
      </w:r>
    </w:p>
    <w:p>
      <w:pPr>
        <w:jc w:val="center"/>
      </w:pPr>
      <w:r>
        <w:rPr>
          <w:i/>
          <w:color w:val="6A737D"/>
          <w:sz w:val="18"/>
        </w:rPr>
        <w:t>Figure 16: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60% of thrashing waste by converting misses from compute to IO. A host DRAM tier (just 2× HBM capacity) turns the binary cliff into a softer slope.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p>
      <w:pPr>
        <w:jc w:val="center"/>
      </w:pPr>
      <w:r>
        <w:rPr>
          <w:i/>
          <w:color w:val="959DA5"/>
          <w:sz w:val="18"/>
        </w:rPr>
        <w:t>InferLens: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