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into the access pattern itself (only 2,560 tokens attended per layer), then ask what happens when even that reduced KV doesn’t fit in HBM and must be fetched over PCIe — and whether batching helps.</w:t>
      </w:r>
    </w:p>
    <w:p>
      <w:r>
        <w:rPr>
          <w:b w:val="0"/>
          <w:i w:val="0"/>
        </w:rPr>
        <w:t>•  § 5. Engram: Conditional Memory — replace a fraction of MoE experts with a deterministic hash-based lookup table, making that component’s IO O(1) in table size and fully prefetchable, freeing HBM for KV cache.</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LLM inference has two distinct phases. Prefill processes the entire input prompt in one forward pass, building the KV cache from scratch — it is compute-bound. Decode then generates one token at a time, loading the cached KV for every past token on each step — and that is where the IO problem lives.</w:t>
      </w:r>
    </w:p>
    <w:p>
      <w:r>
        <w:rPr>
          <w:b w:val="0"/>
          <w:i w:val="0"/>
        </w:rPr>
        <w:t>During decode, each new token loads the entire KV cache for every past token but performs only a constant amount of arithmetic per byte — arithmetic intensity is O(1). That single fact makes decode inherently memory-bandwidth-bound, regardless of model size or GPU generation. Everything that follows in §§3–5 is an attempt to reduce the bytes that must travel across that bandwidth.</w:t>
      </w:r>
    </w:p>
    <w:p>
      <w:r>
        <w:rPr>
          <w:b w:val="0"/>
          <w:i w:val="0"/>
        </w:rPr>
        <w:t>We begin by decomposing decode latency at the per-layer level for two representative architectures: Llama-2-7B (dense MHA) and DeepSeek-V3 (MoE + MLA), both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numbers confirm the O(1) argument: Llama-2-7B is IO-bound in 100% of decode batches, spending nearly 5× more time loading KV data than computing with it. DeepSeek-V3, using MLA compression, brings the ratio to 1.47× — a qualitatively different regime where 39.7% of batches are actually compute-bound. But even MLA does not eliminate the wall; it only pushes it further out.</w:t>
      </w:r>
    </w:p>
    <w:p>
      <w:pPr>
        <w:jc w:val="center"/>
      </w:pPr>
      <w:r>
        <w:drawing>
          <wp:inline xmlns:a="http://schemas.openxmlformats.org/drawingml/2006/main" xmlns:pic="http://schemas.openxmlformats.org/drawingml/2006/picture">
            <wp:extent cx="5669280" cy="3031685"/>
            <wp:docPr id="2" name="Picture 2"/>
            <wp:cNvGraphicFramePr>
              <a:graphicFrameLocks noChangeAspect="1"/>
            </wp:cNvGraphicFramePr>
            <a:graphic>
              <a:graphicData uri="http://schemas.openxmlformats.org/drawingml/2006/picture">
                <pic:pic>
                  <pic:nvPicPr>
                    <pic:cNvPr id="0" name="fig03a_io_fraction_comparison.png"/>
                    <pic:cNvPicPr/>
                  </pic:nvPicPr>
                  <pic:blipFill>
                    <a:blip r:embed="rId10"/>
                    <a:stretch>
                      <a:fillRect/>
                    </a:stretch>
                  </pic:blipFill>
                  <pic:spPr>
                    <a:xfrm>
                      <a:off x="0" y="0"/>
                      <a:ext cx="5669280" cy="3031685"/>
                    </a:xfrm>
                    <a:prstGeom prst="rect"/>
                  </pic:spPr>
                </pic:pic>
              </a:graphicData>
            </a:graphic>
          </wp:inline>
        </w:drawing>
      </w:r>
    </w:p>
    <w:p>
      <w:pPr>
        <w:jc w:val="center"/>
      </w:pPr>
      <w:r>
        <w:rPr>
          <w:i/>
          <w:color w:val="6A737D"/>
          <w:sz w:val="18"/>
        </w:rPr>
        <w:t>Figure 2: Per-layer IO fraction. Llama-2-7B (MHA) spends 58% of layer time on KV cache IO; DeepSeek-V3 (MLA) spends only 24%, achieving near-balance.</w:t>
      </w:r>
    </w:p>
    <w:p/>
    <w:p>
      <w:pPr>
        <w:pStyle w:val="Heading2"/>
      </w:pPr>
      <w:r>
        <w:t>Can IO Overlap with Compute?</w:t>
      </w:r>
    </w:p>
    <w:p>
      <w:r>
        <w:rPr>
          <w:b w:val="0"/>
          <w:i w:val="0"/>
        </w:rPr>
        <w:t>A natural question: can we hide the IO behind compute by prefetching the next layer’s KV cache while the current layer is still computing? The simulator models exactly this — three independent GPU streams (compute, memory, communication) that can overlap.</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min(compute_time, next_kv_load_time).</w:t>
      </w:r>
    </w:p>
    <w:p/>
    <w:p>
      <w:r>
        <w:rPr>
          <w:b w:val="0"/>
          <w:i w:val="0"/>
        </w:rPr>
        <w:t>The overlap is bounded by min(compute_time, next_kv_load_time). For Llama-2-7B, where IO/Compute = 4.94×, the compute window is roughly one-fifth the duration of the next KV load — at most ~20% of the IO can be hidden. The remaining ~80% is exposed latency that no scheduling trick can eliminate. The only remedy is reducing the bytes themselves.</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KV bytes loaded and FLOPs computed, so the ratio cancels. What does change the ratio is context length: longer contexts mean more KV bytes per request, while MLP compute per token stays fixed. As context grows, IO grows but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3561741"/>
            <wp:docPr id="4" name="Picture 4"/>
            <wp:cNvGraphicFramePr>
              <a:graphicFrameLocks noChangeAspect="1"/>
            </wp:cNvGraphicFramePr>
            <a:graphic>
              <a:graphicData uri="http://schemas.openxmlformats.org/drawingml/2006/picture">
                <pic:pic>
                  <pic:nvPicPr>
                    <pic:cNvPr id="0" name="fig03b_context_length_crossover.png"/>
                    <pic:cNvPicPr/>
                  </pic:nvPicPr>
                  <pic:blipFill>
                    <a:blip r:embed="rId12"/>
                    <a:stretch>
                      <a:fillRect/>
                    </a:stretch>
                  </pic:blipFill>
                  <pic:spPr>
                    <a:xfrm>
                      <a:off x="0" y="0"/>
                      <a:ext cx="5669280" cy="3561741"/>
                    </a:xfrm>
                    <a:prstGeom prst="rect"/>
                  </pic:spPr>
                </pic:pic>
              </a:graphicData>
            </a:graphic>
          </wp:inline>
        </w:drawing>
      </w:r>
    </w:p>
    <w:p>
      <w:pPr>
        <w:jc w:val="center"/>
      </w:pPr>
      <w:r>
        <w:rPr>
          <w:i/>
          <w:color w:val="6A737D"/>
          <w:sz w:val="18"/>
        </w:rPr>
        <w:t>Figure 4: KV load time per layer scales linearly with context length (log-log). The crossover where IO exceeds compute occurs at ~38K tokens for DeepSeek-V3 with MLA.</w:t>
      </w:r>
    </w:p>
    <w:p/>
    <w:p>
      <w:pPr>
        <w:pStyle w:val="Heading2"/>
      </w:pPr>
      <w:r>
        <w:t>Why Prefill Is Different</w:t>
      </w:r>
    </w:p>
    <w:p>
      <w:r>
        <w:rPr>
          <w:b w:val="0"/>
          <w:i w:val="0"/>
        </w:rPr>
        <w:t>An important contrast: while decode is IO-bound, prefill is always compute-bound. During prefill the model processes the entire input prompt in a single forward pass, performing large GEMMs (QKV projection, attention, MLP/MoE) over all input tokens to generate the KV cache from scratch. There is no KV cache to load — it is being computed for the first time. The arithmetic intensity is high (proportional to seq_len), placing prefill squarely in the compute-bound regime.</w:t>
      </w:r>
    </w:p>
    <w:p>
      <w:r>
        <w:rPr>
          <w:b w:val="0"/>
          <w:i w:val="0"/>
        </w:rPr>
        <w:t>Since prefill is compute-bound, techniques that reduce KV cache size — including TurboQuant’s 3-bit quantization — do not improve TTFT (time to first token). The bottleneck during prefill is the computation itself, not any IO transfer. The speedup from KV compression is confined entirely to decode, where KV cache IO dominates.</w:t>
      </w:r>
    </w:p>
    <w:p>
      <w:pPr>
        <w:jc w:val="center"/>
      </w:pPr>
      <w:r>
        <w:drawing>
          <wp:inline xmlns:a="http://schemas.openxmlformats.org/drawingml/2006/main" xmlns:pic="http://schemas.openxmlformats.org/drawingml/2006/picture">
            <wp:extent cx="5669280" cy="2771230"/>
            <wp:docPr id="5" name="Picture 5"/>
            <wp:cNvGraphicFramePr>
              <a:graphicFrameLocks noChangeAspect="1"/>
            </wp:cNvGraphicFramePr>
            <a:graphic>
              <a:graphicData uri="http://schemas.openxmlformats.org/drawingml/2006/picture">
                <pic:pic>
                  <pic:nvPicPr>
                    <pic:cNvPr id="0" name="fig12_prefill_vs_decode.png"/>
                    <pic:cNvPicPr/>
                  </pic:nvPicPr>
                  <pic:blipFill>
                    <a:blip r:embed="rId13"/>
                    <a:stretch>
                      <a:fillRect/>
                    </a:stretch>
                  </pic:blipFill>
                  <pic:spPr>
                    <a:xfrm>
                      <a:off x="0" y="0"/>
                      <a:ext cx="5669280" cy="2771230"/>
                    </a:xfrm>
                    <a:prstGeom prst="rect"/>
                  </pic:spPr>
                </pic:pic>
              </a:graphicData>
            </a:graphic>
          </wp:inline>
        </w:drawing>
      </w:r>
    </w:p>
    <w:p>
      <w:pPr>
        <w:jc w:val="center"/>
      </w:pPr>
      <w:r>
        <w:rPr>
          <w:i/>
          <w:color w:val="6A737D"/>
          <w:sz w:val="18"/>
        </w:rPr>
        <w:t>Figure 5: Prefill (left) performs only compute — GEMMs over input tokens to generate KV. Decode (right) is dominated by KV cache IO, loading previously computed KV for every past token.</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6" name="Picture 6"/>
            <wp:cNvGraphicFramePr>
              <a:graphicFrameLocks noChangeAspect="1"/>
            </wp:cNvGraphicFramePr>
            <a:graphic>
              <a:graphicData uri="http://schemas.openxmlformats.org/drawingml/2006/picture">
                <pic:pic>
                  <pic:nvPicPr>
                    <pic:cNvPr id="0" name="fig02_kv_cache_size_landscape.png"/>
                    <pic:cNvPicPr/>
                  </pic:nvPicPr>
                  <pic:blipFill>
                    <a:blip r:embed="rId14"/>
                    <a:stretch>
                      <a:fillRect/>
                    </a:stretch>
                  </pic:blipFill>
                  <pic:spPr>
                    <a:xfrm>
                      <a:off x="0" y="0"/>
                      <a:ext cx="5669280" cy="2095414"/>
                    </a:xfrm>
                    <a:prstGeom prst="rect"/>
                  </pic:spPr>
                </pic:pic>
              </a:graphicData>
            </a:graphic>
          </wp:inline>
        </w:drawing>
      </w:r>
    </w:p>
    <w:p>
      <w:pPr>
        <w:jc w:val="center"/>
      </w:pPr>
      <w:r>
        <w:rPr>
          <w:i/>
          <w:color w:val="6A737D"/>
          <w:sz w:val="18"/>
        </w:rPr>
        <w:t>Figure 6: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7" name="Picture 7"/>
            <wp:cNvGraphicFramePr>
              <a:graphicFrameLocks noChangeAspect="1"/>
            </wp:cNvGraphicFramePr>
            <a:graphic>
              <a:graphicData uri="http://schemas.openxmlformats.org/drawingml/2006/picture">
                <pic:pic>
                  <pic:nvPicPr>
                    <pic:cNvPr id="0" name="fig08_pdd_transfer_dominance.png"/>
                    <pic:cNvPicPr/>
                  </pic:nvPicPr>
                  <pic:blipFill>
                    <a:blip r:embed="rId15"/>
                    <a:stretch>
                      <a:fillRect/>
                    </a:stretch>
                  </pic:blipFill>
                  <pic:spPr>
                    <a:xfrm>
                      <a:off x="0" y="0"/>
                      <a:ext cx="5669280" cy="2616229"/>
                    </a:xfrm>
                    <a:prstGeom prst="rect"/>
                  </pic:spPr>
                </pic:pic>
              </a:graphicData>
            </a:graphic>
          </wp:inline>
        </w:drawing>
      </w:r>
    </w:p>
    <w:p>
      <w:pPr>
        <w:jc w:val="center"/>
      </w:pPr>
      <w:r>
        <w:rPr>
          <w:i/>
          <w:color w:val="6A737D"/>
          <w:sz w:val="18"/>
        </w:rPr>
        <w:t>Figure 7: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8" name="Picture 8"/>
            <wp:cNvGraphicFramePr>
              <a:graphicFrameLocks noChangeAspect="1"/>
            </wp:cNvGraphicFramePr>
            <a:graphic>
              <a:graphicData uri="http://schemas.openxmlformats.org/drawingml/2006/picture">
                <pic:pic>
                  <pic:nvPicPr>
                    <pic:cNvPr id="0" name="fig13_sparse_attention.png"/>
                    <pic:cNvPicPr/>
                  </pic:nvPicPr>
                  <pic:blipFill>
                    <a:blip r:embed="rId16"/>
                    <a:stretch>
                      <a:fillRect/>
                    </a:stretch>
                  </pic:blipFill>
                  <pic:spPr>
                    <a:xfrm>
                      <a:off x="0" y="0"/>
                      <a:ext cx="5669280" cy="2401203"/>
                    </a:xfrm>
                    <a:prstGeom prst="rect"/>
                  </pic:spPr>
                </pic:pic>
              </a:graphicData>
            </a:graphic>
          </wp:inline>
        </w:drawing>
      </w:r>
    </w:p>
    <w:p>
      <w:pPr>
        <w:jc w:val="center"/>
      </w:pPr>
      <w:r>
        <w:rPr>
          <w:i/>
          <w:color w:val="6A737D"/>
          <w:sz w:val="18"/>
        </w:rPr>
        <w:t>Figure 8: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pPr>
        <w:pStyle w:val="Heading2"/>
      </w:pPr>
      <w:r>
        <w:t>Scaling with Context Length: The Indexer K Bottleneck</w:t>
      </w:r>
    </w:p>
    <w:p>
      <w:r>
        <w:rPr>
          <w:b w:val="0"/>
          <w:i w:val="0"/>
        </w:rPr>
        <w:t>While the IO/Compute ratio comparison captures the regime shift at a fixed context length, the more pressing question for long-context deployments is: how does DSA scale as context grows from 128K to 10M tokens? We swept DeepSeek-V3 across 8 sequence lengths to answer this.</w:t>
      </w:r>
    </w:p>
    <w:p>
      <w:pPr>
        <w:jc w:val="center"/>
      </w:pPr>
      <w:r>
        <w:drawing>
          <wp:inline xmlns:a="http://schemas.openxmlformats.org/drawingml/2006/main" xmlns:pic="http://schemas.openxmlformats.org/drawingml/2006/picture">
            <wp:extent cx="5669280" cy="2226948"/>
            <wp:docPr id="9" name="Picture 9"/>
            <wp:cNvGraphicFramePr>
              <a:graphicFrameLocks noChangeAspect="1"/>
            </wp:cNvGraphicFramePr>
            <a:graphic>
              <a:graphicData uri="http://schemas.openxmlformats.org/drawingml/2006/picture">
                <pic:pic>
                  <pic:nvPicPr>
                    <pic:cNvPr id="0" name="fig17_dsa_seqlen_sweep.png"/>
                    <pic:cNvPicPr/>
                  </pic:nvPicPr>
                  <pic:blipFill>
                    <a:blip r:embed="rId17"/>
                    <a:stretch>
                      <a:fillRect/>
                    </a:stretch>
                  </pic:blipFill>
                  <pic:spPr>
                    <a:xfrm>
                      <a:off x="0" y="0"/>
                      <a:ext cx="5669280" cy="2226948"/>
                    </a:xfrm>
                    <a:prstGeom prst="rect"/>
                  </pic:spPr>
                </pic:pic>
              </a:graphicData>
            </a:graphic>
          </wp:inline>
        </w:drawing>
      </w:r>
    </w:p>
    <w:p>
      <w:pPr>
        <w:jc w:val="center"/>
      </w:pPr>
      <w:r>
        <w:rPr>
          <w:i/>
          <w:color w:val="6A737D"/>
          <w:sz w:val="18"/>
        </w:rPr>
        <w:t>Figure 9: Left — KV load time per decode step: MLA (purple) vs DSA (teal). Both grow linearly with context length, but DSA loads ~2.2× less data at every point. At 10M tokens, MLA requires 27.2s of IO per decode step; DSA requires 12.1s. Right — DSA’s KV cache broken into two components: the attended MLA KV (2,560 tokens, fixed — blue) and the indexer K (FP8, grows with seq_len — teal). The indexer dominates above ~32K tokens. At 10M context, 99.9% of DSA’s IO is spent reading the indexer, not the attended KV.</w:t>
      </w:r>
    </w:p>
    <w:p/>
    <w:p>
      <w:r>
        <w:rPr>
          <w:b w:val="0"/>
          <w:i w:val="0"/>
        </w:rPr>
        <w:t>The 2.2× reduction is a structural constant: DSA reads the indexer K at 512 bytes/token/layer (FP8) versus MLA’s full 1,152 bytes/token/layer (FP16), giving a theoretical ratio of 1,152 / 512 = 2.25×. The measured 2.2× is within 2% of this prediction.</w:t>
      </w:r>
    </w:p>
    <w:p>
      <w:r>
        <w:rPr>
          <w:b w:val="0"/>
          <w:i w:val="0"/>
        </w:rPr>
        <w:t>A critical observation: DSA does not eliminate the linear scaling of IO with context. The indexer K must be read for every token in the context on every decode step — that is the cost of knowing which tokens to attend to. What DSA eliminates is the quadratic-in-heads scaling of MHA/GQA: instead of reading KV for all heads times all tokens, it reads a single FP8 index plus a fixed 2,560-token attended set. The attended MLA KV component (blue in Figure 8, right) is constant at 2.81 MB/layer regardless of context, while the indexer (teal) scales linearly.</w:t>
      </w:r>
    </w:p>
    <w:p>
      <w:r>
        <w:rPr>
          <w:b w:val="0"/>
          <w:i w:val="0"/>
        </w:rPr>
        <w:t>At 10M tokens on A100 PCIe Gen4, even DSA’s reduced IO (12.1s/step) dwarfs compute (0.27s/step) by 45×. This confirms that for very long contexts, even sparse attention remains firmly IO-bound — the bottleneck is the indexer scan, not the attended computation. Future work on selective indexer quantization or hierarchical indexing could reduce this further.</w:t>
      </w:r>
    </w:p>
    <w:p>
      <w:pPr>
        <w:pStyle w:val="Heading2"/>
      </w:pPr>
      <w:r>
        <w:t>What Happens When the KV Cache Doesn’t Fit in HBM?</w:t>
      </w:r>
    </w:p>
    <w:p>
      <w:r>
        <w:rPr>
          <w:b w:val="0"/>
          <w:i w:val="0"/>
        </w:rPr>
        <w:t>The seq_len sweep above assumed all KV data — indexer K plus attended MLA KV — resides in GPU HBM. But on a single H100 with ~20 GB free after model weights, the combined KV cache exceeds VRAM at ~512K tokens (50 GB for a single sequence). Beyond that, the KV must be offloaded to host DRAM and fetched over PCIe each decode step.</w:t>
      </w:r>
    </w:p>
    <w:p>
      <w:r>
        <w:rPr>
          <w:b w:val="0"/>
          <w:i w:val="0"/>
        </w:rPr>
        <w:t>We modeled both modes on H100 SXM: HBM at 1,384 GB/s (effective) versus PCIe at 51.5 GB/s. The per-layer decode pipeline has three blocks: Block A (Q projections, 0.079 ms constant), Block B (indexer K read + top-k select, grows with seq_len), and Block C + MoE (attention on 2,560 selected tokens + expert FFN, 0.701 ms constant). Blocks A and B run in parallel as max(A, B), then C and MoE run sequentially.</w:t>
      </w:r>
    </w:p>
    <w:p>
      <w:pPr>
        <w:jc w:val="center"/>
      </w:pPr>
      <w:r>
        <w:drawing>
          <wp:inline xmlns:a="http://schemas.openxmlformats.org/drawingml/2006/main" xmlns:pic="http://schemas.openxmlformats.org/drawingml/2006/picture">
            <wp:extent cx="5669280" cy="2219559"/>
            <wp:docPr id="10" name="Picture 10"/>
            <wp:cNvGraphicFramePr>
              <a:graphicFrameLocks noChangeAspect="1"/>
            </wp:cNvGraphicFramePr>
            <a:graphic>
              <a:graphicData uri="http://schemas.openxmlformats.org/drawingml/2006/picture">
                <pic:pic>
                  <pic:nvPicPr>
                    <pic:cNvPr id="0" name="fig18_dsa_offload_penalty.png"/>
                    <pic:cNvPicPr/>
                  </pic:nvPicPr>
                  <pic:blipFill>
                    <a:blip r:embed="rId18"/>
                    <a:stretch>
                      <a:fillRect/>
                    </a:stretch>
                  </pic:blipFill>
                  <pic:spPr>
                    <a:xfrm>
                      <a:off x="0" y="0"/>
                      <a:ext cx="5669280" cy="2219559"/>
                    </a:xfrm>
                    <a:prstGeom prst="rect"/>
                  </pic:spPr>
                </pic:pic>
              </a:graphicData>
            </a:graphic>
          </wp:inline>
        </w:drawing>
      </w:r>
    </w:p>
    <w:p>
      <w:pPr>
        <w:jc w:val="center"/>
      </w:pPr>
      <w:r>
        <w:rPr>
          <w:i/>
          <w:color w:val="6A737D"/>
          <w:sz w:val="18"/>
        </w:rPr>
        <w:t>Figure 10: Left — TPOT vs. context length for HBM (blue) and offload (red). At 4K the gap is negligible (1.03×); at 1M it reaches 5.4× (130 ms → 703 ms). Right — Per-layer stacked breakdown: the green constant floor (attention + MoE, 0.70 ms) is identical in both modes. Only the indexer K read (blue = HBM, red = PCIe) changes. At 1M context, the indexer read is 0.36 ms on HBM vs. 9.7 ms on PCIe — the entire 5.4× TPOT gap comes from this single IO operation.</w:t>
      </w:r>
    </w:p>
    <w:p/>
    <w:p>
      <w:r>
        <w:rPr>
          <w:b w:val="0"/>
          <w:i w:val="0"/>
        </w:rPr>
        <w:t>The result is cleanly structural: DSA’s only seq_len-dependent term is the indexer K read (512 bytes/token, FP8). Everything else — the attended MLA KV gather (2,560 tokens, constant), attention core, MoE — is fixed. So the HBM-vs-offload gap is set entirely by the ratio of HBM to PCIe bandwidth on a single data structure.</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Context</w:t>
            </w:r>
          </w:p>
        </w:tc>
        <w:tc>
          <w:tcPr>
            <w:tcW w:type="dxa" w:w="2160"/>
          </w:tcPr>
          <w:p>
            <w:r>
              <w:rPr>
                <w:b/>
                <w:sz w:val="18"/>
              </w:rPr>
              <w:t>TPOT (HBM)</w:t>
            </w:r>
          </w:p>
        </w:tc>
        <w:tc>
          <w:tcPr>
            <w:tcW w:type="dxa" w:w="2160"/>
          </w:tcPr>
          <w:p>
            <w:r>
              <w:rPr>
                <w:b/>
                <w:sz w:val="18"/>
              </w:rPr>
              <w:t>TPOT (offload)</w:t>
            </w:r>
          </w:p>
        </w:tc>
        <w:tc>
          <w:tcPr>
            <w:tcW w:type="dxa" w:w="2160"/>
          </w:tcPr>
          <w:p>
            <w:r>
              <w:rPr>
                <w:b/>
                <w:sz w:val="18"/>
              </w:rPr>
              <w:t>Slowdown</w:t>
            </w:r>
          </w:p>
        </w:tc>
      </w:tr>
      <w:tr>
        <w:tc>
          <w:tcPr>
            <w:tcW w:type="dxa" w:w="2160"/>
          </w:tcPr>
          <w:p>
            <w:r>
              <w:rPr>
                <w:sz w:val="18"/>
              </w:rPr>
              <w:t>4K</w:t>
            </w:r>
          </w:p>
        </w:tc>
        <w:tc>
          <w:tcPr>
            <w:tcW w:type="dxa" w:w="2160"/>
          </w:tcPr>
          <w:p>
            <w:r>
              <w:rPr>
                <w:sz w:val="18"/>
              </w:rPr>
              <w:t>47.5 ms</w:t>
            </w:r>
          </w:p>
        </w:tc>
        <w:tc>
          <w:tcPr>
            <w:tcW w:type="dxa" w:w="2160"/>
          </w:tcPr>
          <w:p>
            <w:r>
              <w:rPr>
                <w:sz w:val="18"/>
              </w:rPr>
              <w:t>48.9 ms</w:t>
            </w:r>
          </w:p>
        </w:tc>
        <w:tc>
          <w:tcPr>
            <w:tcW w:type="dxa" w:w="2160"/>
          </w:tcPr>
          <w:p>
            <w:r>
              <w:rPr>
                <w:sz w:val="18"/>
              </w:rPr>
              <w:t>1.03×</w:t>
            </w:r>
          </w:p>
        </w:tc>
      </w:tr>
      <w:tr>
        <w:tc>
          <w:tcPr>
            <w:tcW w:type="dxa" w:w="2160"/>
          </w:tcPr>
          <w:p>
            <w:r>
              <w:rPr>
                <w:sz w:val="18"/>
              </w:rPr>
              <w:t>32K</w:t>
            </w:r>
          </w:p>
        </w:tc>
        <w:tc>
          <w:tcPr>
            <w:tcW w:type="dxa" w:w="2160"/>
          </w:tcPr>
          <w:p>
            <w:r>
              <w:rPr>
                <w:sz w:val="18"/>
              </w:rPr>
              <w:t>47.5 ms</w:t>
            </w:r>
          </w:p>
        </w:tc>
        <w:tc>
          <w:tcPr>
            <w:tcW w:type="dxa" w:w="2160"/>
          </w:tcPr>
          <w:p>
            <w:r>
              <w:rPr>
                <w:sz w:val="18"/>
              </w:rPr>
              <w:t>66.8 ms</w:t>
            </w:r>
          </w:p>
        </w:tc>
        <w:tc>
          <w:tcPr>
            <w:tcW w:type="dxa" w:w="2160"/>
          </w:tcPr>
          <w:p>
            <w:r>
              <w:rPr>
                <w:sz w:val="18"/>
              </w:rPr>
              <w:t>1.41×</w:t>
            </w:r>
          </w:p>
        </w:tc>
      </w:tr>
      <w:tr>
        <w:tc>
          <w:tcPr>
            <w:tcW w:type="dxa" w:w="2160"/>
          </w:tcPr>
          <w:p>
            <w:r>
              <w:rPr>
                <w:sz w:val="18"/>
              </w:rPr>
              <w:t>128K</w:t>
            </w:r>
          </w:p>
        </w:tc>
        <w:tc>
          <w:tcPr>
            <w:tcW w:type="dxa" w:w="2160"/>
          </w:tcPr>
          <w:p>
            <w:r>
              <w:rPr>
                <w:sz w:val="18"/>
              </w:rPr>
              <w:t>54.7 ms</w:t>
            </w:r>
          </w:p>
        </w:tc>
        <w:tc>
          <w:tcPr>
            <w:tcW w:type="dxa" w:w="2160"/>
          </w:tcPr>
          <w:p>
            <w:r>
              <w:rPr>
                <w:sz w:val="18"/>
              </w:rPr>
              <w:t>128.3 ms</w:t>
            </w:r>
          </w:p>
        </w:tc>
        <w:tc>
          <w:tcPr>
            <w:tcW w:type="dxa" w:w="2160"/>
          </w:tcPr>
          <w:p>
            <w:r>
              <w:rPr>
                <w:sz w:val="18"/>
              </w:rPr>
              <w:t>2.35×</w:t>
            </w:r>
          </w:p>
        </w:tc>
      </w:tr>
      <w:tr>
        <w:tc>
          <w:tcPr>
            <w:tcW w:type="dxa" w:w="2160"/>
          </w:tcPr>
          <w:p>
            <w:r>
              <w:rPr>
                <w:sz w:val="18"/>
              </w:rPr>
              <w:t>512K</w:t>
            </w:r>
          </w:p>
        </w:tc>
        <w:tc>
          <w:tcPr>
            <w:tcW w:type="dxa" w:w="2160"/>
          </w:tcPr>
          <w:p>
            <w:r>
              <w:rPr>
                <w:sz w:val="18"/>
              </w:rPr>
              <w:t>87.0 ms</w:t>
            </w:r>
          </w:p>
        </w:tc>
        <w:tc>
          <w:tcPr>
            <w:tcW w:type="dxa" w:w="2160"/>
          </w:tcPr>
          <w:p>
            <w:r>
              <w:rPr>
                <w:sz w:val="18"/>
              </w:rPr>
              <w:t>374.4 ms</w:t>
            </w:r>
          </w:p>
        </w:tc>
        <w:tc>
          <w:tcPr>
            <w:tcW w:type="dxa" w:w="2160"/>
          </w:tcPr>
          <w:p>
            <w:r>
              <w:rPr>
                <w:sz w:val="18"/>
              </w:rPr>
              <w:t>4.31×</w:t>
            </w:r>
          </w:p>
        </w:tc>
      </w:tr>
      <w:tr>
        <w:tc>
          <w:tcPr>
            <w:tcW w:type="dxa" w:w="2160"/>
          </w:tcPr>
          <w:p>
            <w:r>
              <w:rPr>
                <w:sz w:val="18"/>
              </w:rPr>
              <w:t>1M</w:t>
            </w:r>
          </w:p>
        </w:tc>
        <w:tc>
          <w:tcPr>
            <w:tcW w:type="dxa" w:w="2160"/>
          </w:tcPr>
          <w:p>
            <w:r>
              <w:rPr>
                <w:sz w:val="18"/>
              </w:rPr>
              <w:t>130.0 ms</w:t>
            </w:r>
          </w:p>
        </w:tc>
        <w:tc>
          <w:tcPr>
            <w:tcW w:type="dxa" w:w="2160"/>
          </w:tcPr>
          <w:p>
            <w:r>
              <w:rPr>
                <w:sz w:val="18"/>
              </w:rPr>
              <w:t>702.5 ms</w:t>
            </w:r>
          </w:p>
        </w:tc>
        <w:tc>
          <w:tcPr>
            <w:tcW w:type="dxa" w:w="2160"/>
          </w:tcPr>
          <w:p>
            <w:r>
              <w:rPr>
                <w:sz w:val="18"/>
              </w:rPr>
              <w:t>5.41×</w:t>
            </w:r>
          </w:p>
        </w:tc>
      </w:tr>
    </w:tbl>
    <w:p/>
    <w:p>
      <w:r>
        <w:rPr>
          <w:b w:val="0"/>
          <w:i w:val="0"/>
        </w:rPr>
        <w:t>Below ~32K context, HBM mode is actually compute-bound: the indexer K read finishes within the 0.015 ms HBM floor and Block B stays below Block A’s 0.079 ms. The entire attention path is bounded by Block C + MoE. This is why HBM TPOT is flat at 47.5 ms for both 4K and 32K — the indexer is too small to matter.</w:t>
      </w:r>
    </w:p>
    <w:p>
      <w:pPr>
        <w:pStyle w:val="Heading2"/>
      </w:pPr>
      <w:r>
        <w:t>Does Batching Rescue Offloading?</w:t>
      </w:r>
    </w:p>
    <w:p>
      <w:r>
        <w:rPr>
          <w:b w:val="0"/>
          <w:i w:val="0"/>
        </w:rPr>
        <w:t>A natural hypothesis: batching multiple sequences increases compute per step (larger GEMMs), potentially hiding the PCIe IO behind longer compute windows. We swept batch sizes from 1 to 256 across three context lengths to test this.</w:t>
      </w:r>
    </w:p>
    <w:p>
      <w:pPr>
        <w:jc w:val="center"/>
      </w:pPr>
      <w:r>
        <w:drawing>
          <wp:inline xmlns:a="http://schemas.openxmlformats.org/drawingml/2006/main" xmlns:pic="http://schemas.openxmlformats.org/drawingml/2006/picture">
            <wp:extent cx="5669280" cy="2219559"/>
            <wp:docPr id="11" name="Picture 11"/>
            <wp:cNvGraphicFramePr>
              <a:graphicFrameLocks noChangeAspect="1"/>
            </wp:cNvGraphicFramePr>
            <a:graphic>
              <a:graphicData uri="http://schemas.openxmlformats.org/drawingml/2006/picture">
                <pic:pic>
                  <pic:nvPicPr>
                    <pic:cNvPr id="0" name="fig19_dsa_batch_throughput.png"/>
                    <pic:cNvPicPr/>
                  </pic:nvPicPr>
                  <pic:blipFill>
                    <a:blip r:embed="rId19"/>
                    <a:stretch>
                      <a:fillRect/>
                    </a:stretch>
                  </pic:blipFill>
                  <pic:spPr>
                    <a:xfrm>
                      <a:off x="0" y="0"/>
                      <a:ext cx="5669280" cy="2219559"/>
                    </a:xfrm>
                    <a:prstGeom prst="rect"/>
                  </pic:spPr>
                </pic:pic>
              </a:graphicData>
            </a:graphic>
          </wp:inline>
        </w:drawing>
      </w:r>
    </w:p>
    <w:p>
      <w:pPr>
        <w:jc w:val="center"/>
      </w:pPr>
      <w:r>
        <w:rPr>
          <w:i/>
          <w:color w:val="6A737D"/>
          <w:sz w:val="18"/>
        </w:rPr>
        <w:t>Figure 11: Left — Aggregate throughput vs. batch size. HBM throughput (solid) continues climbing; offload throughput (dashed) saturates early. At 128K, offload locks at 10.7 tok/s regardless of batch size. At 1M, it flatlines at 1.5 tok/s. Right — With IO/compute overlap (pipelining), offload matches HBM at 4K context (lines overlap), but at 128K+ pipelining only hides the smaller compute behind the larger IO — throughput remains flat.</w:t>
      </w:r>
    </w:p>
    <w:p/>
    <w:p>
      <w:r>
        <w:rPr>
          <w:b w:val="0"/>
          <w:i w:val="0"/>
        </w:rPr>
        <w:t>Batching does not rescue offloaded DSA at long context. The PCIe indexer K read scales as BS × seq_len × 512 B / 51.5 GB/s, and once this exceeds compute time, doubling the batch doubles both IO and compute equally — throughput plateaus. At 128K context, offload throughput saturates at 10.7 tok/s regardless of batch size, while HBM continues scaling to 53.5 tok/s (5× higher).</w:t>
      </w:r>
    </w:p>
    <w:p>
      <w:r>
        <w:rPr>
          <w:b w:val="0"/>
          <w:i w:val="0"/>
        </w:rPr>
        <w:t>With IO/compute pipelining (double-buffering the indexer K fetch behind the prior layer’s compute), offload throughput at ≤4K context matches HBM exactly — the PCIe transfer is fully hidden. But at ≥128K, pipelining only hides the smaller compute (0.84 ms/layer at BS=1) behind the much larger IO (1.4 ms/layer), so the throughput ceiling is set by PCIe bandwidth alone: 1000 / (61 × indexer_io_ms), independent of batch size.</w:t>
      </w:r>
    </w:p>
    <w:p>
      <w:r>
        <w:rPr>
          <w:b w:val="0"/>
          <w:i w:val="0"/>
        </w:rPr>
        <w:t>A practical mitigation: keep the indexer K cache on HBM (only 512 B/token, FP8) and offload only the larger MLA KV (1,152 B/token). This eliminates the dominant PCIe term, leaving only the 2,560-token attended KV gather (2.88 MB per layer, constant in seq_len) on the PCIe path — which completes in ~0.06 ms at the PCIe floor.</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12" name="Picture 12"/>
            <wp:cNvGraphicFramePr>
              <a:graphicFrameLocks noChangeAspect="1"/>
            </wp:cNvGraphicFramePr>
            <a:graphic>
              <a:graphicData uri="http://schemas.openxmlformats.org/drawingml/2006/picture">
                <pic:pic>
                  <pic:nvPicPr>
                    <pic:cNvPr id="0" name="fig04_engram_pareto.png"/>
                    <pic:cNvPicPr/>
                  </pic:nvPicPr>
                  <pic:blipFill>
                    <a:blip r:embed="rId20"/>
                    <a:stretch>
                      <a:fillRect/>
                    </a:stretch>
                  </pic:blipFill>
                  <pic:spPr>
                    <a:xfrm>
                      <a:off x="0" y="0"/>
                      <a:ext cx="5669280" cy="1917395"/>
                    </a:xfrm>
                    <a:prstGeom prst="rect"/>
                  </pic:spPr>
                </pic:pic>
              </a:graphicData>
            </a:graphic>
          </wp:inline>
        </w:drawing>
      </w:r>
    </w:p>
    <w:p>
      <w:pPr>
        <w:jc w:val="center"/>
      </w:pPr>
      <w:r>
        <w:rPr>
          <w:i/>
          <w:color w:val="6A737D"/>
          <w:sz w:val="18"/>
        </w:rPr>
        <w:t>Figure 12: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DMA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13" name="Picture 13"/>
            <wp:cNvGraphicFramePr>
              <a:graphicFrameLocks noChangeAspect="1"/>
            </wp:cNvGraphicFramePr>
            <a:graphic>
              <a:graphicData uri="http://schemas.openxmlformats.org/drawingml/2006/picture">
                <pic:pic>
                  <pic:nvPicPr>
                    <pic:cNvPr id="0" name="fig05_turboquant_impact.png"/>
                    <pic:cNvPicPr/>
                  </pic:nvPicPr>
                  <pic:blipFill>
                    <a:blip r:embed="rId21"/>
                    <a:stretch>
                      <a:fillRect/>
                    </a:stretch>
                  </pic:blipFill>
                  <pic:spPr>
                    <a:xfrm>
                      <a:off x="0" y="0"/>
                      <a:ext cx="5669280" cy="2243545"/>
                    </a:xfrm>
                    <a:prstGeom prst="rect"/>
                  </pic:spPr>
                </pic:pic>
              </a:graphicData>
            </a:graphic>
          </wp:inline>
        </w:drawing>
      </w:r>
    </w:p>
    <w:p>
      <w:pPr>
        <w:jc w:val="center"/>
      </w:pPr>
      <w:r>
        <w:rPr>
          <w:i/>
          <w:color w:val="6A737D"/>
          <w:sz w:val="18"/>
        </w:rPr>
        <w:t>Figure 13: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4" name="Picture 14"/>
            <wp:cNvGraphicFramePr>
              <a:graphicFrameLocks noChangeAspect="1"/>
            </wp:cNvGraphicFramePr>
            <a:graphic>
              <a:graphicData uri="http://schemas.openxmlformats.org/drawingml/2006/picture">
                <pic:pic>
                  <pic:nvPicPr>
                    <pic:cNvPr id="0" name="fig11_prefix_caching.png"/>
                    <pic:cNvPicPr/>
                  </pic:nvPicPr>
                  <pic:blipFill>
                    <a:blip r:embed="rId22"/>
                    <a:stretch>
                      <a:fillRect/>
                    </a:stretch>
                  </pic:blipFill>
                  <pic:spPr>
                    <a:xfrm>
                      <a:off x="0" y="0"/>
                      <a:ext cx="5669280" cy="2042875"/>
                    </a:xfrm>
                    <a:prstGeom prst="rect"/>
                  </pic:spPr>
                </pic:pic>
              </a:graphicData>
            </a:graphic>
          </wp:inline>
        </w:drawing>
      </w:r>
    </w:p>
    <w:p>
      <w:pPr>
        <w:jc w:val="center"/>
      </w:pPr>
      <w:r>
        <w:rPr>
          <w:i/>
          <w:color w:val="6A737D"/>
          <w:sz w:val="18"/>
        </w:rPr>
        <w:t>Figure 14: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5" name="Picture 15"/>
            <wp:cNvGraphicFramePr>
              <a:graphicFrameLocks noChangeAspect="1"/>
            </wp:cNvGraphicFramePr>
            <a:graphic>
              <a:graphicData uri="http://schemas.openxmlformats.org/drawingml/2006/picture">
                <pic:pic>
                  <pic:nvPicPr>
                    <pic:cNvPr id="0" name="fig14_thrashing_phases.png"/>
                    <pic:cNvPicPr/>
                  </pic:nvPicPr>
                  <pic:blipFill>
                    <a:blip r:embed="rId23"/>
                    <a:stretch>
                      <a:fillRect/>
                    </a:stretch>
                  </pic:blipFill>
                  <pic:spPr>
                    <a:xfrm>
                      <a:off x="0" y="0"/>
                      <a:ext cx="5669280" cy="2242327"/>
                    </a:xfrm>
                    <a:prstGeom prst="rect"/>
                  </pic:spPr>
                </pic:pic>
              </a:graphicData>
            </a:graphic>
          </wp:inline>
        </w:drawing>
      </w:r>
    </w:p>
    <w:p>
      <w:pPr>
        <w:jc w:val="center"/>
      </w:pPr>
      <w:r>
        <w:rPr>
          <w:i/>
          <w:color w:val="6A737D"/>
          <w:sz w:val="18"/>
        </w:rPr>
        <w:t>Figure 15: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6" name="Picture 16"/>
            <wp:cNvGraphicFramePr>
              <a:graphicFrameLocks noChangeAspect="1"/>
            </wp:cNvGraphicFramePr>
            <a:graphic>
              <a:graphicData uri="http://schemas.openxmlformats.org/drawingml/2006/picture">
                <pic:pic>
                  <pic:nvPicPr>
                    <pic:cNvPr id="0" name="fig06_thrashing_cliff.png"/>
                    <pic:cNvPicPr/>
                  </pic:nvPicPr>
                  <pic:blipFill>
                    <a:blip r:embed="rId24"/>
                    <a:stretch>
                      <a:fillRect/>
                    </a:stretch>
                  </pic:blipFill>
                  <pic:spPr>
                    <a:xfrm>
                      <a:off x="0" y="0"/>
                      <a:ext cx="5669280" cy="2219559"/>
                    </a:xfrm>
                    <a:prstGeom prst="rect"/>
                  </pic:spPr>
                </pic:pic>
              </a:graphicData>
            </a:graphic>
          </wp:inline>
        </w:drawing>
      </w:r>
    </w:p>
    <w:p>
      <w:pPr>
        <w:jc w:val="center"/>
      </w:pPr>
      <w:r>
        <w:rPr>
          <w:i/>
          <w:color w:val="6A737D"/>
          <w:sz w:val="18"/>
        </w:rPr>
        <w:t>Figure 16: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7" name="Picture 17"/>
            <wp:cNvGraphicFramePr>
              <a:graphicFrameLocks noChangeAspect="1"/>
            </wp:cNvGraphicFramePr>
            <a:graphic>
              <a:graphicData uri="http://schemas.openxmlformats.org/drawingml/2006/picture">
                <pic:pic>
                  <pic:nvPicPr>
                    <pic:cNvPr id="0" name="fig15_pcie_kv_reload.png"/>
                    <pic:cNvPicPr/>
                  </pic:nvPicPr>
                  <pic:blipFill>
                    <a:blip r:embed="rId25"/>
                    <a:stretch>
                      <a:fillRect/>
                    </a:stretch>
                  </pic:blipFill>
                  <pic:spPr>
                    <a:xfrm>
                      <a:off x="0" y="0"/>
                      <a:ext cx="5669280" cy="2244342"/>
                    </a:xfrm>
                    <a:prstGeom prst="rect"/>
                  </pic:spPr>
                </pic:pic>
              </a:graphicData>
            </a:graphic>
          </wp:inline>
        </w:drawing>
      </w:r>
    </w:p>
    <w:p>
      <w:pPr>
        <w:jc w:val="center"/>
      </w:pPr>
      <w:r>
        <w:rPr>
          <w:i/>
          <w:color w:val="6A737D"/>
          <w:sz w:val="18"/>
        </w:rPr>
        <w:t>Figure 17: Left — Savings scale with tier-2 IO bandwidth. NVMe is too slow for 7B (reload costs more than recompute); PCIe Gen4 recovers 60% of wasted compute; CXL reaches 76%. Right — 70B with GQA achieves 80% savings because prefill is expensive and GQA keeps the KV footprint small enough that PCIe reload is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fewer KV heads per layer than 7B MHA, but 2.5× more layers, so the per-token KV footprint only shrinks 1.6× (320 KB vs 512 KB). Meanwhile prefill is 10× more expensive per token, so the reload-vs-recompute ratio jumps to 61×, recovering 80% of thrashing waste. This is the IO perspective in full: the same GQA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3171921"/>
            <wp:docPr id="18" name="Picture 18"/>
            <wp:cNvGraphicFramePr>
              <a:graphicFrameLocks noChangeAspect="1"/>
            </wp:cNvGraphicFramePr>
            <a:graphic>
              <a:graphicData uri="http://schemas.openxmlformats.org/drawingml/2006/picture">
                <pic:pic>
                  <pic:nvPicPr>
                    <pic:cNvPr id="0" name="fig16_ttft_over_time.png"/>
                    <pic:cNvPicPr/>
                  </pic:nvPicPr>
                  <pic:blipFill>
                    <a:blip r:embed="rId26"/>
                    <a:stretch>
                      <a:fillRect/>
                    </a:stretch>
                  </pic:blipFill>
                  <pic:spPr>
                    <a:xfrm>
                      <a:off x="0" y="0"/>
                      <a:ext cx="5669280" cy="3171921"/>
                    </a:xfrm>
                    <a:prstGeom prst="rect"/>
                  </pic:spPr>
                </pic:pic>
              </a:graphicData>
            </a:graphic>
          </wp:inline>
        </w:drawing>
      </w:r>
    </w:p>
    <w:p>
      <w:pPr>
        <w:jc w:val="center"/>
      </w:pPr>
      <w:r>
        <w:rPr>
          <w:i/>
          <w:color w:val="6A737D"/>
          <w:sz w:val="18"/>
        </w:rPr>
        <w:t>Figure 18: Per-request TTFT over time (8 concurrent sessions, 400-block HBM, PCIe reload overlapped with residual recompute). Left — A100 + Llama-2-7B (MHA): tiered cache drops TTFT from ~120 ms to ~25 ms; ~29% residual above the oracle floor remains because the reload/recompute ratio is only 3.8×. Right — A100 + Llama-2-70B (GQA): tiered TTFT lands exactly on the oracle floor (0% residual) because the 61× reload/recompute ratio means PCIe IO is always hidden behind compute. Bottom — HBM hit rate is identical across both panels; the model architecture alone determines how much of that collapse can be recovered.</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9" name="Picture 19"/>
            <wp:cNvGraphicFramePr>
              <a:graphicFrameLocks noChangeAspect="1"/>
            </wp:cNvGraphicFramePr>
            <a:graphic>
              <a:graphicData uri="http://schemas.openxmlformats.org/drawingml/2006/picture">
                <pic:pic>
                  <pic:nvPicPr>
                    <pic:cNvPr id="0" name="fig07_utilization_lies_hetero.png"/>
                    <pic:cNvPicPr/>
                  </pic:nvPicPr>
                  <pic:blipFill>
                    <a:blip r:embed="rId27"/>
                    <a:stretch>
                      <a:fillRect/>
                    </a:stretch>
                  </pic:blipFill>
                  <pic:spPr>
                    <a:xfrm>
                      <a:off x="0" y="0"/>
                      <a:ext cx="5669280" cy="2252441"/>
                    </a:xfrm>
                    <a:prstGeom prst="rect"/>
                  </pic:spPr>
                </pic:pic>
              </a:graphicData>
            </a:graphic>
          </wp:inline>
        </w:drawing>
      </w:r>
    </w:p>
    <w:p>
      <w:pPr>
        <w:jc w:val="center"/>
      </w:pPr>
      <w:r>
        <w:rPr>
          <w:i/>
          <w:color w:val="6A737D"/>
          <w:sz w:val="18"/>
        </w:rPr>
        <w:t>Figure 19: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20" name="Picture 20"/>
            <wp:cNvGraphicFramePr>
              <a:graphicFrameLocks noChangeAspect="1"/>
            </wp:cNvGraphicFramePr>
            <a:graphic>
              <a:graphicData uri="http://schemas.openxmlformats.org/drawingml/2006/picture">
                <pic:pic>
                  <pic:nvPicPr>
                    <pic:cNvPr id="0" name="fig10_full_compression_stack.png"/>
                    <pic:cNvPicPr/>
                  </pic:nvPicPr>
                  <pic:blipFill>
                    <a:blip r:embed="rId28"/>
                    <a:stretch>
                      <a:fillRect/>
                    </a:stretch>
                  </pic:blipFill>
                  <pic:spPr>
                    <a:xfrm>
                      <a:off x="0" y="0"/>
                      <a:ext cx="5669280" cy="2445809"/>
                    </a:xfrm>
                    <a:prstGeom prst="rect"/>
                  </pic:spPr>
                </pic:pic>
              </a:graphicData>
            </a:graphic>
          </wp:inline>
        </w:drawing>
      </w:r>
    </w:p>
    <w:p>
      <w:pPr>
        <w:jc w:val="center"/>
      </w:pPr>
      <w:r>
        <w:rPr>
          <w:i/>
          <w:color w:val="6A737D"/>
          <w:sz w:val="18"/>
        </w:rPr>
        <w:t>Figure 20: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r>
        <w:rPr>
          <w:b w:val="0"/>
          <w:i w:val="0"/>
        </w:rPr>
        <w:t>8. Batching cannot rescue PCIe-offloaded sparse attention at long context. DSA’s indexer K read scales as O(BS × seq_len), so doubling batch size doubles both IO and compute equally — throughput plateaus. At ≥128K context, offload throughput locks at a PCIe-determined ceiling (10.7 tok/s at 128K, 1.5 tok/s at 1M) regardless of batch size or IO/compute pipelining. The mitigation: keep the indexer K (512 B/token, FP8) on HBM and offload only the MLA KV.</w:t>
      </w:r>
    </w:p>
    <w:p/>
    <w:p>
      <w:r>
        <w:rPr>
          <w:b w:val="0"/>
          <w:i/>
        </w:rPr>
        <w:t>The simulator runs without GPUs and can be extended with new techniques by specifying their IO and compute characteristics — no hardware required.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