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2025 (TurboQuant) and January 2025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(SM, DMA, NCCL) with overlap computation</w:t>
      </w:r>
    </w:p>
    <w:p>
      <w:r>
        <w:rPr>
          <w:b w:val="0"/>
          <w:i w:val="0"/>
        </w:rPr>
        <w:t>•  GPU-initiated KV cache prefetching with analytical overlap budgets</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units: SM (compute), DMA (memory transfers), and NCCL (communication). KV cache prefetching overlaps the next layer’s DMA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419228"/>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419228"/>
                    </a:xfrm>
                    <a:prstGeom prst="rect"/>
                  </pic:spPr>
                </pic:pic>
              </a:graphicData>
            </a:graphic>
          </wp:inline>
        </w:drawing>
      </w:r>
    </w:p>
    <w:p>
      <w:pPr>
        <w:jc w:val="center"/>
      </w:pPr>
      <w:r>
        <w:rPr>
          <w:i/>
          <w:color w:val="6A737D"/>
          <w:sz w:val="18"/>
        </w:rPr>
        <w:t>Figure 3: Sequential IO (top) vs. GPU-initiated prefetch (bottom). DMA overlaps with SM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DMA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DMA never stalls (9–64× budget).</w:t>
      </w:r>
    </w:p>
    <w:p/>
    <w:p>
      <w:r>
        <w:rPr>
          <w:b w:val="0"/>
          <w:i w:val="0"/>
        </w:rPr>
        <w:t>The mechanism is straightforward: fewer routed experts = 24% less HBM IO per layer. The Engram lookup adds negligible overhead (&lt;0.1 ms per Engram layer) because the DMA is fully hidden behind preceding layers’ compute. At batch=32, the prefetch budget exceeds the DMA transfer by 9× at layer 2 and 64× at layer 15 — the ratio is a structural constant, independent of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DMA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2025)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3" name="Picture 13"/>
            <wp:cNvGraphicFramePr>
              <a:graphicFrameLocks noChangeAspect="1"/>
            </wp:cNvGraphicFramePr>
            <a:graphic>
              <a:graphicData uri="http://schemas.openxmlformats.org/drawingml/2006/picture">
                <pic:pic>
                  <pic:nvPicPr>
                    <pic:cNvPr id="0" name="fig07_utilization_lies_hetero.png"/>
                    <pic:cNvPicPr/>
                  </pic:nvPicPr>
                  <pic:blipFill>
                    <a:blip r:embed="rId21"/>
                    <a:stretch>
                      <a:fillRect/>
                    </a:stretch>
                  </pic:blipFill>
                  <pic:spPr>
                    <a:xfrm>
                      <a:off x="0" y="0"/>
                      <a:ext cx="5669280" cy="2252441"/>
                    </a:xfrm>
                    <a:prstGeom prst="rect"/>
                  </pic:spPr>
                </pic:pic>
              </a:graphicData>
            </a:graphic>
          </wp:inline>
        </w:drawing>
      </w:r>
    </w:p>
    <w:p>
      <w:pPr>
        <w:jc w:val="center"/>
      </w:pPr>
      <w:r>
        <w:rPr>
          <w:i/>
          <w:color w:val="6A737D"/>
          <w:sz w:val="18"/>
        </w:rPr>
        <w:t>Figure 13: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4" name="Picture 14"/>
            <wp:cNvGraphicFramePr>
              <a:graphicFrameLocks noChangeAspect="1"/>
            </wp:cNvGraphicFramePr>
            <a:graphic>
              <a:graphicData uri="http://schemas.openxmlformats.org/drawingml/2006/picture">
                <pic:pic>
                  <pic:nvPicPr>
                    <pic:cNvPr id="0" name="fig10_full_compression_stack.png"/>
                    <pic:cNvPicPr/>
                  </pic:nvPicPr>
                  <pic:blipFill>
                    <a:blip r:embed="rId22"/>
                    <a:stretch>
                      <a:fillRect/>
                    </a:stretch>
                  </pic:blipFill>
                  <pic:spPr>
                    <a:xfrm>
                      <a:off x="0" y="0"/>
                      <a:ext cx="5669280" cy="2445809"/>
                    </a:xfrm>
                    <a:prstGeom prst="rect"/>
                  </pic:spPr>
                </pic:pic>
              </a:graphicData>
            </a:graphic>
          </wp:inline>
        </w:drawing>
      </w:r>
    </w:p>
    <w:p>
      <w:pPr>
        <w:jc w:val="center"/>
      </w:pPr>
      <w:r>
        <w:rPr>
          <w:i/>
          <w:color w:val="6A737D"/>
          <w:sz w:val="18"/>
        </w:rPr>
        <w:t>Figure 14: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DMA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