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2026 (TurboQuant) and January 2026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(compute, IO, communication) with overlap computation</w:t>
      </w:r>
    </w:p>
    <w:p>
      <w:r>
        <w:rPr>
          <w:b w:val="0"/>
          <w:i w:val="0"/>
        </w:rPr>
        <w:t>•  GPU-initiated KV cache prefetching (overlapping the next layer’s KV load with the current layer’s compute)</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Pr>
        <w:pStyle w:val="Heading2"/>
      </w:pPr>
      <w:r>
        <w:t>Roadmap</w:t>
      </w:r>
    </w:p>
    <w:p>
      <w:r>
        <w:rPr>
          <w:b w:val="0"/>
          <w:i w:val="0"/>
        </w:rPr>
        <w:t>The rest of the post walks the KV cache problem end-to-end, each section answering one question the simulator lets us ask cheaply:</w:t>
      </w:r>
    </w:p>
    <w:p>
      <w:r>
        <w:rPr>
          <w:b w:val="0"/>
          <w:i w:val="0"/>
        </w:rPr>
        <w:t>•  § 2. Establishing the IO Wall — decompose decode latency per layer and show KV load, not compute, is what stalls the GPU.</w:t>
      </w:r>
    </w:p>
    <w:p>
      <w:r>
        <w:rPr>
          <w:b w:val="0"/>
          <w:i w:val="0"/>
        </w:rPr>
        <w:t>•  § 3. The Compression Ladder: MHA → GQA → MLA — trace how each generation of attention shrinks the per-token KV footprint, and what that does to prefill-decode disaggregation.</w:t>
      </w:r>
    </w:p>
    <w:p>
      <w:r>
        <w:rPr>
          <w:b w:val="0"/>
          <w:i w:val="0"/>
        </w:rPr>
        <w:t>•  § 4. DeepSeek Sparse Attention — push compression past the representation layer into the access pattern itself: not every token needs to be read every step.</w:t>
      </w:r>
    </w:p>
    <w:p>
      <w:r>
        <w:rPr>
          <w:b w:val="0"/>
          <w:i w:val="0"/>
        </w:rPr>
        <w:t>•  § 5. Engram: Conditional Memory — make the KV cache content-addressable so decode IO becomes O(1) in context length instead of O(n).</w:t>
      </w:r>
    </w:p>
    <w:p>
      <w:r>
        <w:rPr>
          <w:b w:val="0"/>
          <w:i w:val="0"/>
        </w:rPr>
        <w:t>•  § 6. TurboQuant — simulate 3-bit KV quantization across every architecture in one sweep, and cross-validate against Google’s published numbers.</w:t>
      </w:r>
    </w:p>
    <w:p>
      <w:r>
        <w:rPr>
          <w:b w:val="0"/>
          <w:i w:val="0"/>
        </w:rPr>
        <w:t>•  § 7. Prefix Caching — what happens when workloads share structure and the cache can actually hit.</w:t>
      </w:r>
    </w:p>
    <w:p>
      <w:r>
        <w:rPr>
          <w:b w:val="0"/>
          <w:i w:val="0"/>
        </w:rPr>
        <w:t>•  § 8. The Thrashing Cliff — what happens when they don’t: a binary collapse in agentic workloads, plus a tiered-cache experiment that converts cache misses from compute back into IO (and hides the IO behind compute).</w:t>
      </w:r>
    </w:p>
    <w:p>
      <w:r>
        <w:rPr>
          <w:b w:val="0"/>
          <w:i w:val="0"/>
        </w:rPr>
        <w:t>•  § 9. The Full Compression Stack — compose every technique above and measure how far the IO wall actually moves.</w:t>
      </w:r>
    </w:p>
    <w:p>
      <w:r>
        <w:rPr>
          <w:b w:val="0"/>
          <w:i w:val="0"/>
        </w:rPr>
        <w:t>•  § 10. What the Simulator Shows — the findings that fell out of running these experiments at zero GPU cost.</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r>
        <w:rPr>
          <w:b w:val="0"/>
          <w:i w:val="0"/>
        </w:rPr>
        <w:t>This result is expected from first principles: during decode, each token generation loads the KV cache for all past tokens but computes only for the single new token. The arithmetic intensity is O(1) — a constant number of FLOPs per byte loaded — making decode inherently memory-bandwidth-bound regardless of model size or GPU generation.</w:t>
      </w:r>
    </w:p>
    <w:p>
      <w:pPr>
        <w:pStyle w:val="Heading2"/>
      </w:pPr>
      <w:r>
        <w:t>Prefill Is Always Compute-Bound</w:t>
      </w:r>
    </w:p>
    <w:p>
      <w:r>
        <w:rPr>
          <w:b w:val="0"/>
          <w:i w:val="0"/>
        </w:rPr>
        <w:t>An important contrast: while decode is IO-bound, prefill is always compute-bound — regardless of context length, model size, or prefix sharing fraction. During prefill, the model processes the entire input prompt in a single forward pass, performing large GEMMs (QKV projection, attention output, MLP/MoE) over all input tokens to generate the KV cache from scratch. There is no KV cache to load — it is being computed for the first time.</w:t>
      </w:r>
    </w:p>
    <w:p>
      <w:r>
        <w:rPr>
          <w:b w:val="0"/>
          <w:i w:val="0"/>
        </w:rPr>
        <w:t>The simulator’s Gantt charts confirm this: prefill layers show only compute bars (attention and MLP) with zero IO bars. This also explains why TurboQuant’s KV compression has no effect on TTFT (time to first token): prefill does not load KV from cache, so compressing it saves nothing during that phase. The speedup is confined entirely to decode, where KV cache IO dominates.</w:t>
      </w:r>
    </w:p>
    <w:p>
      <w:pPr>
        <w:jc w:val="center"/>
      </w:pPr>
      <w:r>
        <w:drawing>
          <wp:inline xmlns:a="http://schemas.openxmlformats.org/drawingml/2006/main" xmlns:pic="http://schemas.openxmlformats.org/drawingml/2006/picture">
            <wp:extent cx="5669280" cy="2771230"/>
            <wp:docPr id="2" name="Picture 2"/>
            <wp:cNvGraphicFramePr>
              <a:graphicFrameLocks noChangeAspect="1"/>
            </wp:cNvGraphicFramePr>
            <a:graphic>
              <a:graphicData uri="http://schemas.openxmlformats.org/drawingml/2006/picture">
                <pic:pic>
                  <pic:nvPicPr>
                    <pic:cNvPr id="0" name="fig12_prefill_vs_decode.png"/>
                    <pic:cNvPicPr/>
                  </pic:nvPicPr>
                  <pic:blipFill>
                    <a:blip r:embed="rId10"/>
                    <a:stretch>
                      <a:fillRect/>
                    </a:stretch>
                  </pic:blipFill>
                  <pic:spPr>
                    <a:xfrm>
                      <a:off x="0" y="0"/>
                      <a:ext cx="5669280" cy="2771230"/>
                    </a:xfrm>
                    <a:prstGeom prst="rect"/>
                  </pic:spPr>
                </pic:pic>
              </a:graphicData>
            </a:graphic>
          </wp:inline>
        </w:drawing>
      </w:r>
    </w:p>
    <w:p>
      <w:pPr>
        <w:jc w:val="center"/>
      </w:pPr>
      <w:r>
        <w:rPr>
          <w:i/>
          <w:color w:val="6A737D"/>
          <w:sz w:val="18"/>
        </w:rPr>
        <w:t>Figure 2: Prefill (left) performs only compute — GEMMs over input tokens to generate KV. Decode (right) is dominated by KV cache IO, loading previously computed KV for every past token.</w:t>
      </w:r>
    </w:p>
    <w:p/>
    <w:p>
      <w:pPr>
        <w:pStyle w:val="Heading2"/>
      </w:pPr>
      <w:r>
        <w:t>The Three-Stream Hardware Model</w:t>
      </w:r>
    </w:p>
    <w:p>
      <w:r>
        <w:rPr>
          <w:b w:val="0"/>
          <w:i w:val="0"/>
        </w:rPr>
        <w:t>The simulator models three independent GPU execution streams: compute, IO (memory transfers), and communication. KV cache prefetching overlaps the next layer’s IO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398891"/>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398891"/>
                    </a:xfrm>
                    <a:prstGeom prst="rect"/>
                  </pic:spPr>
                </pic:pic>
              </a:graphicData>
            </a:graphic>
          </wp:inline>
        </w:drawing>
      </w:r>
    </w:p>
    <w:p>
      <w:pPr>
        <w:jc w:val="center"/>
      </w:pPr>
      <w:r>
        <w:rPr>
          <w:i/>
          <w:color w:val="6A737D"/>
          <w:sz w:val="18"/>
        </w:rPr>
        <w:t>Figure 3: Sequential IO (top) vs. GPU-initiated prefetch (bottom). IO overlaps with compute, but savings are capped by compute time.</w:t>
      </w:r>
    </w:p>
    <w:p/>
    <w:p>
      <w:r>
        <w:rPr>
          <w:b w:val="0"/>
          <w:i w:val="0"/>
        </w:rPr>
        <w:t>A critical implication: in dense architectures, decode IO can never be fully covered by compute. Prefetch savings are bounded by min(compute_time, next_kv_load_time). For MHA, where the IO/Compute ratio is 4.94×, the compute window is roughly one-fifth the duration of the next KV load — at most ~20% of the IO can be hidden behind compute. The remaining ~80% is exposed latency that no scheduling trick can eliminate. The only remedy is reducing the bytes themselves (via architectural compression or quantization).</w:t>
      </w:r>
    </w:p>
    <w:p>
      <w:pPr>
        <w:pStyle w:val="Heading2"/>
      </w:pPr>
      <w:r>
        <w:t>Context Length, Not Batch Size, Drives IO</w:t>
      </w:r>
    </w:p>
    <w:p>
      <w:r>
        <w:rPr>
          <w:b w:val="0"/>
          <w:i w:val="0"/>
        </w:rPr>
        <w:t>We swept batch sizes from 16 to 512 for DeepSeek-V3 and found the IO/Compute ratio constant at 1.34× across every batch size. This is expected: doubling the batch doubles both the total KV bytes loaded (IO) and the total FLOPs computed, so the ratio cancels. What does change the ratio is context length: longer contexts mean more KV bytes per request, but the MLP compute per token (which dominates at short contexts) stays fixed. As context grows, IO grows while MLP compute does not, eventually tipping the balance. For DeepSeek-V3 with MLA, the crossover (IO = compute) occurs at ~38,480 tokens.</w:t>
      </w:r>
    </w:p>
    <w:p>
      <w:pPr>
        <w:jc w:val="center"/>
      </w:pPr>
      <w:r>
        <w:drawing>
          <wp:inline xmlns:a="http://schemas.openxmlformats.org/drawingml/2006/main" xmlns:pic="http://schemas.openxmlformats.org/drawingml/2006/picture">
            <wp:extent cx="5669280" cy="1899756"/>
            <wp:docPr id="4" name="Picture 4"/>
            <wp:cNvGraphicFramePr>
              <a:graphicFrameLocks noChangeAspect="1"/>
            </wp:cNvGraphicFramePr>
            <a:graphic>
              <a:graphicData uri="http://schemas.openxmlformats.org/drawingml/2006/picture">
                <pic:pic>
                  <pic:nvPicPr>
                    <pic:cNvPr id="0" name="fig03_io_compute_shift.png"/>
                    <pic:cNvPicPr/>
                  </pic:nvPicPr>
                  <pic:blipFill>
                    <a:blip r:embed="rId12"/>
                    <a:stretch>
                      <a:fillRect/>
                    </a:stretch>
                  </pic:blipFill>
                  <pic:spPr>
                    <a:xfrm>
                      <a:off x="0" y="0"/>
                      <a:ext cx="5669280" cy="1899756"/>
                    </a:xfrm>
                    <a:prstGeom prst="rect"/>
                  </pic:spPr>
                </pic:pic>
              </a:graphicData>
            </a:graphic>
          </wp:inline>
        </w:drawing>
      </w:r>
    </w:p>
    <w:p>
      <w:pPr>
        <w:jc w:val="center"/>
      </w:pPr>
      <w:r>
        <w:rPr>
          <w:i/>
          <w:color w:val="6A737D"/>
          <w:sz w:val="18"/>
        </w:rPr>
        <w:t>Figure 4: Left/Center — Per-layer time breakdown: Llama-2-7B spends 58% of its layer time on KV cache IO vs. only 24% for DeepSeek-V3 with MLA. Right — KV load time scales with context length; crossover at ~38K tokens.</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5" name="Picture 5"/>
            <wp:cNvGraphicFramePr>
              <a:graphicFrameLocks noChangeAspect="1"/>
            </wp:cNvGraphicFramePr>
            <a:graphic>
              <a:graphicData uri="http://schemas.openxmlformats.org/drawingml/2006/picture">
                <pic:pic>
                  <pic:nvPicPr>
                    <pic:cNvPr id="0" name="fig02_kv_cache_size_landscape.png"/>
                    <pic:cNvPicPr/>
                  </pic:nvPicPr>
                  <pic:blipFill>
                    <a:blip r:embed="rId13"/>
                    <a:stretch>
                      <a:fillRect/>
                    </a:stretch>
                  </pic:blipFill>
                  <pic:spPr>
                    <a:xfrm>
                      <a:off x="0" y="0"/>
                      <a:ext cx="5669280" cy="2095414"/>
                    </a:xfrm>
                    <a:prstGeom prst="rect"/>
                  </pic:spPr>
                </pic:pic>
              </a:graphicData>
            </a:graphic>
          </wp:inline>
        </w:drawing>
      </w:r>
    </w:p>
    <w:p>
      <w:pPr>
        <w:jc w:val="center"/>
      </w:pPr>
      <w:r>
        <w:rPr>
          <w:i/>
          <w:color w:val="6A737D"/>
          <w:sz w:val="18"/>
        </w:rPr>
        <w:t>Figure 5: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6" name="Picture 6"/>
            <wp:cNvGraphicFramePr>
              <a:graphicFrameLocks noChangeAspect="1"/>
            </wp:cNvGraphicFramePr>
            <a:graphic>
              <a:graphicData uri="http://schemas.openxmlformats.org/drawingml/2006/picture">
                <pic:pic>
                  <pic:nvPicPr>
                    <pic:cNvPr id="0" name="fig08_pdd_transfer_dominance.png"/>
                    <pic:cNvPicPr/>
                  </pic:nvPicPr>
                  <pic:blipFill>
                    <a:blip r:embed="rId14"/>
                    <a:stretch>
                      <a:fillRect/>
                    </a:stretch>
                  </pic:blipFill>
                  <pic:spPr>
                    <a:xfrm>
                      <a:off x="0" y="0"/>
                      <a:ext cx="5669280" cy="2616229"/>
                    </a:xfrm>
                    <a:prstGeom prst="rect"/>
                  </pic:spPr>
                </pic:pic>
              </a:graphicData>
            </a:graphic>
          </wp:inline>
        </w:drawing>
      </w:r>
    </w:p>
    <w:p>
      <w:pPr>
        <w:jc w:val="center"/>
      </w:pPr>
      <w:r>
        <w:rPr>
          <w:i/>
          <w:color w:val="6A737D"/>
          <w:sz w:val="18"/>
        </w:rPr>
        <w:t>Figure 6: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7" name="Picture 7"/>
            <wp:cNvGraphicFramePr>
              <a:graphicFrameLocks noChangeAspect="1"/>
            </wp:cNvGraphicFramePr>
            <a:graphic>
              <a:graphicData uri="http://schemas.openxmlformats.org/drawingml/2006/picture">
                <pic:pic>
                  <pic:nvPicPr>
                    <pic:cNvPr id="0" name="fig13_sparse_attention.png"/>
                    <pic:cNvPicPr/>
                  </pic:nvPicPr>
                  <pic:blipFill>
                    <a:blip r:embed="rId15"/>
                    <a:stretch>
                      <a:fillRect/>
                    </a:stretch>
                  </pic:blipFill>
                  <pic:spPr>
                    <a:xfrm>
                      <a:off x="0" y="0"/>
                      <a:ext cx="5669280" cy="2401203"/>
                    </a:xfrm>
                    <a:prstGeom prst="rect"/>
                  </pic:spPr>
                </pic:pic>
              </a:graphicData>
            </a:graphic>
          </wp:inline>
        </w:drawing>
      </w:r>
    </w:p>
    <w:p>
      <w:pPr>
        <w:jc w:val="center"/>
      </w:pPr>
      <w:r>
        <w:rPr>
          <w:i/>
          <w:color w:val="6A737D"/>
          <w:sz w:val="18"/>
        </w:rPr>
        <w:t>Figure 7: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pPr>
        <w:pStyle w:val="Heading2"/>
      </w:pPr>
      <w:r>
        <w:t>Scaling with Context Length: The Indexer K Bottleneck</w:t>
      </w:r>
    </w:p>
    <w:p>
      <w:r>
        <w:rPr>
          <w:b w:val="0"/>
          <w:i w:val="0"/>
        </w:rPr>
        <w:t>While the IO/Compute ratio comparison captures the regime shift at a fixed context length, the more pressing question for long-context deployments is: how does DSA scale as context grows from 128K to 10M tokens? We swept DeepSeek-V3 across 8 sequence lengths to answer this.</w:t>
      </w:r>
    </w:p>
    <w:p>
      <w:pPr>
        <w:jc w:val="center"/>
      </w:pPr>
      <w:r>
        <w:drawing>
          <wp:inline xmlns:a="http://schemas.openxmlformats.org/drawingml/2006/main" xmlns:pic="http://schemas.openxmlformats.org/drawingml/2006/picture">
            <wp:extent cx="5669280" cy="2226948"/>
            <wp:docPr id="8" name="Picture 8"/>
            <wp:cNvGraphicFramePr>
              <a:graphicFrameLocks noChangeAspect="1"/>
            </wp:cNvGraphicFramePr>
            <a:graphic>
              <a:graphicData uri="http://schemas.openxmlformats.org/drawingml/2006/picture">
                <pic:pic>
                  <pic:nvPicPr>
                    <pic:cNvPr id="0" name="fig17_dsa_seqlen_sweep.png"/>
                    <pic:cNvPicPr/>
                  </pic:nvPicPr>
                  <pic:blipFill>
                    <a:blip r:embed="rId16"/>
                    <a:stretch>
                      <a:fillRect/>
                    </a:stretch>
                  </pic:blipFill>
                  <pic:spPr>
                    <a:xfrm>
                      <a:off x="0" y="0"/>
                      <a:ext cx="5669280" cy="2226948"/>
                    </a:xfrm>
                    <a:prstGeom prst="rect"/>
                  </pic:spPr>
                </pic:pic>
              </a:graphicData>
            </a:graphic>
          </wp:inline>
        </w:drawing>
      </w:r>
    </w:p>
    <w:p>
      <w:pPr>
        <w:jc w:val="center"/>
      </w:pPr>
      <w:r>
        <w:rPr>
          <w:i/>
          <w:color w:val="6A737D"/>
          <w:sz w:val="18"/>
        </w:rPr>
        <w:t>Figure 8: Left — KV load time per decode step: MLA (purple) vs DSA (teal). Both grow linearly with context length, but DSA loads ~2.2× less data at every point. At 10M tokens, MLA requires 27.2s of IO per decode step; DSA requires 12.1s. Right — DSA’s KV cache broken into two components: the attended MLA KV (2,560 tokens, fixed — blue) and the indexer K (FP8, grows with seq_len — teal). The indexer dominates above ~32K tokens. At 10M context, 99.9% of DSA’s IO is spent reading the indexer, not the attended KV.</w:t>
      </w:r>
    </w:p>
    <w:p/>
    <w:p>
      <w:r>
        <w:rPr>
          <w:b w:val="0"/>
          <w:i w:val="0"/>
        </w:rPr>
        <w:t>The 2.2× reduction is a structural constant: DSA reads the indexer K at 512 bytes/token/layer (FP8) versus MLA’s full 1,152 bytes/token/layer (FP16), giving a theoretical ratio of 1,152 / 512 = 2.25×. The measured 2.2× is within 2% of this prediction.</w:t>
      </w:r>
    </w:p>
    <w:p>
      <w:r>
        <w:rPr>
          <w:b w:val="0"/>
          <w:i w:val="0"/>
        </w:rPr>
        <w:t>A critical observation: DSA does not eliminate the linear scaling of IO with context. The indexer K must be read for every token in the context on every decode step — that is the cost of knowing which tokens to attend to. What DSA eliminates is the quadratic-in-heads scaling of MHA/GQA: instead of reading KV for all heads times all tokens, it reads a single FP8 index plus a fixed 2,560-token attended set. The attended MLA KV component (blue in Figure 8, right) is constant at 2.81 MB/layer regardless of context, while the indexer (teal) scales linearly.</w:t>
      </w:r>
    </w:p>
    <w:p>
      <w:r>
        <w:rPr>
          <w:b w:val="0"/>
          <w:i w:val="0"/>
        </w:rPr>
        <w:t>At 10M tokens on A100 PCIe Gen4, even DSA’s reduced IO (12.1s/step) dwarfs compute (0.27s/step) by 45×. This confirms that for very long contexts, even sparse attention remains firmly IO-bound — the bottleneck is the indexer scan, not the attended computation. Future work on selective indexer quantization or hierarchical indexing could reduce this further.</w:t>
      </w:r>
    </w:p>
    <w:p>
      <w:pPr>
        <w:pStyle w:val="Heading2"/>
      </w:pPr>
      <w:r>
        <w:t>What Happens When the KV Cache Doesn’t Fit in HBM?</w:t>
      </w:r>
    </w:p>
    <w:p>
      <w:r>
        <w:rPr>
          <w:b w:val="0"/>
          <w:i w:val="0"/>
        </w:rPr>
        <w:t>The seq_len sweep above assumed all KV data — indexer K plus attended MLA KV — resides in GPU HBM. But on a single H100 with ~20 GB free after model weights, the combined KV cache exceeds VRAM at ~512K tokens (50 GB for a single sequence). Beyond that, the KV must be offloaded to host DRAM and fetched over PCIe each decode step.</w:t>
      </w:r>
    </w:p>
    <w:p>
      <w:r>
        <w:rPr>
          <w:b w:val="0"/>
          <w:i w:val="0"/>
        </w:rPr>
        <w:t>We modeled both modes on H100 SXM: HBM at 1,384 GB/s (effective) versus PCIe at 51.5 GB/s. The per-layer decode pipeline has three blocks: Block A (Q projections, 0.079 ms constant), Block B (indexer K read + top-k select, grows with seq_len), and Block C + MoE (attention on 2,560 selected tokens + expert FFN, 0.701 ms constant). Blocks A and B run in parallel as max(A, B), then C and MoE run sequentially.</w:t>
      </w:r>
    </w:p>
    <w:p>
      <w:pPr>
        <w:jc w:val="center"/>
      </w:pPr>
      <w:r>
        <w:drawing>
          <wp:inline xmlns:a="http://schemas.openxmlformats.org/drawingml/2006/main" xmlns:pic="http://schemas.openxmlformats.org/drawingml/2006/picture">
            <wp:extent cx="5669280" cy="2219559"/>
            <wp:docPr id="9" name="Picture 9"/>
            <wp:cNvGraphicFramePr>
              <a:graphicFrameLocks noChangeAspect="1"/>
            </wp:cNvGraphicFramePr>
            <a:graphic>
              <a:graphicData uri="http://schemas.openxmlformats.org/drawingml/2006/picture">
                <pic:pic>
                  <pic:nvPicPr>
                    <pic:cNvPr id="0" name="fig18_dsa_offload_penalty.png"/>
                    <pic:cNvPicPr/>
                  </pic:nvPicPr>
                  <pic:blipFill>
                    <a:blip r:embed="rId17"/>
                    <a:stretch>
                      <a:fillRect/>
                    </a:stretch>
                  </pic:blipFill>
                  <pic:spPr>
                    <a:xfrm>
                      <a:off x="0" y="0"/>
                      <a:ext cx="5669280" cy="2219559"/>
                    </a:xfrm>
                    <a:prstGeom prst="rect"/>
                  </pic:spPr>
                </pic:pic>
              </a:graphicData>
            </a:graphic>
          </wp:inline>
        </w:drawing>
      </w:r>
    </w:p>
    <w:p>
      <w:pPr>
        <w:jc w:val="center"/>
      </w:pPr>
      <w:r>
        <w:rPr>
          <w:i/>
          <w:color w:val="6A737D"/>
          <w:sz w:val="18"/>
        </w:rPr>
        <w:t>Figure 9: Left — TPOT vs. context length for HBM (blue) and offload (red). At 4K the gap is negligible (1.03×); at 1M it reaches 5.4× (130 ms → 703 ms). Right — Per-layer stacked breakdown: the green constant floor (attention + MoE, 0.70 ms) is identical in both modes. Only the indexer K read (blue = HBM, red = PCIe) changes. At 1M context, the indexer read is 0.36 ms on HBM vs. 9.7 ms on PCIe — the entire 5.4× TPOT gap comes from this single IO operation.</w:t>
      </w:r>
    </w:p>
    <w:p/>
    <w:p>
      <w:r>
        <w:rPr>
          <w:b w:val="0"/>
          <w:i w:val="0"/>
        </w:rPr>
        <w:t>The result is cleanly structural: DSA’s only seq_len-dependent term is the indexer K read (512 bytes/token, FP8). Everything else — the attended MLA KV gather (2,560 tokens, constant), attention core, MoE — is fixed. So the HBM-vs-offload gap is set entirely by the ratio of HBM to PCIe bandwidth on a single data structure.</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Context</w:t>
            </w:r>
          </w:p>
        </w:tc>
        <w:tc>
          <w:tcPr>
            <w:tcW w:type="dxa" w:w="2160"/>
          </w:tcPr>
          <w:p>
            <w:r>
              <w:rPr>
                <w:b/>
                <w:sz w:val="18"/>
              </w:rPr>
              <w:t>TPOT (HBM)</w:t>
            </w:r>
          </w:p>
        </w:tc>
        <w:tc>
          <w:tcPr>
            <w:tcW w:type="dxa" w:w="2160"/>
          </w:tcPr>
          <w:p>
            <w:r>
              <w:rPr>
                <w:b/>
                <w:sz w:val="18"/>
              </w:rPr>
              <w:t>TPOT (offload)</w:t>
            </w:r>
          </w:p>
        </w:tc>
        <w:tc>
          <w:tcPr>
            <w:tcW w:type="dxa" w:w="2160"/>
          </w:tcPr>
          <w:p>
            <w:r>
              <w:rPr>
                <w:b/>
                <w:sz w:val="18"/>
              </w:rPr>
              <w:t>Slowdown</w:t>
            </w:r>
          </w:p>
        </w:tc>
      </w:tr>
      <w:tr>
        <w:tc>
          <w:tcPr>
            <w:tcW w:type="dxa" w:w="2160"/>
          </w:tcPr>
          <w:p>
            <w:r>
              <w:rPr>
                <w:sz w:val="18"/>
              </w:rPr>
              <w:t>4K</w:t>
            </w:r>
          </w:p>
        </w:tc>
        <w:tc>
          <w:tcPr>
            <w:tcW w:type="dxa" w:w="2160"/>
          </w:tcPr>
          <w:p>
            <w:r>
              <w:rPr>
                <w:sz w:val="18"/>
              </w:rPr>
              <w:t>47.5 ms</w:t>
            </w:r>
          </w:p>
        </w:tc>
        <w:tc>
          <w:tcPr>
            <w:tcW w:type="dxa" w:w="2160"/>
          </w:tcPr>
          <w:p>
            <w:r>
              <w:rPr>
                <w:sz w:val="18"/>
              </w:rPr>
              <w:t>48.9 ms</w:t>
            </w:r>
          </w:p>
        </w:tc>
        <w:tc>
          <w:tcPr>
            <w:tcW w:type="dxa" w:w="2160"/>
          </w:tcPr>
          <w:p>
            <w:r>
              <w:rPr>
                <w:sz w:val="18"/>
              </w:rPr>
              <w:t>1.03×</w:t>
            </w:r>
          </w:p>
        </w:tc>
      </w:tr>
      <w:tr>
        <w:tc>
          <w:tcPr>
            <w:tcW w:type="dxa" w:w="2160"/>
          </w:tcPr>
          <w:p>
            <w:r>
              <w:rPr>
                <w:sz w:val="18"/>
              </w:rPr>
              <w:t>32K</w:t>
            </w:r>
          </w:p>
        </w:tc>
        <w:tc>
          <w:tcPr>
            <w:tcW w:type="dxa" w:w="2160"/>
          </w:tcPr>
          <w:p>
            <w:r>
              <w:rPr>
                <w:sz w:val="18"/>
              </w:rPr>
              <w:t>47.5 ms</w:t>
            </w:r>
          </w:p>
        </w:tc>
        <w:tc>
          <w:tcPr>
            <w:tcW w:type="dxa" w:w="2160"/>
          </w:tcPr>
          <w:p>
            <w:r>
              <w:rPr>
                <w:sz w:val="18"/>
              </w:rPr>
              <w:t>66.8 ms</w:t>
            </w:r>
          </w:p>
        </w:tc>
        <w:tc>
          <w:tcPr>
            <w:tcW w:type="dxa" w:w="2160"/>
          </w:tcPr>
          <w:p>
            <w:r>
              <w:rPr>
                <w:sz w:val="18"/>
              </w:rPr>
              <w:t>1.41×</w:t>
            </w:r>
          </w:p>
        </w:tc>
      </w:tr>
      <w:tr>
        <w:tc>
          <w:tcPr>
            <w:tcW w:type="dxa" w:w="2160"/>
          </w:tcPr>
          <w:p>
            <w:r>
              <w:rPr>
                <w:sz w:val="18"/>
              </w:rPr>
              <w:t>128K</w:t>
            </w:r>
          </w:p>
        </w:tc>
        <w:tc>
          <w:tcPr>
            <w:tcW w:type="dxa" w:w="2160"/>
          </w:tcPr>
          <w:p>
            <w:r>
              <w:rPr>
                <w:sz w:val="18"/>
              </w:rPr>
              <w:t>54.7 ms</w:t>
            </w:r>
          </w:p>
        </w:tc>
        <w:tc>
          <w:tcPr>
            <w:tcW w:type="dxa" w:w="2160"/>
          </w:tcPr>
          <w:p>
            <w:r>
              <w:rPr>
                <w:sz w:val="18"/>
              </w:rPr>
              <w:t>128.3 ms</w:t>
            </w:r>
          </w:p>
        </w:tc>
        <w:tc>
          <w:tcPr>
            <w:tcW w:type="dxa" w:w="2160"/>
          </w:tcPr>
          <w:p>
            <w:r>
              <w:rPr>
                <w:sz w:val="18"/>
              </w:rPr>
              <w:t>2.35×</w:t>
            </w:r>
          </w:p>
        </w:tc>
      </w:tr>
      <w:tr>
        <w:tc>
          <w:tcPr>
            <w:tcW w:type="dxa" w:w="2160"/>
          </w:tcPr>
          <w:p>
            <w:r>
              <w:rPr>
                <w:sz w:val="18"/>
              </w:rPr>
              <w:t>512K</w:t>
            </w:r>
          </w:p>
        </w:tc>
        <w:tc>
          <w:tcPr>
            <w:tcW w:type="dxa" w:w="2160"/>
          </w:tcPr>
          <w:p>
            <w:r>
              <w:rPr>
                <w:sz w:val="18"/>
              </w:rPr>
              <w:t>87.0 ms</w:t>
            </w:r>
          </w:p>
        </w:tc>
        <w:tc>
          <w:tcPr>
            <w:tcW w:type="dxa" w:w="2160"/>
          </w:tcPr>
          <w:p>
            <w:r>
              <w:rPr>
                <w:sz w:val="18"/>
              </w:rPr>
              <w:t>374.4 ms</w:t>
            </w:r>
          </w:p>
        </w:tc>
        <w:tc>
          <w:tcPr>
            <w:tcW w:type="dxa" w:w="2160"/>
          </w:tcPr>
          <w:p>
            <w:r>
              <w:rPr>
                <w:sz w:val="18"/>
              </w:rPr>
              <w:t>4.31×</w:t>
            </w:r>
          </w:p>
        </w:tc>
      </w:tr>
      <w:tr>
        <w:tc>
          <w:tcPr>
            <w:tcW w:type="dxa" w:w="2160"/>
          </w:tcPr>
          <w:p>
            <w:r>
              <w:rPr>
                <w:sz w:val="18"/>
              </w:rPr>
              <w:t>1M</w:t>
            </w:r>
          </w:p>
        </w:tc>
        <w:tc>
          <w:tcPr>
            <w:tcW w:type="dxa" w:w="2160"/>
          </w:tcPr>
          <w:p>
            <w:r>
              <w:rPr>
                <w:sz w:val="18"/>
              </w:rPr>
              <w:t>130.0 ms</w:t>
            </w:r>
          </w:p>
        </w:tc>
        <w:tc>
          <w:tcPr>
            <w:tcW w:type="dxa" w:w="2160"/>
          </w:tcPr>
          <w:p>
            <w:r>
              <w:rPr>
                <w:sz w:val="18"/>
              </w:rPr>
              <w:t>702.5 ms</w:t>
            </w:r>
          </w:p>
        </w:tc>
        <w:tc>
          <w:tcPr>
            <w:tcW w:type="dxa" w:w="2160"/>
          </w:tcPr>
          <w:p>
            <w:r>
              <w:rPr>
                <w:sz w:val="18"/>
              </w:rPr>
              <w:t>5.41×</w:t>
            </w:r>
          </w:p>
        </w:tc>
      </w:tr>
    </w:tbl>
    <w:p/>
    <w:p>
      <w:r>
        <w:rPr>
          <w:b w:val="0"/>
          <w:i w:val="0"/>
        </w:rPr>
        <w:t>Below ~32K context, HBM mode is actually compute-bound: the indexer K read finishes within the 0.015 ms HBM floor and Block B stays below Block A’s 0.079 ms. The entire attention path is bounded by Block C + MoE. This is why HBM TPOT is flat at 47.5 ms for both 4K and 32K — the indexer is too small to matter.</w:t>
      </w:r>
    </w:p>
    <w:p>
      <w:pPr>
        <w:pStyle w:val="Heading2"/>
      </w:pPr>
      <w:r>
        <w:t>Does Batching Rescue Offloading?</w:t>
      </w:r>
    </w:p>
    <w:p>
      <w:r>
        <w:rPr>
          <w:b w:val="0"/>
          <w:i w:val="0"/>
        </w:rPr>
        <w:t>A natural hypothesis: batching multiple sequences increases compute per step (larger GEMMs), potentially hiding the PCIe IO behind longer compute windows. We swept batch sizes from 1 to 256 across three context lengths to test this.</w:t>
      </w:r>
    </w:p>
    <w:p>
      <w:pPr>
        <w:jc w:val="center"/>
      </w:pPr>
      <w:r>
        <w:drawing>
          <wp:inline xmlns:a="http://schemas.openxmlformats.org/drawingml/2006/main" xmlns:pic="http://schemas.openxmlformats.org/drawingml/2006/picture">
            <wp:extent cx="5669280" cy="2219559"/>
            <wp:docPr id="10" name="Picture 10"/>
            <wp:cNvGraphicFramePr>
              <a:graphicFrameLocks noChangeAspect="1"/>
            </wp:cNvGraphicFramePr>
            <a:graphic>
              <a:graphicData uri="http://schemas.openxmlformats.org/drawingml/2006/picture">
                <pic:pic>
                  <pic:nvPicPr>
                    <pic:cNvPr id="0" name="fig19_dsa_batch_throughput.png"/>
                    <pic:cNvPicPr/>
                  </pic:nvPicPr>
                  <pic:blipFill>
                    <a:blip r:embed="rId18"/>
                    <a:stretch>
                      <a:fillRect/>
                    </a:stretch>
                  </pic:blipFill>
                  <pic:spPr>
                    <a:xfrm>
                      <a:off x="0" y="0"/>
                      <a:ext cx="5669280" cy="2219559"/>
                    </a:xfrm>
                    <a:prstGeom prst="rect"/>
                  </pic:spPr>
                </pic:pic>
              </a:graphicData>
            </a:graphic>
          </wp:inline>
        </w:drawing>
      </w:r>
    </w:p>
    <w:p>
      <w:pPr>
        <w:jc w:val="center"/>
      </w:pPr>
      <w:r>
        <w:rPr>
          <w:i/>
          <w:color w:val="6A737D"/>
          <w:sz w:val="18"/>
        </w:rPr>
        <w:t>Figure 10: Left — Aggregate throughput vs. batch size. HBM throughput (solid) continues climbing; offload throughput (dashed) saturates early. At 128K, offload locks at 10.7 tok/s regardless of batch size. At 1M, it flatlines at 1.5 tok/s. Right — With IO/compute overlap (pipelining), offload matches HBM at 4K context (lines overlap), but at 128K+ pipelining only hides the smaller compute behind the larger IO — throughput remains flat.</w:t>
      </w:r>
    </w:p>
    <w:p/>
    <w:p>
      <w:r>
        <w:rPr>
          <w:b w:val="0"/>
          <w:i w:val="0"/>
        </w:rPr>
        <w:t>Batching does not rescue offloaded DSA at long context. The PCIe indexer K read scales as BS × seq_len × 512 B / 51.5 GB/s, and once this exceeds compute time, doubling the batch doubles both IO and compute equally — throughput plateaus. At 128K context, offload throughput saturates at 10.7 tok/s regardless of batch size, while HBM continues scaling to 53.5 tok/s (5× higher).</w:t>
      </w:r>
    </w:p>
    <w:p>
      <w:r>
        <w:rPr>
          <w:b w:val="0"/>
          <w:i w:val="0"/>
        </w:rPr>
        <w:t>With IO/compute pipelining (double-buffering the indexer K fetch behind the prior layer’s compute), offload throughput at ≤4K context matches HBM exactly — the PCIe transfer is fully hidden. But at ≥128K, pipelining only hides the smaller compute (0.84 ms/layer at BS=1) behind the much larger IO (1.4 ms/layer), so the throughput ceiling is set by PCIe bandwidth alone: 1000 / (61 × indexer_io_ms), independent of batch size.</w:t>
      </w:r>
    </w:p>
    <w:p>
      <w:r>
        <w:rPr>
          <w:b w:val="0"/>
          <w:i w:val="0"/>
        </w:rPr>
        <w:t>A practical mitigation: keep the indexer K cache on HBM (only 512 B/token, FP8) and offload only the larger MLA KV (1,152 B/token). This eliminates the dominant PCIe term, leaving only the 2,560-token attended KV gather (2.88 MB per layer, constant in seq_len) on the PCIe path — which completes in ~0.06 ms at the PCIe floor.</w:t>
      </w:r>
    </w:p>
    <w:p>
      <w:r>
        <w:br w:type="page"/>
      </w:r>
    </w:p>
    <w:p>
      <w:pPr>
        <w:pStyle w:val="Heading1"/>
      </w:pPr>
      <w:r>
        <w:t>5. Engram: Simulating Conditional Memory</w:t>
      </w:r>
    </w:p>
    <w:p>
      <w:r>
        <w:rPr>
          <w:b w:val="0"/>
          <w:i w:val="0"/>
        </w:rPr>
        <w:t>DeepSeek’s Engram module (arXiv:2601.07372, January 2026)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IO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11" name="Picture 11"/>
            <wp:cNvGraphicFramePr>
              <a:graphicFrameLocks noChangeAspect="1"/>
            </wp:cNvGraphicFramePr>
            <a:graphic>
              <a:graphicData uri="http://schemas.openxmlformats.org/drawingml/2006/picture">
                <pic:pic>
                  <pic:nvPicPr>
                    <pic:cNvPr id="0" name="fig04_engram_pareto.png"/>
                    <pic:cNvPicPr/>
                  </pic:nvPicPr>
                  <pic:blipFill>
                    <a:blip r:embed="rId19"/>
                    <a:stretch>
                      <a:fillRect/>
                    </a:stretch>
                  </pic:blipFill>
                  <pic:spPr>
                    <a:xfrm>
                      <a:off x="0" y="0"/>
                      <a:ext cx="5669280" cy="1917395"/>
                    </a:xfrm>
                    <a:prstGeom prst="rect"/>
                  </pic:spPr>
                </pic:pic>
              </a:graphicData>
            </a:graphic>
          </wp:inline>
        </w:drawing>
      </w:r>
    </w:p>
    <w:p>
      <w:pPr>
        <w:jc w:val="center"/>
      </w:pPr>
      <w:r>
        <w:rPr>
          <w:i/>
          <w:color w:val="6A737D"/>
          <w:sz w:val="18"/>
        </w:rPr>
        <w:t>Figure 11: Left — Validation loss U-curve; optimum at ρ≈0.74. Center — Engram is 21–31% faster. Right — Prefetch headroom: IO never stalls (9–64× budget).</w:t>
      </w:r>
    </w:p>
    <w:p/>
    <w:p>
      <w:r>
        <w:rPr>
          <w:b w:val="0"/>
          <w:i w:val="0"/>
        </w:rPr>
        <w:t>The mechanism is straightforward: fewer routed experts = 24% less HBM IO per layer. The Engram lookup adds negligible overhead (&lt;0.1 ms per Engram layer) because the IO is fully hidden behind preceding layers’ compute. The prefetch budget exceeds the DMA transfer by 9× at layer 2 and 64× at layer 15. Because both compute and DMA scale identically with batch size, these ratios are structural constants — they hold at any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IO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2026)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12" name="Picture 12"/>
            <wp:cNvGraphicFramePr>
              <a:graphicFrameLocks noChangeAspect="1"/>
            </wp:cNvGraphicFramePr>
            <a:graphic>
              <a:graphicData uri="http://schemas.openxmlformats.org/drawingml/2006/picture">
                <pic:pic>
                  <pic:nvPicPr>
                    <pic:cNvPr id="0" name="fig05_turboquant_impact.png"/>
                    <pic:cNvPicPr/>
                  </pic:nvPicPr>
                  <pic:blipFill>
                    <a:blip r:embed="rId20"/>
                    <a:stretch>
                      <a:fillRect/>
                    </a:stretch>
                  </pic:blipFill>
                  <pic:spPr>
                    <a:xfrm>
                      <a:off x="0" y="0"/>
                      <a:ext cx="5669280" cy="2243545"/>
                    </a:xfrm>
                    <a:prstGeom prst="rect"/>
                  </pic:spPr>
                </pic:pic>
              </a:graphicData>
            </a:graphic>
          </wp:inline>
        </w:drawing>
      </w:r>
    </w:p>
    <w:p>
      <w:pPr>
        <w:jc w:val="center"/>
      </w:pPr>
      <w:r>
        <w:rPr>
          <w:i/>
          <w:color w:val="6A737D"/>
          <w:sz w:val="18"/>
        </w:rPr>
        <w:t>Figure 12: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3" name="Picture 13"/>
            <wp:cNvGraphicFramePr>
              <a:graphicFrameLocks noChangeAspect="1"/>
            </wp:cNvGraphicFramePr>
            <a:graphic>
              <a:graphicData uri="http://schemas.openxmlformats.org/drawingml/2006/picture">
                <pic:pic>
                  <pic:nvPicPr>
                    <pic:cNvPr id="0" name="fig11_prefix_caching.png"/>
                    <pic:cNvPicPr/>
                  </pic:nvPicPr>
                  <pic:blipFill>
                    <a:blip r:embed="rId21"/>
                    <a:stretch>
                      <a:fillRect/>
                    </a:stretch>
                  </pic:blipFill>
                  <pic:spPr>
                    <a:xfrm>
                      <a:off x="0" y="0"/>
                      <a:ext cx="5669280" cy="2042875"/>
                    </a:xfrm>
                    <a:prstGeom prst="rect"/>
                  </pic:spPr>
                </pic:pic>
              </a:graphicData>
            </a:graphic>
          </wp:inline>
        </w:drawing>
      </w:r>
    </w:p>
    <w:p>
      <w:pPr>
        <w:jc w:val="center"/>
      </w:pPr>
      <w:r>
        <w:rPr>
          <w:i/>
          <w:color w:val="6A737D"/>
          <w:sz w:val="18"/>
        </w:rPr>
        <w:t>Figure 13: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4" name="Picture 14"/>
            <wp:cNvGraphicFramePr>
              <a:graphicFrameLocks noChangeAspect="1"/>
            </wp:cNvGraphicFramePr>
            <a:graphic>
              <a:graphicData uri="http://schemas.openxmlformats.org/drawingml/2006/picture">
                <pic:pic>
                  <pic:nvPicPr>
                    <pic:cNvPr id="0" name="fig14_thrashing_phases.png"/>
                    <pic:cNvPicPr/>
                  </pic:nvPicPr>
                  <pic:blipFill>
                    <a:blip r:embed="rId22"/>
                    <a:stretch>
                      <a:fillRect/>
                    </a:stretch>
                  </pic:blipFill>
                  <pic:spPr>
                    <a:xfrm>
                      <a:off x="0" y="0"/>
                      <a:ext cx="5669280" cy="2242327"/>
                    </a:xfrm>
                    <a:prstGeom prst="rect"/>
                  </pic:spPr>
                </pic:pic>
              </a:graphicData>
            </a:graphic>
          </wp:inline>
        </w:drawing>
      </w:r>
    </w:p>
    <w:p>
      <w:pPr>
        <w:jc w:val="center"/>
      </w:pPr>
      <w:r>
        <w:rPr>
          <w:i/>
          <w:color w:val="6A737D"/>
          <w:sz w:val="18"/>
        </w:rPr>
        <w:t>Figure 14: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5" name="Picture 15"/>
            <wp:cNvGraphicFramePr>
              <a:graphicFrameLocks noChangeAspect="1"/>
            </wp:cNvGraphicFramePr>
            <a:graphic>
              <a:graphicData uri="http://schemas.openxmlformats.org/drawingml/2006/picture">
                <pic:pic>
                  <pic:nvPicPr>
                    <pic:cNvPr id="0" name="fig06_thrashing_cliff.png"/>
                    <pic:cNvPicPr/>
                  </pic:nvPicPr>
                  <pic:blipFill>
                    <a:blip r:embed="rId23"/>
                    <a:stretch>
                      <a:fillRect/>
                    </a:stretch>
                  </pic:blipFill>
                  <pic:spPr>
                    <a:xfrm>
                      <a:off x="0" y="0"/>
                      <a:ext cx="5669280" cy="2219559"/>
                    </a:xfrm>
                    <a:prstGeom prst="rect"/>
                  </pic:spPr>
                </pic:pic>
              </a:graphicData>
            </a:graphic>
          </wp:inline>
        </w:drawing>
      </w:r>
    </w:p>
    <w:p>
      <w:pPr>
        <w:jc w:val="center"/>
      </w:pPr>
      <w:r>
        <w:rPr>
          <w:i/>
          <w:color w:val="6A737D"/>
          <w:sz w:val="18"/>
        </w:rPr>
        <w:t>Figure 15: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What If You Load Instead of Recompute?</w:t>
      </w:r>
    </w:p>
    <w:p>
      <w:r>
        <w:rPr>
          <w:b w:val="0"/>
          <w:i w:val="0"/>
        </w:rPr>
        <w:t>The numbers above assume the standard recovery strategy: when a cache miss occurs, the server recomputes the evicted KV entries via prefill. But there is an alternative — keep evicted KV in host DRAM as a second-tier cache, and reload it over PCIe when needed. This converts the miss penalty from a compute cost to an IO cost.</w:t>
      </w:r>
    </w:p>
    <w:p>
      <w:r>
        <w:rPr>
          <w:b w:val="0"/>
          <w:i w:val="0"/>
        </w:rPr>
        <w:t>We ran the same agentic workload through a two-tier cache: a small HBM tier (same as before) backed by a host DRAM tier at 10× the HBM capacity. On each request, tokens found in HBM are free; tokens evicted from HBM but still in DRAM are reloaded over PCIe (0.021 ms/token on A100, PCIe Gen4); only tokens missing from both tiers trigger a full prefill recompute (0.080 ms/token). Crucially, the PCIe DMA for the reloaded range can run concurrently with the prefill kernel that computes the residual tokens — the same GPU-initiated overlap principle from Section 3, applied to the miss-recovery path. The reported tiered cost is the wall-clock max(IO, compute), not the sum.</w:t>
      </w:r>
    </w:p>
    <w:p>
      <w:pPr>
        <w:jc w:val="center"/>
      </w:pPr>
      <w:r>
        <w:drawing>
          <wp:inline xmlns:a="http://schemas.openxmlformats.org/drawingml/2006/main" xmlns:pic="http://schemas.openxmlformats.org/drawingml/2006/picture">
            <wp:extent cx="5669280" cy="2244342"/>
            <wp:docPr id="16" name="Picture 16"/>
            <wp:cNvGraphicFramePr>
              <a:graphicFrameLocks noChangeAspect="1"/>
            </wp:cNvGraphicFramePr>
            <a:graphic>
              <a:graphicData uri="http://schemas.openxmlformats.org/drawingml/2006/picture">
                <pic:pic>
                  <pic:nvPicPr>
                    <pic:cNvPr id="0" name="fig15_pcie_kv_reload.png"/>
                    <pic:cNvPicPr/>
                  </pic:nvPicPr>
                  <pic:blipFill>
                    <a:blip r:embed="rId24"/>
                    <a:stretch>
                      <a:fillRect/>
                    </a:stretch>
                  </pic:blipFill>
                  <pic:spPr>
                    <a:xfrm>
                      <a:off x="0" y="0"/>
                      <a:ext cx="5669280" cy="2244342"/>
                    </a:xfrm>
                    <a:prstGeom prst="rect"/>
                  </pic:spPr>
                </pic:pic>
              </a:graphicData>
            </a:graphic>
          </wp:inline>
        </w:drawing>
      </w:r>
    </w:p>
    <w:p>
      <w:pPr>
        <w:jc w:val="center"/>
      </w:pPr>
      <w:r>
        <w:rPr>
          <w:i/>
          <w:color w:val="6A737D"/>
          <w:sz w:val="18"/>
        </w:rPr>
        <w:t>Figure 16: Left — Savings scale with tier-2 IO bandwidth. NVMe is too slow for 7B (reload costs more than recompute); PCIe Gen4 recovers 60% of wasted compute; CXL reaches 76%. Right — 70B with GQA achieves 80% savings because prefill is expensive and GQA keeps the KV footprint small enough that PCIe reload is 61× cheaper than recomputing.</w:t>
      </w:r>
    </w:p>
    <w:p/>
    <w:p>
      <w:r>
        <w:rPr>
          <w:b w:val="0"/>
          <w:i w:val="0"/>
        </w:rPr>
        <w:t>In the worst thrashing configuration (8 concurrent, 400-block HBM), the DRAM tier catches 62.6% of tokens that would have been recomputed. With the PCIe DMA overlapped against the residual recompute, total prefill wall-time drops from 71.9 s to 19.4 s — a 73% reduction. The average per-request TTFT falls from 92.2 ms to 24.8 ms, within ~8 ms of the unlimited-cache oracle (~17 ms).</w:t>
      </w:r>
    </w:p>
    <w:p>
      <w:r>
        <w:rPr>
          <w:b w:val="0"/>
          <w:i w:val="0"/>
        </w:rPr>
        <w:t>Two findings are striking from an IO perspective. First, bandwidth determines everything: NVMe (7 GB/s) is actually 14% worse than recomputing because disk reload (0.094 ms/token) costs more than prefill (0.080 ms/token). PCIe Gen3 is the minimum viable tier-2. Second, the DRAM tier needs only ~2× HBM capacity — beyond that, additional host memory is unused because the LRU eviction horizon matches the block-reuse horizon.</w:t>
      </w:r>
    </w:p>
    <w:p>
      <w:r>
        <w:rPr>
          <w:b w:val="0"/>
          <w:i w:val="0"/>
        </w:rPr>
        <w:t>For larger models the IO calculus shifts dramatically. Llama-2-70B with GQA has 8× fewer KV heads per layer than 7B MHA, but 2.5× more layers, so the per-token KV footprint only shrinks 1.6× (320 KB vs 512 KB). Meanwhile prefill is 10× more expensive per token, so the reload-vs-recompute ratio jumps to 61×, recovering 80% of thrashing waste. This is the IO perspective in full: the same GQA compression that reduces the IO wall during normal decode also enables IO-based recovery from cache failures. The architecture’s IO footprint determines not just steady-state performance but also resilience to capacity failures.</w:t>
      </w:r>
    </w:p>
    <w:p>
      <w:pPr>
        <w:jc w:val="center"/>
      </w:pPr>
      <w:r>
        <w:drawing>
          <wp:inline xmlns:a="http://schemas.openxmlformats.org/drawingml/2006/main" xmlns:pic="http://schemas.openxmlformats.org/drawingml/2006/picture">
            <wp:extent cx="5669280" cy="3171921"/>
            <wp:docPr id="17" name="Picture 17"/>
            <wp:cNvGraphicFramePr>
              <a:graphicFrameLocks noChangeAspect="1"/>
            </wp:cNvGraphicFramePr>
            <a:graphic>
              <a:graphicData uri="http://schemas.openxmlformats.org/drawingml/2006/picture">
                <pic:pic>
                  <pic:nvPicPr>
                    <pic:cNvPr id="0" name="fig16_ttft_over_time.png"/>
                    <pic:cNvPicPr/>
                  </pic:nvPicPr>
                  <pic:blipFill>
                    <a:blip r:embed="rId25"/>
                    <a:stretch>
                      <a:fillRect/>
                    </a:stretch>
                  </pic:blipFill>
                  <pic:spPr>
                    <a:xfrm>
                      <a:off x="0" y="0"/>
                      <a:ext cx="5669280" cy="3171921"/>
                    </a:xfrm>
                    <a:prstGeom prst="rect"/>
                  </pic:spPr>
                </pic:pic>
              </a:graphicData>
            </a:graphic>
          </wp:inline>
        </w:drawing>
      </w:r>
    </w:p>
    <w:p>
      <w:pPr>
        <w:jc w:val="center"/>
      </w:pPr>
      <w:r>
        <w:rPr>
          <w:i/>
          <w:color w:val="6A737D"/>
          <w:sz w:val="18"/>
        </w:rPr>
        <w:t>Figure 17: Per-request TTFT over time for the 8-concurrent / 400-block configuration, with PCIe reload overlapped against residual recompute (wall-clock = max(IO, compute)). Both panels share the same workload; only the hardware/architecture differs. Left — A100 + Llama-2-7B (MHA): reload-vs-recompute ratio is 3.8×, baseline thrashes to ~120 ms, tiered drops to ~25 ms, oracle floor ~17 ms — a residual ~29% above floor. Right — A100 + Llama-2-70B (GQA): reload-vs-recompute ratio jumps to 61×, baseline thrashes to ~900–1,200 ms, and the tiered line lands exactly on the oracle (~171 ms) — residual 0%. The larger the model, the more aggressively IO hides behind the compute that was going to happen anyway. Bottom — HBM hit rate is identical across the two panels because it is a workload-only property; the same collapse in hit rate produces wildly different baseline TTFTs because the compute cost of a miss scales with model size, while the tiered-reload cost scales only with the KV footprint. This is the IO perspective in full: the same GQA compression that shrinks the steady-state IO wall also makes cache-miss recovery asymptotically free.</w:t>
      </w:r>
    </w:p>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8" name="Picture 18"/>
            <wp:cNvGraphicFramePr>
              <a:graphicFrameLocks noChangeAspect="1"/>
            </wp:cNvGraphicFramePr>
            <a:graphic>
              <a:graphicData uri="http://schemas.openxmlformats.org/drawingml/2006/picture">
                <pic:pic>
                  <pic:nvPicPr>
                    <pic:cNvPr id="0" name="fig07_utilization_lies_hetero.png"/>
                    <pic:cNvPicPr/>
                  </pic:nvPicPr>
                  <pic:blipFill>
                    <a:blip r:embed="rId26"/>
                    <a:stretch>
                      <a:fillRect/>
                    </a:stretch>
                  </pic:blipFill>
                  <pic:spPr>
                    <a:xfrm>
                      <a:off x="0" y="0"/>
                      <a:ext cx="5669280" cy="2252441"/>
                    </a:xfrm>
                    <a:prstGeom prst="rect"/>
                  </pic:spPr>
                </pic:pic>
              </a:graphicData>
            </a:graphic>
          </wp:inline>
        </w:drawing>
      </w:r>
    </w:p>
    <w:p>
      <w:pPr>
        <w:jc w:val="center"/>
      </w:pPr>
      <w:r>
        <w:rPr>
          <w:i/>
          <w:color w:val="6A737D"/>
          <w:sz w:val="18"/>
        </w:rPr>
        <w:t>Figure 18: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9" name="Picture 19"/>
            <wp:cNvGraphicFramePr>
              <a:graphicFrameLocks noChangeAspect="1"/>
            </wp:cNvGraphicFramePr>
            <a:graphic>
              <a:graphicData uri="http://schemas.openxmlformats.org/drawingml/2006/picture">
                <pic:pic>
                  <pic:nvPicPr>
                    <pic:cNvPr id="0" name="fig10_full_compression_stack.png"/>
                    <pic:cNvPicPr/>
                  </pic:nvPicPr>
                  <pic:blipFill>
                    <a:blip r:embed="rId27"/>
                    <a:stretch>
                      <a:fillRect/>
                    </a:stretch>
                  </pic:blipFill>
                  <pic:spPr>
                    <a:xfrm>
                      <a:off x="0" y="0"/>
                      <a:ext cx="5669280" cy="2445809"/>
                    </a:xfrm>
                    <a:prstGeom prst="rect"/>
                  </pic:spPr>
                </pic:pic>
              </a:graphicData>
            </a:graphic>
          </wp:inline>
        </w:drawing>
      </w:r>
    </w:p>
    <w:p>
      <w:pPr>
        <w:jc w:val="center"/>
      </w:pPr>
      <w:r>
        <w:rPr>
          <w:i/>
          <w:color w:val="6A737D"/>
          <w:sz w:val="18"/>
        </w:rPr>
        <w:t>Figure 19: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IO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PCIe KV reload recovers 73% of thrashing waste by converting misses from compute to IO and overlapping the PCIe DMA with the residual recompute kernel. A host DRAM tier (just 2× HBM capacity) turns the binary cliff into a soft shoulder — tiered TTFT lands within ~8 ms of the oracle floor. For 70B GQA models, reload is 61× cheaper than recompute, recovering 80% of waste.</w:t>
      </w:r>
    </w:p>
    <w:p>
      <w:r>
        <w:rPr>
          <w:b w:val="0"/>
          <w:i w:val="0"/>
        </w:rPr>
        <w:t>7. Faster GPUs widen the IO gap. H100’s 3.2× compute improvement outpaces its 2× bandwidth improvement. Each GPU generation makes KV IO relatively more of the bottleneck.</w:t>
      </w:r>
    </w:p>
    <w:p/>
    <w:p>
      <w:r>
        <w:rPr>
          <w:b w:val="0"/>
          <w:i/>
        </w:rPr>
        <w:t>The simulator runs without GPUs and can be extended with new techniques by specifying their IO and compute characteristics — no hardware required.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