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past the representation layer into the access pattern itself: not every token needs to be read every step. Then zoom out to the expert weights: the same PCIe bus that limits KV reload also governs expert streaming, and the math is brutal for large MoE (64.7× HBM/PCIe gap, +492% latency per 5 offloaded layers) but inverts for small-expert models.</w:t>
      </w:r>
    </w:p>
    <w:p>
      <w:r>
        <w:rPr>
          <w:b w:val="0"/>
          <w:i w:val="0"/>
        </w:rPr>
        <w:t>•  § 5. Engram: Conditional Memory — make the KV cache content-addressable so decode IO becomes O(1) in context length instead of O(n).</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pPr>
        <w:pStyle w:val="Heading2"/>
      </w:pPr>
      <w:r>
        <w:t>Expert Weight IO: MoE’s Second IO Wall</w:t>
      </w:r>
    </w:p>
    <w:p>
      <w:r>
        <w:rPr>
          <w:b w:val="0"/>
          <w:i w:val="0"/>
        </w:rPr>
        <w:t>Sparse attention compresses the KV access pattern, but MoE models have a second IO bottleneck: the expert weights themselves. When VRAM cannot hold all expert weights, layers must be offloaded to CPU memory and reloaded on demand. The PCIe bus governs this transfer — the same bandwidth that limits KV cache reload now limits expert weight streaming.</w:t>
      </w:r>
    </w:p>
    <w:p>
      <w:r>
        <w:rPr>
          <w:b w:val="0"/>
          <w:i w:val="0"/>
        </w:rPr>
        <w:t>For DeepSeek-V3 (671B, 256 experts, EP=8 on A100 DGX), each GPU must hold 32 local expert weight sets per layer. At FP16, that is 2.59 GB per layer per GPU. Loading over PCIe Gen4 takes 104 ms per layer per forward pass — vs 1.6 ms from HBM, a 64.7× bandwidth gap. Offloading even 5 layers increases end-to-end latency by 492%. Offloading all 61 layers increases it by 6,230%. The degradation is exactly linear: every offloaded layer adds a fixed 104 ms because there is no amortization, caching, or overlap that reduces the marginal cost.</w:t>
      </w:r>
    </w:p>
    <w:p>
      <w:r>
        <w:rPr>
          <w:b w:val="0"/>
          <w:i w:val="0"/>
        </w:rPr>
        <w:t>The model-size dependency is the mirror image of the KV reload result. For Qwen3-Coder-Next (80B-A3B, 512 experts, 10 active per token), each layer’s active expert weights are only 30 MB — 22× less than DeepSeek-V3. At this size, the CPU DRAM path (30 MB at 200 GB/s = 0.15 ms) beats the PCIe path (30 MB at 25.2 GB/s = 1.16 ms) by 7.9×. CPU-resident expert computation is faster than PCIe streaming because the expert FFN itself is compute-light. When VRAM is below 58 GB, CPU-resident wins (28.6 TPS vs 20.8 TPS for dynamic PCIe transfer). Above 58 GB, enough layers stay in VRAM that PCIe transfers for the deficit layers become the smaller penalty.</w:t>
      </w:r>
    </w:p>
    <w:p>
      <w:pPr>
        <w:jc w:val="center"/>
      </w:pPr>
      <w:r>
        <w:drawing>
          <wp:inline xmlns:a="http://schemas.openxmlformats.org/drawingml/2006/main" xmlns:pic="http://schemas.openxmlformats.org/drawingml/2006/picture">
            <wp:extent cx="5669280" cy="2332987"/>
            <wp:docPr id="8" name="Picture 8"/>
            <wp:cNvGraphicFramePr>
              <a:graphicFrameLocks noChangeAspect="1"/>
            </wp:cNvGraphicFramePr>
            <a:graphic>
              <a:graphicData uri="http://schemas.openxmlformats.org/drawingml/2006/picture">
                <pic:pic>
                  <pic:nvPicPr>
                    <pic:cNvPr id="0" name="fig17_moe_expert_offloading.png"/>
                    <pic:cNvPicPr/>
                  </pic:nvPicPr>
                  <pic:blipFill>
                    <a:blip r:embed="rId16"/>
                    <a:stretch>
                      <a:fillRect/>
                    </a:stretch>
                  </pic:blipFill>
                  <pic:spPr>
                    <a:xfrm>
                      <a:off x="0" y="0"/>
                      <a:ext cx="5669280" cy="2332987"/>
                    </a:xfrm>
                    <a:prstGeom prst="rect"/>
                  </pic:spPr>
                </pic:pic>
              </a:graphicData>
            </a:graphic>
          </wp:inline>
        </w:drawing>
      </w:r>
    </w:p>
    <w:p>
      <w:pPr>
        <w:jc w:val="center"/>
      </w:pPr>
      <w:r>
        <w:rPr>
          <w:i/>
          <w:color w:val="6A737D"/>
          <w:sz w:val="18"/>
        </w:rPr>
        <w:t>Figure 17: Left — DeepSeek-V3: E2E latency grows linearly with n_cpu_moe. Even N=5 offloaded layers causes a 492% latency increase because each layer adds 104 ms per forward pass over PCIe Gen4 (64.7× slower than HBM). Blue bars show GPU memory freed — the only tradeoff for paying this cost. Right — Qwen3-Coder-Next: the crossover between CPU-resident and PCIe dynamic transfer. Below 58 GB VRAM, CPU-resident wins because 30 MB active expert weights are faster to compute locally than to transfer over PCIe. Above 58 GB, enough layers fit in VRAM that dynamic transfer wins.</w:t>
      </w:r>
    </w:p>
    <w:p/>
    <w:p>
      <w:r>
        <w:rPr>
          <w:b w:val="0"/>
          <w:i w:val="0"/>
        </w:rPr>
        <w:t>The IO perspective unifies both results: the PCIe bus is a shared resource whose cost-per-byte is constant. What changes is the bytes-per-layer on one side and the compute-per-forward-pass on the other. DeepSeek-V3’s 2.59 GB/layer expert footprint is simply too large for PCIe to serve economically at inference frequencies. Qwen3’s 30 MB/layer footprint flips the equation. The simulator identifies this regime boundary without requiring hardware runs at each point.</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9" name="Picture 9"/>
            <wp:cNvGraphicFramePr>
              <a:graphicFrameLocks noChangeAspect="1"/>
            </wp:cNvGraphicFramePr>
            <a:graphic>
              <a:graphicData uri="http://schemas.openxmlformats.org/drawingml/2006/picture">
                <pic:pic>
                  <pic:nvPicPr>
                    <pic:cNvPr id="0" name="fig04_engram_pareto.png"/>
                    <pic:cNvPicPr/>
                  </pic:nvPicPr>
                  <pic:blipFill>
                    <a:blip r:embed="rId17"/>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10" name="Picture 10"/>
            <wp:cNvGraphicFramePr>
              <a:graphicFrameLocks noChangeAspect="1"/>
            </wp:cNvGraphicFramePr>
            <a:graphic>
              <a:graphicData uri="http://schemas.openxmlformats.org/drawingml/2006/picture">
                <pic:pic>
                  <pic:nvPicPr>
                    <pic:cNvPr id="0" name="fig05_turboquant_impact.png"/>
                    <pic:cNvPicPr/>
                  </pic:nvPicPr>
                  <pic:blipFill>
                    <a:blip r:embed="rId18"/>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1" name="Picture 11"/>
            <wp:cNvGraphicFramePr>
              <a:graphicFrameLocks noChangeAspect="1"/>
            </wp:cNvGraphicFramePr>
            <a:graphic>
              <a:graphicData uri="http://schemas.openxmlformats.org/drawingml/2006/picture">
                <pic:pic>
                  <pic:nvPicPr>
                    <pic:cNvPr id="0" name="fig11_prefix_caching.png"/>
                    <pic:cNvPicPr/>
                  </pic:nvPicPr>
                  <pic:blipFill>
                    <a:blip r:embed="rId19"/>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2" name="Picture 12"/>
            <wp:cNvGraphicFramePr>
              <a:graphicFrameLocks noChangeAspect="1"/>
            </wp:cNvGraphicFramePr>
            <a:graphic>
              <a:graphicData uri="http://schemas.openxmlformats.org/drawingml/2006/picture">
                <pic:pic>
                  <pic:nvPicPr>
                    <pic:cNvPr id="0" name="fig14_thrashing_phases.png"/>
                    <pic:cNvPicPr/>
                  </pic:nvPicPr>
                  <pic:blipFill>
                    <a:blip r:embed="rId20"/>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3" name="Picture 13"/>
            <wp:cNvGraphicFramePr>
              <a:graphicFrameLocks noChangeAspect="1"/>
            </wp:cNvGraphicFramePr>
            <a:graphic>
              <a:graphicData uri="http://schemas.openxmlformats.org/drawingml/2006/picture">
                <pic:pic>
                  <pic:nvPicPr>
                    <pic:cNvPr id="0" name="fig06_thrashing_cliff.png"/>
                    <pic:cNvPicPr/>
                  </pic:nvPicPr>
                  <pic:blipFill>
                    <a:blip r:embed="rId21"/>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4" name="Picture 14"/>
            <wp:cNvGraphicFramePr>
              <a:graphicFrameLocks noChangeAspect="1"/>
            </wp:cNvGraphicFramePr>
            <a:graphic>
              <a:graphicData uri="http://schemas.openxmlformats.org/drawingml/2006/picture">
                <pic:pic>
                  <pic:nvPicPr>
                    <pic:cNvPr id="0" name="fig15_pcie_kv_reload.png"/>
                    <pic:cNvPicPr/>
                  </pic:nvPicPr>
                  <pic:blipFill>
                    <a:blip r:embed="rId22"/>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5" name="Picture 15"/>
            <wp:cNvGraphicFramePr>
              <a:graphicFrameLocks noChangeAspect="1"/>
            </wp:cNvGraphicFramePr>
            <a:graphic>
              <a:graphicData uri="http://schemas.openxmlformats.org/drawingml/2006/picture">
                <pic:pic>
                  <pic:nvPicPr>
                    <pic:cNvPr id="0" name="fig16_ttft_over_time.png"/>
                    <pic:cNvPicPr/>
                  </pic:nvPicPr>
                  <pic:blipFill>
                    <a:blip r:embed="rId23"/>
                    <a:stretch>
                      <a:fillRect/>
                    </a:stretch>
                  </pic:blipFill>
                  <pic:spPr>
                    <a:xfrm>
                      <a:off x="0" y="0"/>
                      <a:ext cx="5669280" cy="3171921"/>
                    </a:xfrm>
                    <a:prstGeom prst="rect"/>
                  </pic:spPr>
                </pic:pic>
              </a:graphicData>
            </a:graphic>
          </wp:inline>
        </w:drawing>
      </w:r>
    </w:p>
    <w:p>
      <w:pPr>
        <w:jc w:val="center"/>
      </w:pPr>
      <w:r>
        <w:rPr>
          <w:i/>
          <w:color w:val="6A737D"/>
          <w:sz w:val="18"/>
        </w:rPr>
        <w:t>Figure 14: Per-request TTFT over time for the 8-concurrent / 400-block configuration, with PCIe reload overlapped against residual recompute (wall-clock = max(IO, compute)). Both panels share the same workload; only the hardware/architecture differs. Left — A100 + Llama-2-7B (MHA): reload-vs-recompute ratio is 3.8×, baseline thrashes to ~120 ms, tiered drops to ~25 ms, oracle floor ~17 ms — a residual ~29% above floor. Right — A100 + Llama-2-70B (GQA): reload-vs-recompute ratio jumps to 61×, baseline thrashes to ~900–1,200 ms, and the tiered line lands exactly on the oracle (~171 ms) — residual 0%. The larger the model, the more aggressively IO hides behind the compute that was going to happen anyway. Bottom — HBM hit rate is identical across the two panels because it is a workload-only property; the same collapse in hit rate produces wildly different baseline TTFTs because the compute cost of a miss scales with model size, while the tiered-reload cost scales only with the KV footprint. This is the IO perspective in full: the same GQA compression that shrinks the steady-state IO wall also makes cache-miss recovery asymptotically free.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6" name="Picture 16"/>
            <wp:cNvGraphicFramePr>
              <a:graphicFrameLocks noChangeAspect="1"/>
            </wp:cNvGraphicFramePr>
            <a:graphic>
              <a:graphicData uri="http://schemas.openxmlformats.org/drawingml/2006/picture">
                <pic:pic>
                  <pic:nvPicPr>
                    <pic:cNvPr id="0" name="fig07_utilization_lies_hetero.png"/>
                    <pic:cNvPicPr/>
                  </pic:nvPicPr>
                  <pic:blipFill>
                    <a:blip r:embed="rId24"/>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pPr>
        <w:pStyle w:val="Heading2"/>
      </w:pPr>
      <w:r>
        <w:t>The Compute Cost by Agent Type</w:t>
      </w:r>
    </w:p>
    <w:p>
      <w:r>
        <w:rPr>
          <w:b w:val="0"/>
          <w:i w:val="0"/>
        </w:rPr>
        <w:t>Comparing each agent mix against an oracle unlimited cache makes the cost structure stark. We ran every mix twice — once with the 800-block HBM, once with an unlimited cache — and measured compute overhead (ratio of prefill compute performed to prefill compute strictly needed):</w:t>
      </w:r>
    </w:p>
    <w:p>
      <w:pPr>
        <w:jc w:val="center"/>
      </w:pPr>
      <w:r>
        <w:drawing>
          <wp:inline xmlns:a="http://schemas.openxmlformats.org/drawingml/2006/main" xmlns:pic="http://schemas.openxmlformats.org/drawingml/2006/picture">
            <wp:extent cx="5669280" cy="2333817"/>
            <wp:docPr id="17" name="Picture 17"/>
            <wp:cNvGraphicFramePr>
              <a:graphicFrameLocks noChangeAspect="1"/>
            </wp:cNvGraphicFramePr>
            <a:graphic>
              <a:graphicData uri="http://schemas.openxmlformats.org/drawingml/2006/picture">
                <pic:pic>
                  <pic:nvPicPr>
                    <pic:cNvPr id="0" name="fig18_hetero_unlimited_cost.png"/>
                    <pic:cNvPicPr/>
                  </pic:nvPicPr>
                  <pic:blipFill>
                    <a:blip r:embed="rId25"/>
                    <a:stretch>
                      <a:fillRect/>
                    </a:stretch>
                  </pic:blipFill>
                  <pic:spPr>
                    <a:xfrm>
                      <a:off x="0" y="0"/>
                      <a:ext cx="5669280" cy="2333817"/>
                    </a:xfrm>
                    <a:prstGeom prst="rect"/>
                  </pic:spPr>
                </pic:pic>
              </a:graphicData>
            </a:graphic>
          </wp:inline>
        </w:drawing>
      </w:r>
    </w:p>
    <w:p>
      <w:pPr>
        <w:jc w:val="center"/>
      </w:pPr>
      <w:r>
        <w:rPr>
          <w:i/>
          <w:color w:val="6A737D"/>
          <w:sz w:val="18"/>
        </w:rPr>
        <w:t>Figure 18: Left — Compute overhead vs oracle by agent mix at 800-block HBM. Short agents: no overhead (1.0×). Any long-agent presence pushes overhead to 10×+. Right — Effective throughput as a percentage of unlimited-cache capacity. A pool with 100% long agents delivers only 9% of the throughput it could achieve with sufficient cache, wasting 91% of GPU compute on redundant prefill.</w:t>
      </w:r>
    </w:p>
    <w:p/>
    <w:p>
      <w:r>
        <w:rPr>
          <w:b w:val="0"/>
          <w:i w:val="0"/>
        </w:rPr>
        <w:t>Long agents never recover regardless of cache size. Even at 1,200 blocks, all_long wastes 90% of prefill compute because their maximum context (469 blocks × 8 concurrent = 3,752 blocks) exceeds all tested cache sizes. Every step re-triggers massive evictions. Short agents pay nothing: their working set (39 blocks × 8 = 312 blocks) comfortably fits in 400 blocks. High-variance agents sit in the middle (2.76×, 36% throughput) with bursty eviction episodes but no sustained thrashing. The short+long mix (10.63×) is nearly identical to all_long — long agents’ 3,752-block working set completely governs cache pressure regardless of how many short agents share the pool.</w:t>
      </w:r>
    </w:p>
    <w:p>
      <w:pPr>
        <w:pStyle w:val="Heading2"/>
      </w:pPr>
      <w:r>
        <w:t>Capacity Planning: The Break-Even Rule</w:t>
      </w:r>
    </w:p>
    <w:p>
      <w:r>
        <w:rPr>
          <w:b w:val="0"/>
          <w:i w:val="0"/>
        </w:rPr>
        <w:t>The binary nature of the thrashing cliff gives a simple provisioning rule. Combining the phase-boundary finding (Finding 11) and the agent-type cost analysis: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Agent type</w:t>
            </w:r>
          </w:p>
        </w:tc>
        <w:tc>
          <w:tcPr>
            <w:tcW w:type="dxa" w:w="2160"/>
          </w:tcPr>
          <w:p>
            <w:r>
              <w:rPr>
                <w:b/>
                <w:sz w:val="18"/>
              </w:rPr>
              <w:t>Max blocks/session</w:t>
            </w:r>
          </w:p>
        </w:tc>
        <w:tc>
          <w:tcPr>
            <w:tcW w:type="dxa" w:w="2160"/>
          </w:tcPr>
          <w:p>
            <w:r>
              <w:rPr>
                <w:b/>
                <w:sz w:val="18"/>
              </w:rPr>
              <w:t>8 concurrent requires</w:t>
            </w:r>
          </w:p>
        </w:tc>
        <w:tc>
          <w:tcPr>
            <w:tcW w:type="dxa" w:w="2160"/>
          </w:tcPr>
          <w:p>
            <w:r>
              <w:rPr>
                <w:b/>
                <w:sz w:val="18"/>
              </w:rPr>
              <w:t>Safe cache size</w:t>
            </w:r>
          </w:p>
        </w:tc>
      </w:tr>
      <w:tr>
        <w:tc>
          <w:tcPr>
            <w:tcW w:type="dxa" w:w="2160"/>
          </w:tcPr>
          <w:p>
            <w:r>
              <w:rPr>
                <w:sz w:val="18"/>
              </w:rPr>
              <w:t>short (4 steps)</w:t>
            </w:r>
          </w:p>
        </w:tc>
        <w:tc>
          <w:tcPr>
            <w:tcW w:type="dxa" w:w="2160"/>
          </w:tcPr>
          <w:p>
            <w:r>
              <w:rPr>
                <w:sz w:val="18"/>
              </w:rPr>
              <w:t>39 blocks</w:t>
            </w:r>
          </w:p>
        </w:tc>
        <w:tc>
          <w:tcPr>
            <w:tcW w:type="dxa" w:w="2160"/>
          </w:tcPr>
          <w:p>
            <w:r>
              <w:rPr>
                <w:sz w:val="18"/>
              </w:rPr>
              <w:t>312 blocks</w:t>
            </w:r>
          </w:p>
        </w:tc>
        <w:tc>
          <w:tcPr>
            <w:tcW w:type="dxa" w:w="2160"/>
          </w:tcPr>
          <w:p>
            <w:r>
              <w:rPr>
                <w:sz w:val="18"/>
              </w:rPr>
              <w:t>~400 blocks</w:t>
            </w:r>
          </w:p>
        </w:tc>
      </w:tr>
      <w:tr>
        <w:tc>
          <w:tcPr>
            <w:tcW w:type="dxa" w:w="2160"/>
          </w:tcPr>
          <w:p>
            <w:r>
              <w:rPr>
                <w:sz w:val="18"/>
              </w:rPr>
              <w:t>medium (12 steps)</w:t>
            </w:r>
          </w:p>
        </w:tc>
        <w:tc>
          <w:tcPr>
            <w:tcW w:type="dxa" w:w="2160"/>
          </w:tcPr>
          <w:p>
            <w:r>
              <w:rPr>
                <w:sz w:val="18"/>
              </w:rPr>
              <w:t>169 blocks</w:t>
            </w:r>
          </w:p>
        </w:tc>
        <w:tc>
          <w:tcPr>
            <w:tcW w:type="dxa" w:w="2160"/>
          </w:tcPr>
          <w:p>
            <w:r>
              <w:rPr>
                <w:sz w:val="18"/>
              </w:rPr>
              <w:t>1,352 blocks</w:t>
            </w:r>
          </w:p>
        </w:tc>
        <w:tc>
          <w:tcPr>
            <w:tcW w:type="dxa" w:w="2160"/>
          </w:tcPr>
          <w:p>
            <w:r>
              <w:rPr>
                <w:sz w:val="18"/>
              </w:rPr>
              <w:t>~1,400 blocks</w:t>
            </w:r>
          </w:p>
        </w:tc>
      </w:tr>
      <w:tr>
        <w:tc>
          <w:tcPr>
            <w:tcW w:type="dxa" w:w="2160"/>
          </w:tcPr>
          <w:p>
            <w:r>
              <w:rPr>
                <w:sz w:val="18"/>
              </w:rPr>
              <w:t>long (24 steps)</w:t>
            </w:r>
          </w:p>
        </w:tc>
        <w:tc>
          <w:tcPr>
            <w:tcW w:type="dxa" w:w="2160"/>
          </w:tcPr>
          <w:p>
            <w:r>
              <w:rPr>
                <w:sz w:val="18"/>
              </w:rPr>
              <w:t>469 blocks</w:t>
            </w:r>
          </w:p>
        </w:tc>
        <w:tc>
          <w:tcPr>
            <w:tcW w:type="dxa" w:w="2160"/>
          </w:tcPr>
          <w:p>
            <w:r>
              <w:rPr>
                <w:sz w:val="18"/>
              </w:rPr>
              <w:t>3,752 blocks</w:t>
            </w:r>
          </w:p>
        </w:tc>
        <w:tc>
          <w:tcPr>
            <w:tcW w:type="dxa" w:w="2160"/>
          </w:tcPr>
          <w:p>
            <w:r>
              <w:rPr>
                <w:sz w:val="18"/>
              </w:rPr>
              <w:t>~4,000 blocks</w:t>
            </w:r>
          </w:p>
        </w:tc>
      </w:tr>
      <w:tr>
        <w:tc>
          <w:tcPr>
            <w:tcW w:type="dxa" w:w="2160"/>
          </w:tcPr>
          <w:p>
            <w:r>
              <w:rPr>
                <w:sz w:val="18"/>
              </w:rPr>
              <w:t>high_var (10 steps, CV=0.9)</w:t>
            </w:r>
          </w:p>
        </w:tc>
        <w:tc>
          <w:tcPr>
            <w:tcW w:type="dxa" w:w="2160"/>
          </w:tcPr>
          <w:p>
            <w:r>
              <w:rPr>
                <w:sz w:val="18"/>
              </w:rPr>
              <w:t>~200 blocks (mean)</w:t>
            </w:r>
          </w:p>
        </w:tc>
        <w:tc>
          <w:tcPr>
            <w:tcW w:type="dxa" w:w="2160"/>
          </w:tcPr>
          <w:p>
            <w:r>
              <w:rPr>
                <w:sz w:val="18"/>
              </w:rPr>
              <w:t>~1,600 blocks</w:t>
            </w:r>
          </w:p>
        </w:tc>
        <w:tc>
          <w:tcPr>
            <w:tcW w:type="dxa" w:w="2160"/>
          </w:tcPr>
          <w:p>
            <w:r>
              <w:rPr>
                <w:sz w:val="18"/>
              </w:rPr>
              <w:t>~2,000 blocks</w:t>
            </w:r>
          </w:p>
        </w:tc>
      </w:tr>
    </w:tbl>
    <w:p/>
    <w:p>
      <w:r>
        <w:rPr>
          <w:b w:val="0"/>
          <w:i w:val="0"/>
        </w:rPr>
        <w:t>For mixed pools, dimension against the largest agent type present. A pool with even 25% long agents requires the same cache as 100% long agents. Under-sizing by even one session worth of blocks pushes the entire pool over the cliff into the 81–91% compute-waste regime, with no intermediate penalty level.</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8" name="Picture 18"/>
            <wp:cNvGraphicFramePr>
              <a:graphicFrameLocks noChangeAspect="1"/>
            </wp:cNvGraphicFramePr>
            <a:graphic>
              <a:graphicData uri="http://schemas.openxmlformats.org/drawingml/2006/picture">
                <pic:pic>
                  <pic:nvPicPr>
                    <pic:cNvPr id="0" name="fig10_full_compression_stack.png"/>
                    <pic:cNvPicPr/>
                  </pic:nvPicPr>
                  <pic:blipFill>
                    <a:blip r:embed="rId26"/>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r>
        <w:rPr>
          <w:b w:val="0"/>
          <w:i w:val="0"/>
        </w:rPr>
        <w:t>8. The thrashing cliff is a hard phase boundary: either 0% wasted or 81–91% wasted, no intermediate regime. Long agents (24 steps, 7,500-token max context) waste 91% of prefill compute even at 1,200-block caches. Incremental cache increases only help if they push the system below the thrashing threshold entirely.</w:t>
      </w:r>
    </w:p>
    <w:p>
      <w:r>
        <w:rPr>
          <w:b w:val="0"/>
          <w:i w:val="0"/>
        </w:rPr>
        <w:t>9. Heterogeneous pools are dominated by the worst agent type. Any long-agent presence drives compute overhead to 10×+ regardless of how many short agents share the pool. Cache must be provisioned for the largest type’s full working set × its concurrent count — not the average.</w:t>
      </w:r>
    </w:p>
    <w:p>
      <w:r>
        <w:rPr>
          <w:b w:val="0"/>
          <w:i w:val="0"/>
        </w:rPr>
        <w:t>10. Expert weight IO is the second IO wall in sparse MoE. For DeepSeek-V3, each CPU-offloaded layer adds 104 ms per forward pass (64.7× slower than HBM). The per-layer cost is constant and purely additive — no amortization. For smaller-expert models (Qwen3-Coder-Next, 30 MB/layer), CPU-resident computation beats PCIe streaming when VRAM &lt; 58 GB because CPU DRAM (200 GB/s) outpaces PCIe (25.2 GB/s) at these data volumes.</w:t>
      </w:r>
    </w:p>
    <w:p/>
    <w:p>
      <w:r>
        <w:rPr>
          <w:b w:val="0"/>
          <w:i/>
        </w:rPr>
        <w:t>The simulator runs without GPUs and can be extended with new techniques by specifying their IO and compute characteristics — no hardware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