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streams: compute, IO (memory transfers), and communication. KV cache prefetching overlaps the next layer’s IO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398891"/>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398891"/>
                    </a:xfrm>
                    <a:prstGeom prst="rect"/>
                  </pic:spPr>
                </pic:pic>
              </a:graphicData>
            </a:graphic>
          </wp:inline>
        </w:drawing>
      </w:r>
    </w:p>
    <w:p>
      <w:pPr>
        <w:jc w:val="center"/>
      </w:pPr>
      <w:r>
        <w:rPr>
          <w:i/>
          <w:color w:val="6A737D"/>
          <w:sz w:val="18"/>
        </w:rPr>
        <w:t>Figure 3: Sequential IO (top) vs. GPU-initiated prefetch (bottom). IO overlaps with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the total KV bytes loaded (IO) and the total FLOPs computed, so the ratio cancels. What does change the ratio is context length: longer contexts mean more KV bytes per request, but the MLP compute per token (which dominates at short contexts) stays fixed. As context grows, IO grows while MLP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4: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8" name="Picture 8"/>
            <wp:cNvGraphicFramePr>
              <a:graphicFrameLocks noChangeAspect="1"/>
            </wp:cNvGraphicFramePr>
            <a:graphic>
              <a:graphicData uri="http://schemas.openxmlformats.org/drawingml/2006/picture">
                <pic:pic>
                  <pic:nvPicPr>
                    <pic:cNvPr id="0" name="fig04_engram_pareto.png"/>
                    <pic:cNvPicPr/>
                  </pic:nvPicPr>
                  <pic:blipFill>
                    <a:blip r:embed="rId16"/>
                    <a:stretch>
                      <a:fillRect/>
                    </a:stretch>
                  </pic:blipFill>
                  <pic:spPr>
                    <a:xfrm>
                      <a:off x="0" y="0"/>
                      <a:ext cx="5669280" cy="1917395"/>
                    </a:xfrm>
                    <a:prstGeom prst="rect"/>
                  </pic:spPr>
                </pic:pic>
              </a:graphicData>
            </a:graphic>
          </wp:inline>
        </w:drawing>
      </w:r>
    </w:p>
    <w:p>
      <w:pPr>
        <w:jc w:val="center"/>
      </w:pPr>
      <w:r>
        <w:rPr>
          <w:i/>
          <w:color w:val="6A737D"/>
          <w:sz w:val="18"/>
        </w:rPr>
        <w:t>Figure 8: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IO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9" name="Picture 9"/>
            <wp:cNvGraphicFramePr>
              <a:graphicFrameLocks noChangeAspect="1"/>
            </wp:cNvGraphicFramePr>
            <a:graphic>
              <a:graphicData uri="http://schemas.openxmlformats.org/drawingml/2006/picture">
                <pic:pic>
                  <pic:nvPicPr>
                    <pic:cNvPr id="0" name="fig05_turboquant_impact.png"/>
                    <pic:cNvPicPr/>
                  </pic:nvPicPr>
                  <pic:blipFill>
                    <a:blip r:embed="rId17"/>
                    <a:stretch>
                      <a:fillRect/>
                    </a:stretch>
                  </pic:blipFill>
                  <pic:spPr>
                    <a:xfrm>
                      <a:off x="0" y="0"/>
                      <a:ext cx="5669280" cy="2243545"/>
                    </a:xfrm>
                    <a:prstGeom prst="rect"/>
                  </pic:spPr>
                </pic:pic>
              </a:graphicData>
            </a:graphic>
          </wp:inline>
        </w:drawing>
      </w:r>
    </w:p>
    <w:p>
      <w:pPr>
        <w:jc w:val="center"/>
      </w:pPr>
      <w:r>
        <w:rPr>
          <w:i/>
          <w:color w:val="6A737D"/>
          <w:sz w:val="18"/>
        </w:rPr>
        <w:t>Figure 9: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0" name="Picture 10"/>
            <wp:cNvGraphicFramePr>
              <a:graphicFrameLocks noChangeAspect="1"/>
            </wp:cNvGraphicFramePr>
            <a:graphic>
              <a:graphicData uri="http://schemas.openxmlformats.org/drawingml/2006/picture">
                <pic:pic>
                  <pic:nvPicPr>
                    <pic:cNvPr id="0" name="fig11_prefix_caching.png"/>
                    <pic:cNvPicPr/>
                  </pic:nvPicPr>
                  <pic:blipFill>
                    <a:blip r:embed="rId18"/>
                    <a:stretch>
                      <a:fillRect/>
                    </a:stretch>
                  </pic:blipFill>
                  <pic:spPr>
                    <a:xfrm>
                      <a:off x="0" y="0"/>
                      <a:ext cx="5669280" cy="2042875"/>
                    </a:xfrm>
                    <a:prstGeom prst="rect"/>
                  </pic:spPr>
                </pic:pic>
              </a:graphicData>
            </a:graphic>
          </wp:inline>
        </w:drawing>
      </w:r>
    </w:p>
    <w:p>
      <w:pPr>
        <w:jc w:val="center"/>
      </w:pPr>
      <w:r>
        <w:rPr>
          <w:i/>
          <w:color w:val="6A737D"/>
          <w:sz w:val="18"/>
        </w:rPr>
        <w:t>Figure 10: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1" name="Picture 11"/>
            <wp:cNvGraphicFramePr>
              <a:graphicFrameLocks noChangeAspect="1"/>
            </wp:cNvGraphicFramePr>
            <a:graphic>
              <a:graphicData uri="http://schemas.openxmlformats.org/drawingml/2006/picture">
                <pic:pic>
                  <pic:nvPicPr>
                    <pic:cNvPr id="0" name="fig14_thrashing_phases.png"/>
                    <pic:cNvPicPr/>
                  </pic:nvPicPr>
                  <pic:blipFill>
                    <a:blip r:embed="rId19"/>
                    <a:stretch>
                      <a:fillRect/>
                    </a:stretch>
                  </pic:blipFill>
                  <pic:spPr>
                    <a:xfrm>
                      <a:off x="0" y="0"/>
                      <a:ext cx="5669280" cy="2242327"/>
                    </a:xfrm>
                    <a:prstGeom prst="rect"/>
                  </pic:spPr>
                </pic:pic>
              </a:graphicData>
            </a:graphic>
          </wp:inline>
        </w:drawing>
      </w:r>
    </w:p>
    <w:p>
      <w:pPr>
        <w:jc w:val="center"/>
      </w:pPr>
      <w:r>
        <w:rPr>
          <w:i/>
          <w:color w:val="6A737D"/>
          <w:sz w:val="18"/>
        </w:rPr>
        <w:t>Figure 11: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2" name="Picture 12"/>
            <wp:cNvGraphicFramePr>
              <a:graphicFrameLocks noChangeAspect="1"/>
            </wp:cNvGraphicFramePr>
            <a:graphic>
              <a:graphicData uri="http://schemas.openxmlformats.org/drawingml/2006/picture">
                <pic:pic>
                  <pic:nvPicPr>
                    <pic:cNvPr id="0" name="fig06_thrashing_cliff.png"/>
                    <pic:cNvPicPr/>
                  </pic:nvPicPr>
                  <pic:blipFill>
                    <a:blip r:embed="rId20"/>
                    <a:stretch>
                      <a:fillRect/>
                    </a:stretch>
                  </pic:blipFill>
                  <pic:spPr>
                    <a:xfrm>
                      <a:off x="0" y="0"/>
                      <a:ext cx="5669280" cy="2219559"/>
                    </a:xfrm>
                    <a:prstGeom prst="rect"/>
                  </pic:spPr>
                </pic:pic>
              </a:graphicData>
            </a:graphic>
          </wp:inline>
        </w:drawing>
      </w:r>
    </w:p>
    <w:p>
      <w:pPr>
        <w:jc w:val="center"/>
      </w:pPr>
      <w:r>
        <w:rPr>
          <w:i/>
          <w:color w:val="6A737D"/>
          <w:sz w:val="18"/>
        </w:rPr>
        <w:t>Figure 12: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What If You Load Instead of Recompute?</w:t>
      </w:r>
    </w:p>
    <w:p>
      <w:r>
        <w:rPr>
          <w:b w:val="0"/>
          <w:i w:val="0"/>
        </w:rPr>
        <w:t>The numbers above assume the standard recovery strategy: when a cache miss occurs, the server recomputes the evicted KV entries via prefill. But there is an alternative — keep evicted KV in host DRAM as a second-tier cache, and reload it over PCIe when needed. This converts the miss penalty from a compute cost to an IO cost.</w:t>
      </w:r>
    </w:p>
    <w:p>
      <w:r>
        <w:rPr>
          <w:b w:val="0"/>
          <w:i w:val="0"/>
        </w:rPr>
        <w:t>We ran the same agentic workload through a two-tier cache: a small HBM tier (same as before) backed by a host DRAM tier at 10× the HBM capacity. On each request, tokens found in HBM are free; tokens evicted from HBM but still in DRAM are reloaded over PCIe (0.021 ms/token on A100, PCIe Gen4); only tokens missing from both tiers trigger a full prefill recompute (0.080 ms/token).</w:t>
      </w:r>
    </w:p>
    <w:p>
      <w:pPr>
        <w:jc w:val="center"/>
      </w:pPr>
      <w:r>
        <w:drawing>
          <wp:inline xmlns:a="http://schemas.openxmlformats.org/drawingml/2006/main" xmlns:pic="http://schemas.openxmlformats.org/drawingml/2006/picture">
            <wp:extent cx="5669280" cy="2244342"/>
            <wp:docPr id="13" name="Picture 13"/>
            <wp:cNvGraphicFramePr>
              <a:graphicFrameLocks noChangeAspect="1"/>
            </wp:cNvGraphicFramePr>
            <a:graphic>
              <a:graphicData uri="http://schemas.openxmlformats.org/drawingml/2006/picture">
                <pic:pic>
                  <pic:nvPicPr>
                    <pic:cNvPr id="0" name="fig15_pcie_kv_reload.png"/>
                    <pic:cNvPicPr/>
                  </pic:nvPicPr>
                  <pic:blipFill>
                    <a:blip r:embed="rId21"/>
                    <a:stretch>
                      <a:fillRect/>
                    </a:stretch>
                  </pic:blipFill>
                  <pic:spPr>
                    <a:xfrm>
                      <a:off x="0" y="0"/>
                      <a:ext cx="5669280" cy="2244342"/>
                    </a:xfrm>
                    <a:prstGeom prst="rect"/>
                  </pic:spPr>
                </pic:pic>
              </a:graphicData>
            </a:graphic>
          </wp:inline>
        </w:drawing>
      </w:r>
    </w:p>
    <w:p>
      <w:pPr>
        <w:jc w:val="center"/>
      </w:pPr>
      <w:r>
        <w:rPr>
          <w:i/>
          <w:color w:val="6A737D"/>
          <w:sz w:val="18"/>
        </w:rPr>
        <w:t>Figure 13: Left — Savings scale with tier-2 IO bandwidth. NVMe is too slow for 7B (reload costs more than recompute); PCIe Gen4 recovers 60% of wasted compute; CXL reaches 76%. Right — 70B with GQA achieves 80% savings because prefill is expensive but GQA’s 8× smaller KV makes PCIe reload 61× cheaper than recomputing.</w:t>
      </w:r>
    </w:p>
    <w:p/>
    <w:p>
      <w:r>
        <w:rPr>
          <w:b w:val="0"/>
          <w:i w:val="0"/>
        </w:rPr>
        <w:t>In the worst thrashing configuration (8 concurrent, 400-block HBM), the DRAM tier catches 62.6% of tokens that would have been recomputed. Total prefill compute drops from 71.9 s to 28.6 s — a 60% reduction in wasted compute. The average per-request cost falls from 92.2 ms to 36.7 ms.</w:t>
      </w:r>
    </w:p>
    <w:p>
      <w:r>
        <w:rPr>
          <w:b w:val="0"/>
          <w:i w:val="0"/>
        </w:rPr>
        <w:t>Two findings are striking from an IO perspective. First, bandwidth determines everything: NVMe (7 GB/s) is actually 14% worse than recomputing because disk reload (0.094 ms/token) costs more than prefill (0.080 ms/token). PCIe Gen3 is the minimum viable tier-2. Second, the DRAM tier needs only ~2× HBM capacity — beyond that, additional host memory is unused because the LRU eviction horizon matches the block-reuse horizon.</w:t>
      </w:r>
    </w:p>
    <w:p>
      <w:r>
        <w:rPr>
          <w:b w:val="0"/>
          <w:i w:val="0"/>
        </w:rPr>
        <w:t>For larger models the IO calculus shifts dramatically. Llama-2-70B with GQA has 8× smaller KV per token than 7B (320 KB vs 512 KB, thanks to grouped queries) but 10× more expensive prefill. The reload-vs-recompute ratio jumps to 61×, recovering 80% of thrashing waste. This is the IO perspective in full: the same KV compression that reduces the IO wall during normal decode also enables IO-based recovery from cache failures. The architecture’s IO footprint determines not just steady-state performance but also resilience to capacity failures.</w:t>
      </w:r>
    </w:p>
    <w:p>
      <w:pPr>
        <w:jc w:val="center"/>
      </w:pPr>
      <w:r>
        <w:drawing>
          <wp:inline xmlns:a="http://schemas.openxmlformats.org/drawingml/2006/main" xmlns:pic="http://schemas.openxmlformats.org/drawingml/2006/picture">
            <wp:extent cx="5669280" cy="2848743"/>
            <wp:docPr id="14" name="Picture 14"/>
            <wp:cNvGraphicFramePr>
              <a:graphicFrameLocks noChangeAspect="1"/>
            </wp:cNvGraphicFramePr>
            <a:graphic>
              <a:graphicData uri="http://schemas.openxmlformats.org/drawingml/2006/picture">
                <pic:pic>
                  <pic:nvPicPr>
                    <pic:cNvPr id="0" name="fig16_ttft_over_time.png"/>
                    <pic:cNvPicPr/>
                  </pic:nvPicPr>
                  <pic:blipFill>
                    <a:blip r:embed="rId22"/>
                    <a:stretch>
                      <a:fillRect/>
                    </a:stretch>
                  </pic:blipFill>
                  <pic:spPr>
                    <a:xfrm>
                      <a:off x="0" y="0"/>
                      <a:ext cx="5669280" cy="2848743"/>
                    </a:xfrm>
                    <a:prstGeom prst="rect"/>
                  </pic:spPr>
                </pic:pic>
              </a:graphicData>
            </a:graphic>
          </wp:inline>
        </w:drawing>
      </w:r>
    </w:p>
    <w:p>
      <w:pPr>
        <w:jc w:val="center"/>
      </w:pPr>
      <w:r>
        <w:rPr>
          <w:i/>
          <w:color w:val="6A737D"/>
          <w:sz w:val="18"/>
        </w:rPr>
        <w:t>Figure 14: Top — Per-request TTFT over time for the 8-concurrent / 400-block configuration, under three cache conditions. Baseline (recompute, red) inflates to ~120 ms during sustained thrashing and recovers during drain. Tiered (PCIe reload, blue) stays at ~40 ms, saving ~61% of latency. The oracle unlimited-cache line (dashed green) sits at ~15 ms — the theoretical floor. The red band shows what PCIe reload reclaims; the blue band shows the irreducible residual. Bottom — HBM hit rate mirrors the TTFT curves: thrashing collapses hit rate, inflating latency; the DRAM tier absorbs most of the damage via IO instead of compute.</w:t>
      </w:r>
    </w:p>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5" name="Picture 15"/>
            <wp:cNvGraphicFramePr>
              <a:graphicFrameLocks noChangeAspect="1"/>
            </wp:cNvGraphicFramePr>
            <a:graphic>
              <a:graphicData uri="http://schemas.openxmlformats.org/drawingml/2006/picture">
                <pic:pic>
                  <pic:nvPicPr>
                    <pic:cNvPr id="0" name="fig07_utilization_lies_hetero.png"/>
                    <pic:cNvPicPr/>
                  </pic:nvPicPr>
                  <pic:blipFill>
                    <a:blip r:embed="rId23"/>
                    <a:stretch>
                      <a:fillRect/>
                    </a:stretch>
                  </pic:blipFill>
                  <pic:spPr>
                    <a:xfrm>
                      <a:off x="0" y="0"/>
                      <a:ext cx="5669280" cy="2252441"/>
                    </a:xfrm>
                    <a:prstGeom prst="rect"/>
                  </pic:spPr>
                </pic:pic>
              </a:graphicData>
            </a:graphic>
          </wp:inline>
        </w:drawing>
      </w:r>
    </w:p>
    <w:p>
      <w:pPr>
        <w:jc w:val="center"/>
      </w:pPr>
      <w:r>
        <w:rPr>
          <w:i/>
          <w:color w:val="6A737D"/>
          <w:sz w:val="18"/>
        </w:rPr>
        <w:t>Figure 15: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6" name="Picture 16"/>
            <wp:cNvGraphicFramePr>
              <a:graphicFrameLocks noChangeAspect="1"/>
            </wp:cNvGraphicFramePr>
            <a:graphic>
              <a:graphicData uri="http://schemas.openxmlformats.org/drawingml/2006/picture">
                <pic:pic>
                  <pic:nvPicPr>
                    <pic:cNvPr id="0" name="fig10_full_compression_stack.png"/>
                    <pic:cNvPicPr/>
                  </pic:nvPicPr>
                  <pic:blipFill>
                    <a:blip r:embed="rId24"/>
                    <a:stretch>
                      <a:fillRect/>
                    </a:stretch>
                  </pic:blipFill>
                  <pic:spPr>
                    <a:xfrm>
                      <a:off x="0" y="0"/>
                      <a:ext cx="5669280" cy="2445809"/>
                    </a:xfrm>
                    <a:prstGeom prst="rect"/>
                  </pic:spPr>
                </pic:pic>
              </a:graphicData>
            </a:graphic>
          </wp:inline>
        </w:drawing>
      </w:r>
    </w:p>
    <w:p>
      <w:pPr>
        <w:jc w:val="center"/>
      </w:pPr>
      <w:r>
        <w:rPr>
          <w:i/>
          <w:color w:val="6A737D"/>
          <w:sz w:val="18"/>
        </w:rPr>
        <w:t>Figure 16: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PCIe KV reload recovers 60% of thrashing waste by converting misses from compute to IO. A host DRAM tier (just 2× HBM capacity) turns the binary cliff into a softer slope. For 70B GQA models, reload is 61× cheaper than recompute, recovering 80% of waste.</w:t>
      </w:r>
    </w:p>
    <w:p>
      <w:r>
        <w:rPr>
          <w:b w:val="0"/>
          <w:i w:val="0"/>
        </w:rPr>
        <w:t>7. Faster GPUs widen the IO gap. H100’s 3.2× compute improvement outpaces its 2× bandwidth improvement. Each GPU generation makes KV IO relatively more of the bottleneck.</w:t>
      </w:r>
    </w:p>
    <w:p/>
    <w:p>
      <w:r>
        <w:rPr>
          <w:b w:val="0"/>
          <w:i/>
        </w:rPr>
        <w:t>The simulator runs without GPUs and can be extended with new techniques by specifying their IO and compute characteristics — no hardware required.</w:t>
      </w:r>
    </w:p>
    <w:p/>
    <w:p>
      <w:pPr>
        <w:jc w:val="center"/>
      </w:pPr>
      <w:r>
        <w:rPr>
          <w:i/>
          <w:color w:val="959DA5"/>
          <w:sz w:val="18"/>
        </w:rPr>
        <w:t>InferLens: High-Fidelity LLM Inference Simulator  ·  MSR-India Systems Group &amp; Systems for AI Lab @ Georgia Tech  ·  MLSys’24  (arxiv.org/abs/2405.05465)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