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Total prefill compute drops from 71.9 s to 28.6 s — a 60% reduction in wasted compute. The average per-request cost falls from 92.2 ms to 36.7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4" name="Picture 14"/>
            <wp:cNvGraphicFramePr>
              <a:graphicFrameLocks noChangeAspect="1"/>
            </wp:cNvGraphicFramePr>
            <a:graphic>
              <a:graphicData uri="http://schemas.openxmlformats.org/drawingml/2006/picture">
                <pic:pic>
                  <pic:nvPicPr>
                    <pic:cNvPr id="0" name="fig07_utilization_lies_hetero.png"/>
                    <pic:cNvPicPr/>
                  </pic:nvPicPr>
                  <pic:blipFill>
                    <a:blip r:embed="rId22"/>
                    <a:stretch>
                      <a:fillRect/>
                    </a:stretch>
                  </pic:blipFill>
                  <pic:spPr>
                    <a:xfrm>
                      <a:off x="0" y="0"/>
                      <a:ext cx="5669280" cy="2252441"/>
                    </a:xfrm>
                    <a:prstGeom prst="rect"/>
                  </pic:spPr>
                </pic:pic>
              </a:graphicData>
            </a:graphic>
          </wp:inline>
        </w:drawing>
      </w:r>
    </w:p>
    <w:p>
      <w:pPr>
        <w:jc w:val="center"/>
      </w:pPr>
      <w:r>
        <w:rPr>
          <w:i/>
          <w:color w:val="6A737D"/>
          <w:sz w:val="18"/>
        </w:rPr>
        <w:t>Figure 14: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5" name="Picture 15"/>
            <wp:cNvGraphicFramePr>
              <a:graphicFrameLocks noChangeAspect="1"/>
            </wp:cNvGraphicFramePr>
            <a:graphic>
              <a:graphicData uri="http://schemas.openxmlformats.org/drawingml/2006/picture">
                <pic:pic>
                  <pic:nvPicPr>
                    <pic:cNvPr id="0" name="fig10_full_compression_stack.png"/>
                    <pic:cNvPicPr/>
                  </pic:nvPicPr>
                  <pic:blipFill>
                    <a:blip r:embed="rId23"/>
                    <a:stretch>
                      <a:fillRect/>
                    </a:stretch>
                  </pic:blipFill>
                  <pic:spPr>
                    <a:xfrm>
                      <a:off x="0" y="0"/>
                      <a:ext cx="5669280" cy="2445809"/>
                    </a:xfrm>
                    <a:prstGeom prst="rect"/>
                  </pic:spPr>
                </pic:pic>
              </a:graphicData>
            </a:graphic>
          </wp:inline>
        </w:drawing>
      </w:r>
    </w:p>
    <w:p>
      <w:pPr>
        <w:jc w:val="center"/>
      </w:pPr>
      <w:r>
        <w:rPr>
          <w:i/>
          <w:color w:val="6A737D"/>
          <w:sz w:val="18"/>
        </w:rPr>
        <w:t>Figure 15: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60% of thrashing waste by converting misses from compute to IO. A host DRAM tier (just 2× HBM capacity) turns the binary cliff into a softer slope.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