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2848743"/>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2848743"/>
                    </a:xfrm>
                    <a:prstGeom prst="rect"/>
                  </pic:spPr>
                </pic:pic>
              </a:graphicData>
            </a:graphic>
          </wp:inline>
        </w:drawing>
      </w:r>
    </w:p>
    <w:p>
      <w:pPr>
        <w:jc w:val="center"/>
      </w:pPr>
      <w:r>
        <w:rPr>
          <w:i/>
          <w:color w:val="6A737D"/>
          <w:sz w:val="18"/>
        </w:rPr>
        <w:t>Figure 14: Per-request TTFT over time for the 8-concurrent / 400-block configuration on A100 + Llama-2-70B (GQA), with PCIe reload overlapped against residual recompute (wall-clock = max(IO, compute)). Baseline (recompute, red) inflates to ~900–1,200 ms during sustained thrashing. The oracle unlimited-cache line (dashed green) sits at ~171 ms — the theoretical floor. Tiered (blue) lands on top of the oracle: because the reload-vs-recompute ratio is 61× for 70B GQA, the PCIe DMA always finishes well inside the time the GPU is already busy computing the residual miss tokens. The red band is the full cost of thrashing above the floor (~81%); the blue band (~0%) is visually collapsed — there is effectively no residual once the IO is hidden behind compute. Bottom — HBM hit rate mirrors the thrashing phase. The story is purely IO: the same GQA compression that shrinks the steady-state IO wall also makes cache-miss recovery free.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