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2025 (TurboQuant) and January 2025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(SM, DMA, NCCL)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units: SM (compute), DMA (memory transfers), and NCCL (communication). KV cache prefetching overlaps the next layer’s DMA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419228"/>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419228"/>
                    </a:xfrm>
                    <a:prstGeom prst="rect"/>
                  </pic:spPr>
                </pic:pic>
              </a:graphicData>
            </a:graphic>
          </wp:inline>
        </w:drawing>
      </w:r>
    </w:p>
    <w:p>
      <w:pPr>
        <w:jc w:val="center"/>
      </w:pPr>
      <w:r>
        <w:rPr>
          <w:i/>
          <w:color w:val="6A737D"/>
          <w:sz w:val="18"/>
        </w:rPr>
        <w:t>Figure 3: Sequential IO (top) vs. GPU-initiated prefetch (bottom). DMA overlaps with SM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DMA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DMA never stalls (9–64× budget).</w:t>
      </w:r>
    </w:p>
    <w:p/>
    <w:p>
      <w:r>
        <w:rPr>
          <w:b w:val="0"/>
          <w:i w:val="0"/>
        </w:rPr>
        <w:t>The mechanism is straightforward: fewer routed experts = 24% less HBM IO per layer. The Engram lookup adds negligible overhead (&lt;0.1 ms per Engram layer) because the DMA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DMA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2025)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3" name="Picture 13"/>
            <wp:cNvGraphicFramePr>
              <a:graphicFrameLocks noChangeAspect="1"/>
            </wp:cNvGraphicFramePr>
            <a:graphic>
              <a:graphicData uri="http://schemas.openxmlformats.org/drawingml/2006/picture">
                <pic:pic>
                  <pic:nvPicPr>
                    <pic:cNvPr id="0" name="fig07_utilization_lies_hetero.png"/>
                    <pic:cNvPicPr/>
                  </pic:nvPicPr>
                  <pic:blipFill>
                    <a:blip r:embed="rId21"/>
                    <a:stretch>
                      <a:fillRect/>
                    </a:stretch>
                  </pic:blipFill>
                  <pic:spPr>
                    <a:xfrm>
                      <a:off x="0" y="0"/>
                      <a:ext cx="5669280" cy="2252441"/>
                    </a:xfrm>
                    <a:prstGeom prst="rect"/>
                  </pic:spPr>
                </pic:pic>
              </a:graphicData>
            </a:graphic>
          </wp:inline>
        </w:drawing>
      </w:r>
    </w:p>
    <w:p>
      <w:pPr>
        <w:jc w:val="center"/>
      </w:pPr>
      <w:r>
        <w:rPr>
          <w:i/>
          <w:color w:val="6A737D"/>
          <w:sz w:val="18"/>
        </w:rPr>
        <w:t>Figure 13: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4" name="Picture 14"/>
            <wp:cNvGraphicFramePr>
              <a:graphicFrameLocks noChangeAspect="1"/>
            </wp:cNvGraphicFramePr>
            <a:graphic>
              <a:graphicData uri="http://schemas.openxmlformats.org/drawingml/2006/picture">
                <pic:pic>
                  <pic:nvPicPr>
                    <pic:cNvPr id="0" name="fig10_full_compression_stack.png"/>
                    <pic:cNvPicPr/>
                  </pic:nvPicPr>
                  <pic:blipFill>
                    <a:blip r:embed="rId22"/>
                    <a:stretch>
                      <a:fillRect/>
                    </a:stretch>
                  </pic:blipFill>
                  <pic:spPr>
                    <a:xfrm>
                      <a:off x="0" y="0"/>
                      <a:ext cx="5669280" cy="2445809"/>
                    </a:xfrm>
                    <a:prstGeom prst="rect"/>
                  </pic:spPr>
                </pic:pic>
              </a:graphicData>
            </a:graphic>
          </wp:inline>
        </w:drawing>
      </w:r>
    </w:p>
    <w:p>
      <w:pPr>
        <w:jc w:val="center"/>
      </w:pPr>
      <w:r>
        <w:rPr>
          <w:i/>
          <w:color w:val="6A737D"/>
          <w:sz w:val="18"/>
        </w:rPr>
        <w:t>Figure 14: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DMA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