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but GQA’s 8× smaller KV makes PCIe reload 61× cheaper than recomputing.</w:t>
      </w:r>
    </w:p>
    <w:p/>
    <w:p>
      <w:r>
        <w:rPr>
          <w:b w:val="0"/>
          <w:i w:val="0"/>
        </w:rPr>
        <w:t>In the worst thrashing configuration (8 concurrent, 400-block HBM), the DRAM tier catches 62.6% of tokens that would have been recomputed. Total prefill compute drops from 71.9 s to 28.6 s — a 60% reduction in wasted compute. The average per-request cost falls from 92.2 ms to 36.7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smaller KV per token than 7B (320 KB vs 512 KB, thanks to grouped queries) but 10× more expensive prefill. The reload-vs-recompute ratio jumps to 61×, recovering 80% of thrashing waste. This is the IO perspective in full: the same KV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2848743"/>
            <wp:docPr id="14" name="Picture 14"/>
            <wp:cNvGraphicFramePr>
              <a:graphicFrameLocks noChangeAspect="1"/>
            </wp:cNvGraphicFramePr>
            <a:graphic>
              <a:graphicData uri="http://schemas.openxmlformats.org/drawingml/2006/picture">
                <pic:pic>
                  <pic:nvPicPr>
                    <pic:cNvPr id="0" name="fig16_ttft_over_time.png"/>
                    <pic:cNvPicPr/>
                  </pic:nvPicPr>
                  <pic:blipFill>
                    <a:blip r:embed="rId22"/>
                    <a:stretch>
                      <a:fillRect/>
                    </a:stretch>
                  </pic:blipFill>
                  <pic:spPr>
                    <a:xfrm>
                      <a:off x="0" y="0"/>
                      <a:ext cx="5669280" cy="2848743"/>
                    </a:xfrm>
                    <a:prstGeom prst="rect"/>
                  </pic:spPr>
                </pic:pic>
              </a:graphicData>
            </a:graphic>
          </wp:inline>
        </w:drawing>
      </w:r>
    </w:p>
    <w:p>
      <w:pPr>
        <w:jc w:val="center"/>
      </w:pPr>
      <w:r>
        <w:rPr>
          <w:i/>
          <w:color w:val="6A737D"/>
          <w:sz w:val="18"/>
        </w:rPr>
        <w:t>Figure 14: Top — Per-request TTFT over time for the 8-concurrent / 400-block configuration, under three cache conditions. Baseline (recompute, red) inflates to ~120 ms during sustained thrashing and recovers during drain. Tiered (PCIe reload, blue) stays at ~40 ms, saving ~61% of latency. The oracle unlimited-cache line (dashed green) sits at ~15 ms — the theoretical floor. The red band shows what PCIe reload reclaims; the blue band shows the irreducible residual. Bottom — HBM hit rate mirrors the TTFT curves: thrashing collapses hit rate, inflating latency; the DRAM tier absorbs most of the damage via IO instead of compute.</w:t>
      </w:r>
    </w:p>
    <w:p/>
    <w:p>
      <w:r>
        <w:rPr>
          <w:b w:val="0"/>
          <w:i w:val="0"/>
        </w:rPr>
        <w:t>A subtlety worth flagging: the experiment sums PCIe reload time and remaining-recompute time sequentially, which overstates the blue–green gap. In a realistic prefill, the PCIe DMA for evicted KV can overlap with the GPU compute for the tokens that actually need recomputing — the same overlap principle as the GPU-initiated KV prefetching from Section 3. Under that accounting the tiered TTFT becomes max(IO, compute) rather than their sum, shrinking the gap to oracle from ~25 ms to ~2 ms. In other words: the PCIe transfer cost is small enough to hide behind compute the request was already going to do. The blue line in Figure 14 is a conservative upper bound; the true tiered TTFT sits almost on top of the green oracle line.</w:t>
      </w:r>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5" name="Picture 15"/>
            <wp:cNvGraphicFramePr>
              <a:graphicFrameLocks noChangeAspect="1"/>
            </wp:cNvGraphicFramePr>
            <a:graphic>
              <a:graphicData uri="http://schemas.openxmlformats.org/drawingml/2006/picture">
                <pic:pic>
                  <pic:nvPicPr>
                    <pic:cNvPr id="0" name="fig07_utilization_lies_hetero.png"/>
                    <pic:cNvPicPr/>
                  </pic:nvPicPr>
                  <pic:blipFill>
                    <a:blip r:embed="rId23"/>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6" name="Picture 16"/>
            <wp:cNvGraphicFramePr>
              <a:graphicFrameLocks noChangeAspect="1"/>
            </wp:cNvGraphicFramePr>
            <a:graphic>
              <a:graphicData uri="http://schemas.openxmlformats.org/drawingml/2006/picture">
                <pic:pic>
                  <pic:nvPicPr>
                    <pic:cNvPr id="0" name="fig10_full_compression_stack.png"/>
                    <pic:cNvPicPr/>
                  </pic:nvPicPr>
                  <pic:blipFill>
                    <a:blip r:embed="rId24"/>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60% of thrashing waste by converting misses from compute to IO. A host DRAM tier (just 2× HBM capacity) turns the binary cliff into a softer slope.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