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Simulating the KV Cache Bottleneck</w:t>
      </w:r>
    </w:p>
    <w:p>
      <w:pPr>
        <w:jc w:val="center"/>
      </w:pPr>
      <w:r>
        <w:rPr>
          <w:i/>
          <w:color w:val="6A737D"/>
          <w:sz w:val="28"/>
        </w:rPr>
        <w:t>From Dense Attention to Sparse Lookup:</w:t>
        <w:br/>
        <w:t>Characterizing IO-Bound LLM Inference with Vidur</w:t>
      </w:r>
    </w:p>
    <w:p/>
    <w:p>
      <w:pPr>
        <w:pStyle w:val="Heading1"/>
      </w:pPr>
      <w:r>
        <w:t>Abstract</w:t>
      </w:r>
    </w:p>
    <w:p>
      <w:r>
        <w:rPr>
          <w:b w:val="0"/>
          <w:i w:val="0"/>
        </w:rPr>
        <w:t>Autoregressive LLM decoding is fundamentally IO-bound: every generated token requires loading the full KV cache from GPU memory, and that load dominates compute by up to 4.94×. We use Vidur, a high-fidelity LLM inference simulator extended with per-layer timing, GPU-initiated KV cache prefetching, and first-principles MoE modeling, to characterize this bottleneck across the full landscape of modern techniques: from dense MHA through GQA and MLA, to DeepSeek’s sparse attention and Engram conditional memory, and Google’s TurboQuant 3-bit KV quantization. We then study prefix caching and its catastrophic failure mode — cache thrashing in agentic workloads — where 81–84% of prefill compute is wasted while standard utilization metrics report nothing wrong.</w:t>
      </w:r>
    </w:p>
    <w:p>
      <w:r>
        <w:rPr>
          <w:b w:val="0"/>
          <w:i w:val="0"/>
        </w:rPr>
        <w:t>A key contribution is the simulator’s flexibility: without requiring any GPU hardware, we reproduce the performance characteristics of techniques published as recently as April 2025 (TurboQuant) and January 2025 (Engram), obtaining results quantitatively consistent with their respective papers. All experiments, scripts, and data are open-source.</w:t>
      </w:r>
    </w:p>
    <w:p/>
    <w:p>
      <w:r>
        <w:br w:type="page"/>
      </w:r>
    </w:p>
    <w:p>
      <w:pPr>
        <w:pStyle w:val="Heading1"/>
      </w:pPr>
      <w:r>
        <w:t>1. Vidur: A Flexible LLM Inference Simulator</w:t>
      </w:r>
    </w:p>
    <w:p>
      <w:r>
        <w:rPr>
          <w:b w:val="0"/>
          <w:i w:val="0"/>
        </w:rPr>
        <w:t>Studying LLM inference performance is expensive. Profiling a single model configuration on a single GPU SKU at a single batch size requires dedicated hardware, careful benchmarking, and hours of wall-clock time. Sweeping across architectures (dense vs. MoE), attention mechanisms (MHA, GQA, MLA), hardware generations (A100, H100), interconnects (PCIe Gen3–Gen5, NVLink), and workload patterns (static chat, agentic tool-use) quickly becomes intractable.</w:t>
      </w:r>
    </w:p>
    <w:p>
      <w:r>
        <w:rPr>
          <w:b w:val="0"/>
          <w:i w:val="0"/>
        </w:rPr>
        <w:t>Vidur addresses this by simulating the full LLM inference stack without GPUs. Originally developed as an event-driven simulator with production-grade batch scheduling (vLLM, Sarathi, PDD) and profiling-based execution time prediction, we extended it with:</w:t>
      </w:r>
    </w:p>
    <w:p>
      <w:r>
        <w:rPr>
          <w:b w:val="0"/>
          <w:i w:val="0"/>
        </w:rPr>
        <w:t>•  Per-layer timing decomposition into 7 independent components (attention compute, MLP/MoE compute, KV cache load, expert weight load, TP communication, EP communication, prefetch overlap savings)</w:t>
      </w:r>
    </w:p>
    <w:p>
      <w:r>
        <w:rPr>
          <w:b w:val="0"/>
          <w:i w:val="0"/>
        </w:rPr>
        <w:t>•  Three-stream hardware scheduling (SM, DMA, NCCL) with overlap computation</w:t>
      </w:r>
    </w:p>
    <w:p>
      <w:r>
        <w:rPr>
          <w:b w:val="0"/>
          <w:i w:val="0"/>
        </w:rPr>
        <w:t>•  GPU-initiated KV cache prefetching with analytical overlap budgets</w:t>
      </w:r>
    </w:p>
    <w:p>
      <w:r>
        <w:rPr>
          <w:b w:val="0"/>
          <w:i w:val="0"/>
        </w:rPr>
        <w:t>•  First-principles MoE timing using InferSim’s FLOPs-based model with empirical MFU values</w:t>
      </w:r>
    </w:p>
    <w:p>
      <w:r>
        <w:rPr>
          <w:b w:val="0"/>
          <w:i w:val="0"/>
        </w:rPr>
        <w:t>•  A radix-tree prefix cache manager with LRU eviction and block-level tracking</w:t>
      </w:r>
    </w:p>
    <w:p>
      <w:r>
        <w:rPr>
          <w:b w:val="0"/>
          <w:i w:val="0"/>
        </w:rPr>
        <w:t>•  Pluggable attention architecture models (MHA, GQA, MLA) with per-token KV sizing</w:t>
      </w:r>
    </w:p>
    <w:p>
      <w:r>
        <w:rPr>
          <w:b w:val="0"/>
          <w:i w:val="0"/>
        </w:rPr>
        <w:t>The result is a framework where adding a new technique — like TurboQuant’s 3-bit quantization or Engram’s conditional memory — requires only specifying its IO and compute characteristics, not running it on real hardware. The sections that follow are a tour of what this flexibility enables.</w:t>
      </w:r>
    </w:p>
    <w:p/>
    <w:p>
      <w:r>
        <w:br w:type="page"/>
      </w:r>
    </w:p>
    <w:p>
      <w:pPr>
        <w:pStyle w:val="Heading1"/>
      </w:pPr>
      <w:r>
        <w:t>2. Establishing the IO Wall</w:t>
      </w:r>
    </w:p>
    <w:p>
      <w:r>
        <w:rPr>
          <w:b w:val="0"/>
          <w:i w:val="0"/>
        </w:rPr>
        <w:t>Our first experiment decomposes decode latency at the per-layer level for two representative architectures: Llama-2-7B (dense transformer, MHA) and DeepSeek-V3 (MoE, MLA). Both run on simulated A100 GPUs with PCIe Gen4.</w:t>
      </w:r>
    </w:p>
    <w:p>
      <w:pPr>
        <w:pStyle w:val="Heading2"/>
      </w:pPr>
      <w:r>
        <w:t>Per-Layer Timing Breakdown</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rPr>
                <w:b/>
                <w:sz w:val="18"/>
              </w:rPr>
              <w:t>Component</w:t>
            </w:r>
          </w:p>
        </w:tc>
        <w:tc>
          <w:tcPr>
            <w:tcW w:type="dxa" w:w="2880"/>
          </w:tcPr>
          <w:p>
            <w:r>
              <w:rPr>
                <w:b/>
                <w:sz w:val="18"/>
              </w:rPr>
              <w:t>Llama-2-7B (MHA)</w:t>
            </w:r>
          </w:p>
        </w:tc>
        <w:tc>
          <w:tcPr>
            <w:tcW w:type="dxa" w:w="2880"/>
          </w:tcPr>
          <w:p>
            <w:r>
              <w:rPr>
                <w:b/>
                <w:sz w:val="18"/>
              </w:rPr>
              <w:t>DeepSeek-V3 (MLA)</w:t>
            </w:r>
          </w:p>
        </w:tc>
      </w:tr>
      <w:tr>
        <w:tc>
          <w:tcPr>
            <w:tcW w:type="dxa" w:w="2880"/>
          </w:tcPr>
          <w:p>
            <w:r>
              <w:rPr>
                <w:sz w:val="18"/>
              </w:rPr>
              <w:t>Attention compute</w:t>
            </w:r>
          </w:p>
        </w:tc>
        <w:tc>
          <w:tcPr>
            <w:tcW w:type="dxa" w:w="2880"/>
          </w:tcPr>
          <w:p>
            <w:r>
              <w:rPr>
                <w:sz w:val="18"/>
              </w:rPr>
              <w:t>0.462 ms</w:t>
            </w:r>
          </w:p>
        </w:tc>
        <w:tc>
          <w:tcPr>
            <w:tcW w:type="dxa" w:w="2880"/>
          </w:tcPr>
          <w:p>
            <w:r>
              <w:rPr>
                <w:sz w:val="18"/>
              </w:rPr>
              <w:t>0.208 ms</w:t>
            </w:r>
          </w:p>
        </w:tc>
      </w:tr>
      <w:tr>
        <w:tc>
          <w:tcPr>
            <w:tcW w:type="dxa" w:w="2880"/>
          </w:tcPr>
          <w:p>
            <w:r>
              <w:rPr>
                <w:sz w:val="18"/>
              </w:rPr>
              <w:t>MLP / MoE compute</w:t>
            </w:r>
          </w:p>
        </w:tc>
        <w:tc>
          <w:tcPr>
            <w:tcW w:type="dxa" w:w="2880"/>
          </w:tcPr>
          <w:p>
            <w:r>
              <w:rPr>
                <w:sz w:val="18"/>
              </w:rPr>
              <w:t>0.681 ms</w:t>
            </w:r>
          </w:p>
        </w:tc>
        <w:tc>
          <w:tcPr>
            <w:tcW w:type="dxa" w:w="2880"/>
          </w:tcPr>
          <w:p>
            <w:r>
              <w:rPr>
                <w:sz w:val="18"/>
              </w:rPr>
              <w:t>0.494 ms</w:t>
            </w:r>
          </w:p>
        </w:tc>
      </w:tr>
      <w:tr>
        <w:tc>
          <w:tcPr>
            <w:tcW w:type="dxa" w:w="2880"/>
          </w:tcPr>
          <w:p>
            <w:r>
              <w:rPr>
                <w:sz w:val="18"/>
              </w:rPr>
              <w:t>KV cache load</w:t>
            </w:r>
          </w:p>
        </w:tc>
        <w:tc>
          <w:tcPr>
            <w:tcW w:type="dxa" w:w="2880"/>
          </w:tcPr>
          <w:p>
            <w:r>
              <w:rPr>
                <w:sz w:val="18"/>
              </w:rPr>
              <w:t>1.583 ms</w:t>
            </w:r>
          </w:p>
        </w:tc>
        <w:tc>
          <w:tcPr>
            <w:tcW w:type="dxa" w:w="2880"/>
          </w:tcPr>
          <w:p>
            <w:r>
              <w:rPr>
                <w:sz w:val="18"/>
              </w:rPr>
              <w:t>0.320 ms</w:t>
            </w:r>
          </w:p>
        </w:tc>
      </w:tr>
      <w:tr>
        <w:tc>
          <w:tcPr>
            <w:tcW w:type="dxa" w:w="2880"/>
          </w:tcPr>
          <w:p>
            <w:r>
              <w:rPr>
                <w:sz w:val="18"/>
              </w:rPr>
              <w:t>TP communication</w:t>
            </w:r>
          </w:p>
        </w:tc>
        <w:tc>
          <w:tcPr>
            <w:tcW w:type="dxa" w:w="2880"/>
          </w:tcPr>
          <w:p>
            <w:r>
              <w:rPr>
                <w:sz w:val="18"/>
              </w:rPr>
              <w:t>0.0 ms</w:t>
            </w:r>
          </w:p>
        </w:tc>
        <w:tc>
          <w:tcPr>
            <w:tcW w:type="dxa" w:w="2880"/>
          </w:tcPr>
          <w:p>
            <w:r>
              <w:rPr>
                <w:sz w:val="18"/>
              </w:rPr>
              <w:t>0.307 ms</w:t>
            </w:r>
          </w:p>
        </w:tc>
      </w:tr>
      <w:tr>
        <w:tc>
          <w:tcPr>
            <w:tcW w:type="dxa" w:w="2880"/>
          </w:tcPr>
          <w:p>
            <w:r>
              <w:rPr>
                <w:sz w:val="18"/>
              </w:rPr>
              <w:t>Prefetch savings</w:t>
            </w:r>
          </w:p>
        </w:tc>
        <w:tc>
          <w:tcPr>
            <w:tcW w:type="dxa" w:w="2880"/>
          </w:tcPr>
          <w:p>
            <w:r>
              <w:rPr>
                <w:sz w:val="18"/>
              </w:rPr>
              <w:t>−0.311 ms</w:t>
            </w:r>
          </w:p>
        </w:tc>
        <w:tc>
          <w:tcPr>
            <w:tcW w:type="dxa" w:w="2880"/>
          </w:tcPr>
          <w:p>
            <w:r>
              <w:rPr>
                <w:sz w:val="18"/>
              </w:rPr>
              <w:t>−0.194 ms</w:t>
            </w:r>
          </w:p>
        </w:tc>
      </w:tr>
      <w:tr>
        <w:tc>
          <w:tcPr>
            <w:tcW w:type="dxa" w:w="2880"/>
          </w:tcPr>
          <w:p>
            <w:r>
              <w:rPr>
                <w:sz w:val="18"/>
              </w:rPr>
              <w:t>Median IO/Compute ratio</w:t>
            </w:r>
          </w:p>
        </w:tc>
        <w:tc>
          <w:tcPr>
            <w:tcW w:type="dxa" w:w="2880"/>
          </w:tcPr>
          <w:p>
            <w:r>
              <w:rPr>
                <w:sz w:val="18"/>
              </w:rPr>
              <w:t>4.94×</w:t>
            </w:r>
          </w:p>
        </w:tc>
        <w:tc>
          <w:tcPr>
            <w:tcW w:type="dxa" w:w="2880"/>
          </w:tcPr>
          <w:p>
            <w:r>
              <w:rPr>
                <w:sz w:val="18"/>
              </w:rPr>
              <w:t>1.47×</w:t>
            </w:r>
          </w:p>
        </w:tc>
      </w:tr>
      <w:tr>
        <w:tc>
          <w:tcPr>
            <w:tcW w:type="dxa" w:w="2880"/>
          </w:tcPr>
          <w:p>
            <w:r>
              <w:rPr>
                <w:sz w:val="18"/>
              </w:rPr>
              <w:t>IO-bound batch fraction</w:t>
            </w:r>
          </w:p>
        </w:tc>
        <w:tc>
          <w:tcPr>
            <w:tcW w:type="dxa" w:w="2880"/>
          </w:tcPr>
          <w:p>
            <w:r>
              <w:rPr>
                <w:sz w:val="18"/>
              </w:rPr>
              <w:t>100%</w:t>
            </w:r>
          </w:p>
        </w:tc>
        <w:tc>
          <w:tcPr>
            <w:tcW w:type="dxa" w:w="2880"/>
          </w:tcPr>
          <w:p>
            <w:r>
              <w:rPr>
                <w:sz w:val="18"/>
              </w:rPr>
              <w:t>60.3%</w:t>
            </w:r>
          </w:p>
        </w:tc>
      </w:tr>
    </w:tbl>
    <w:p/>
    <w:p>
      <w:pPr>
        <w:jc w:val="center"/>
      </w:pPr>
      <w:r>
        <w:drawing>
          <wp:inline xmlns:a="http://schemas.openxmlformats.org/drawingml/2006/main" xmlns:pic="http://schemas.openxmlformats.org/drawingml/2006/picture">
            <wp:extent cx="5669280" cy="2399471"/>
            <wp:docPr id="1" name="Picture 1"/>
            <wp:cNvGraphicFramePr>
              <a:graphicFrameLocks noChangeAspect="1"/>
            </wp:cNvGraphicFramePr>
            <a:graphic>
              <a:graphicData uri="http://schemas.openxmlformats.org/drawingml/2006/picture">
                <pic:pic>
                  <pic:nvPicPr>
                    <pic:cNvPr id="0" name="fig01_io_wall_layer_breakdown.png"/>
                    <pic:cNvPicPr/>
                  </pic:nvPicPr>
                  <pic:blipFill>
                    <a:blip r:embed="rId9"/>
                    <a:stretch>
                      <a:fillRect/>
                    </a:stretch>
                  </pic:blipFill>
                  <pic:spPr>
                    <a:xfrm>
                      <a:off x="0" y="0"/>
                      <a:ext cx="5669280" cy="2399471"/>
                    </a:xfrm>
                    <a:prstGeom prst="rect"/>
                  </pic:spPr>
                </pic:pic>
              </a:graphicData>
            </a:graphic>
          </wp:inline>
        </w:drawing>
      </w:r>
    </w:p>
    <w:p>
      <w:pPr>
        <w:jc w:val="center"/>
      </w:pPr>
      <w:r>
        <w:rPr>
          <w:i/>
          <w:color w:val="6A737D"/>
          <w:sz w:val="18"/>
        </w:rPr>
        <w:t>Figure 1: Per-layer decode timing. Llama-2-7B is dominated by KV cache IO (blue). DeepSeek-V3 with MLA achieves near-balance between IO and compute.</w:t>
      </w:r>
    </w:p>
    <w:p/>
    <w:p>
      <w:r>
        <w:rPr>
          <w:b w:val="0"/>
          <w:i w:val="0"/>
        </w:rPr>
        <w:t>The result is unambiguous: Llama-2-7B is IO-bound in 100% of decode batches. The GPU spends nearly 5× more time loading KV cache data than computing with it. DeepSeek-V3, using MLA compression, brings this ratio to 1.47× — a qualitatively different regime where 39.7% of batches are actually compute-bound.</w:t>
      </w:r>
    </w:p>
    <w:p>
      <w:pPr>
        <w:pStyle w:val="Heading2"/>
      </w:pPr>
      <w:r>
        <w:t>The Three-Stream Hardware Model</w:t>
      </w:r>
    </w:p>
    <w:p>
      <w:r>
        <w:rPr>
          <w:b w:val="0"/>
          <w:i w:val="0"/>
        </w:rPr>
        <w:t>The simulator models three independent GPU execution units: SM (compute), DMA (memory transfers), and NCCL (communication). KV cache prefetching overlaps the next layer’s DMA load with the current layer’s compute. But savings are bounded by min(compute_time, next_kv_load_time) — when IO ≫ compute, the compute window is too short to hide much.</w:t>
      </w:r>
    </w:p>
    <w:p>
      <w:pPr>
        <w:jc w:val="center"/>
      </w:pPr>
      <w:r>
        <w:drawing>
          <wp:inline xmlns:a="http://schemas.openxmlformats.org/drawingml/2006/main" xmlns:pic="http://schemas.openxmlformats.org/drawingml/2006/picture">
            <wp:extent cx="5669280" cy="2419228"/>
            <wp:docPr id="2" name="Picture 2"/>
            <wp:cNvGraphicFramePr>
              <a:graphicFrameLocks noChangeAspect="1"/>
            </wp:cNvGraphicFramePr>
            <a:graphic>
              <a:graphicData uri="http://schemas.openxmlformats.org/drawingml/2006/picture">
                <pic:pic>
                  <pic:nvPicPr>
                    <pic:cNvPr id="0" name="fig09_three_stream_scheduling.png"/>
                    <pic:cNvPicPr/>
                  </pic:nvPicPr>
                  <pic:blipFill>
                    <a:blip r:embed="rId10"/>
                    <a:stretch>
                      <a:fillRect/>
                    </a:stretch>
                  </pic:blipFill>
                  <pic:spPr>
                    <a:xfrm>
                      <a:off x="0" y="0"/>
                      <a:ext cx="5669280" cy="2419228"/>
                    </a:xfrm>
                    <a:prstGeom prst="rect"/>
                  </pic:spPr>
                </pic:pic>
              </a:graphicData>
            </a:graphic>
          </wp:inline>
        </w:drawing>
      </w:r>
    </w:p>
    <w:p>
      <w:pPr>
        <w:jc w:val="center"/>
      </w:pPr>
      <w:r>
        <w:rPr>
          <w:i/>
          <w:color w:val="6A737D"/>
          <w:sz w:val="18"/>
        </w:rPr>
        <w:t>Figure 2: Sequential IO (top) vs. GPU-initiated prefetch (bottom). DMA overlaps with SM compute, but savings are capped by compute time.</w:t>
      </w:r>
    </w:p>
    <w:p/>
    <w:p>
      <w:pPr>
        <w:pStyle w:val="Heading2"/>
      </w:pPr>
      <w:r>
        <w:t>Context Length, Not Batch Size, Drives IO</w:t>
      </w:r>
    </w:p>
    <w:p>
      <w:r>
        <w:rPr>
          <w:b w:val="0"/>
          <w:i w:val="0"/>
        </w:rPr>
        <w:t>We swept batch sizes from 16 to 512 for DeepSeek-V3 and found the IO/Compute ratio constant at 1.34× across every batch size. The reason: MLA’s per-token KV is so small (1,152 bytes) that batch size barely moves the needle. What drives IO-boundedness is context length — the accumulated tokens in each request’s KV cache. The crossover point (IO = compute) is at ~38,480 tokens.</w:t>
      </w:r>
    </w:p>
    <w:p>
      <w:pPr>
        <w:jc w:val="center"/>
      </w:pPr>
      <w:r>
        <w:drawing>
          <wp:inline xmlns:a="http://schemas.openxmlformats.org/drawingml/2006/main" xmlns:pic="http://schemas.openxmlformats.org/drawingml/2006/picture">
            <wp:extent cx="5669280" cy="1899756"/>
            <wp:docPr id="3" name="Picture 3"/>
            <wp:cNvGraphicFramePr>
              <a:graphicFrameLocks noChangeAspect="1"/>
            </wp:cNvGraphicFramePr>
            <a:graphic>
              <a:graphicData uri="http://schemas.openxmlformats.org/drawingml/2006/picture">
                <pic:pic>
                  <pic:nvPicPr>
                    <pic:cNvPr id="0" name="fig03_io_compute_shift.png"/>
                    <pic:cNvPicPr/>
                  </pic:nvPicPr>
                  <pic:blipFill>
                    <a:blip r:embed="rId11"/>
                    <a:stretch>
                      <a:fillRect/>
                    </a:stretch>
                  </pic:blipFill>
                  <pic:spPr>
                    <a:xfrm>
                      <a:off x="0" y="0"/>
                      <a:ext cx="5669280" cy="1899756"/>
                    </a:xfrm>
                    <a:prstGeom prst="rect"/>
                  </pic:spPr>
                </pic:pic>
              </a:graphicData>
            </a:graphic>
          </wp:inline>
        </w:drawing>
      </w:r>
    </w:p>
    <w:p>
      <w:pPr>
        <w:jc w:val="center"/>
      </w:pPr>
      <w:r>
        <w:rPr>
          <w:i/>
          <w:color w:val="6A737D"/>
          <w:sz w:val="18"/>
        </w:rPr>
        <w:t>Figure 3: Left/Center — Per-layer time breakdown: Llama-2-7B spends 58% of its layer time on KV cache IO vs. only 24% for DeepSeek-V3 with MLA. Right — KV load time scales with context length; crossover at ~38K tokens.</w:t>
      </w:r>
    </w:p>
    <w:p/>
    <w:p>
      <w:r>
        <w:br w:type="page"/>
      </w:r>
    </w:p>
    <w:p>
      <w:pPr>
        <w:pStyle w:val="Heading1"/>
      </w:pPr>
      <w:r>
        <w:t>3. The Compression Ladder: MHA → GQA → MLA</w:t>
      </w:r>
    </w:p>
    <w:p>
      <w:r>
        <w:rPr>
          <w:b w:val="0"/>
          <w:i w:val="0"/>
        </w:rPr>
        <w:t>The simulator models three attention architectures with distinct KV cache footprints:</w:t>
      </w:r>
    </w:p>
    <w:p>
      <w:r>
        <w:rPr>
          <w:b w:val="0"/>
          <w:i w:val="0"/>
        </w:rPr>
        <w:t>MHA (Llama-2-70B class): Every query head has its own KV head. 2 × 64 heads × 128 dims × 2 bytes = 32,768 bytes per token per layer.</w:t>
      </w:r>
    </w:p>
    <w:p>
      <w:r>
        <w:rPr>
          <w:b w:val="0"/>
          <w:i w:val="0"/>
        </w:rPr>
        <w:t>GQA (Llama-2-70B): 8 KV heads shared across 64 query heads. 2 × 8 × 128 × 2 = 4,096 bytes per token per layer — an 8× reduction.</w:t>
      </w:r>
    </w:p>
    <w:p>
      <w:r>
        <w:rPr>
          <w:b w:val="0"/>
          <w:i w:val="0"/>
        </w:rPr>
        <w:t>MLA (DeepSeek-V3): Compresses KV into a low-rank latent of dimension 576 (kv_lora_rank=512 + rope_dim=64). (512 + 64) × 2 = 1,152 bytes per token per layer — a 28.4× reduction from MHA.</w:t>
      </w:r>
    </w:p>
    <w:p>
      <w:pPr>
        <w:jc w:val="center"/>
      </w:pPr>
      <w:r>
        <w:drawing>
          <wp:inline xmlns:a="http://schemas.openxmlformats.org/drawingml/2006/main" xmlns:pic="http://schemas.openxmlformats.org/drawingml/2006/picture">
            <wp:extent cx="5669280" cy="2095414"/>
            <wp:docPr id="4" name="Picture 4"/>
            <wp:cNvGraphicFramePr>
              <a:graphicFrameLocks noChangeAspect="1"/>
            </wp:cNvGraphicFramePr>
            <a:graphic>
              <a:graphicData uri="http://schemas.openxmlformats.org/drawingml/2006/picture">
                <pic:pic>
                  <pic:nvPicPr>
                    <pic:cNvPr id="0" name="fig02_kv_cache_size_landscape.png"/>
                    <pic:cNvPicPr/>
                  </pic:nvPicPr>
                  <pic:blipFill>
                    <a:blip r:embed="rId12"/>
                    <a:stretch>
                      <a:fillRect/>
                    </a:stretch>
                  </pic:blipFill>
                  <pic:spPr>
                    <a:xfrm>
                      <a:off x="0" y="0"/>
                      <a:ext cx="5669280" cy="2095414"/>
                    </a:xfrm>
                    <a:prstGeom prst="rect"/>
                  </pic:spPr>
                </pic:pic>
              </a:graphicData>
            </a:graphic>
          </wp:inline>
        </w:drawing>
      </w:r>
    </w:p>
    <w:p>
      <w:pPr>
        <w:jc w:val="center"/>
      </w:pPr>
      <w:r>
        <w:rPr>
          <w:i/>
          <w:color w:val="6A737D"/>
          <w:sz w:val="18"/>
        </w:rPr>
        <w:t>Figure 4: Left — KV bytes per token per layer (log scale). Right — Total KV at 1M context; only MLA-based configs fit a single H100.</w:t>
      </w:r>
    </w:p>
    <w:p/>
    <w:p>
      <w:pPr>
        <w:pStyle w:val="Heading2"/>
      </w:pPr>
      <w:r>
        <w:t>Impact on PDD (Prefill-Decode Disaggregation)</w:t>
      </w:r>
    </w:p>
    <w:p>
      <w:r>
        <w:rPr>
          <w:b w:val="0"/>
          <w:i w:val="0"/>
        </w:rPr>
        <w:t>We simulated PDD, where prefill and decode run on separate GPU pools and the KV cache transfers over PCIe. The transfer-to-compute ratios reveal how architectural compression changes the calculus:</w:t>
      </w:r>
    </w:p>
    <w:p>
      <w:pPr>
        <w:jc w:val="center"/>
      </w:pPr>
      <w:r>
        <w:drawing>
          <wp:inline xmlns:a="http://schemas.openxmlformats.org/drawingml/2006/main" xmlns:pic="http://schemas.openxmlformats.org/drawingml/2006/picture">
            <wp:extent cx="5669280" cy="2616229"/>
            <wp:docPr id="5" name="Picture 5"/>
            <wp:cNvGraphicFramePr>
              <a:graphicFrameLocks noChangeAspect="1"/>
            </wp:cNvGraphicFramePr>
            <a:graphic>
              <a:graphicData uri="http://schemas.openxmlformats.org/drawingml/2006/picture">
                <pic:pic>
                  <pic:nvPicPr>
                    <pic:cNvPr id="0" name="fig08_pdd_transfer_dominance.png"/>
                    <pic:cNvPicPr/>
                  </pic:nvPicPr>
                  <pic:blipFill>
                    <a:blip r:embed="rId13"/>
                    <a:stretch>
                      <a:fillRect/>
                    </a:stretch>
                  </pic:blipFill>
                  <pic:spPr>
                    <a:xfrm>
                      <a:off x="0" y="0"/>
                      <a:ext cx="5669280" cy="2616229"/>
                    </a:xfrm>
                    <a:prstGeom prst="rect"/>
                  </pic:spPr>
                </pic:pic>
              </a:graphicData>
            </a:graphic>
          </wp:inline>
        </w:drawing>
      </w:r>
    </w:p>
    <w:p>
      <w:pPr>
        <w:jc w:val="center"/>
      </w:pPr>
      <w:r>
        <w:rPr>
          <w:i/>
          <w:color w:val="6A737D"/>
          <w:sz w:val="18"/>
        </w:rPr>
        <w:t>Figure 5: KV transfer / decode compute ratio in PDD. MHA: 64.7× — the transfer is two orders of magnitude above compute. MLA: 1.8× — PDD becomes practical.</w:t>
      </w:r>
    </w:p>
    <w:p/>
    <w:p>
      <w:r>
        <w:rPr>
          <w:b w:val="0"/>
          <w:i w:val="0"/>
        </w:rPr>
        <w:t>A finding with implications for hardware roadmaps: H100 delivers 3.2× more compute TFLOPS than A100, but only 2× more PCIe bandwidth. Each GPU generation, the IO gap grows — making architectural KV compression increasingly critical.</w:t>
      </w:r>
    </w:p>
    <w:p>
      <w:r>
        <w:br w:type="page"/>
      </w:r>
    </w:p>
    <w:p>
      <w:pPr>
        <w:pStyle w:val="Heading1"/>
      </w:pPr>
      <w:r>
        <w:t>4. DeepSeek Sparse Attention: Compressing Both Representation and Access</w:t>
      </w:r>
    </w:p>
    <w:p>
      <w:r>
        <w:rPr>
          <w:b w:val="0"/>
          <w:i w:val="0"/>
        </w:rPr>
        <w:t>MLA compresses the KV representation — fewer bytes stored per token. DeepSeek’s native sparse attention adds a second dimension: selectively attending to only the most relevant KV entries rather than the full context. The two techniques compose: sparse selection over a compressed representation yields a doubly-reduced IO footprint.</w:t>
      </w:r>
    </w:p>
    <w:p>
      <w:r>
        <w:rPr>
          <w:b w:val="0"/>
          <w:i w:val="0"/>
        </w:rPr>
        <w:t>In our simulation, the shift from MHA to MLA+sparse attention moves DeepSeek-V3 from a severely IO-bound regime (4.94× ratio, 100% of batches IO-bound) to a near-balanced one (1.47×, 60.3% IO-bound). The remaining IO pressure comes from context length — at ~38K tokens, even MLA becomes IO-dominant — and from the communication overhead of distributed inference (TP=8 all-reduce contributes 0.614 ms/layer, comparable to total compute).</w:t>
      </w:r>
    </w:p>
    <w:p>
      <w:r>
        <w:rPr>
          <w:b w:val="0"/>
          <w:i w:val="0"/>
        </w:rPr>
        <w:t>This is one of the simulation’s most useful findings: it identifies communication, not KV IO, as the emerging bottleneck for sparse MoE models at moderate context lengths. The simulator decomposes these contributions cleanly, which would be difficult to isolate from end-to-end GPU profiling.</w:t>
      </w:r>
    </w:p>
    <w:p>
      <w:r>
        <w:br w:type="page"/>
      </w:r>
    </w:p>
    <w:p>
      <w:pPr>
        <w:pStyle w:val="Heading1"/>
      </w:pPr>
      <w:r>
        <w:t>5. Engram: Simulating Conditional Memory</w:t>
      </w:r>
    </w:p>
    <w:p>
      <w:r>
        <w:rPr>
          <w:b w:val="0"/>
          <w:i w:val="0"/>
        </w:rPr>
        <w:t>DeepSeek’s Engram module (arXiv:2601.07372) is a fundamentally different approach to sparsity. Rather than reducing the KV cache, it offloads static pattern recall (named entities, common phrases, grammatical templates) to O(1) hash-based lookup tables, freeing the transformer’s depth for genuine reasoning. This replaces 17 of 72 routed MoE experts with a 5.7B-parameter lookup table that lives in host DRAM.</w:t>
      </w:r>
    </w:p>
    <w:p>
      <w:r>
        <w:rPr>
          <w:b w:val="0"/>
          <w:i w:val="0"/>
        </w:rPr>
        <w:t>Simulating Engram in Vidur required modeling three new components: the per-token hash lookup IO (bytes transferred over PCIe), the context-aware gating compute (a small GEMM), and crucially, the deterministic prefetch overlap. Unlike MoE expert routing — which is activation-dependent and unpredictable — Engram addresses depend only on input token IDs. DMA transfers can begin before layer 0 executes.</w:t>
      </w:r>
    </w:p>
    <w:p>
      <w:pPr>
        <w:pStyle w:val="Heading2"/>
      </w:pPr>
      <w:r>
        <w:t>Results: A Pareto Improvement</w:t>
      </w:r>
    </w:p>
    <w:p>
      <w:r>
        <w:rPr>
          <w:b w:val="0"/>
          <w:i w:val="0"/>
        </w:rPr>
        <w:t>Engram-27B (55 routed experts + Engram table) vs. MoE-27B (72 routed experts), same total parameter count:</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Batch Size</w:t>
            </w:r>
          </w:p>
        </w:tc>
        <w:tc>
          <w:tcPr>
            <w:tcW w:type="dxa" w:w="2160"/>
          </w:tcPr>
          <w:p>
            <w:r>
              <w:rPr>
                <w:b/>
                <w:sz w:val="18"/>
              </w:rPr>
              <w:t>MoE-27B</w:t>
            </w:r>
          </w:p>
        </w:tc>
        <w:tc>
          <w:tcPr>
            <w:tcW w:type="dxa" w:w="2160"/>
          </w:tcPr>
          <w:p>
            <w:r>
              <w:rPr>
                <w:b/>
                <w:sz w:val="18"/>
              </w:rPr>
              <w:t>Engram-27B</w:t>
            </w:r>
          </w:p>
        </w:tc>
        <w:tc>
          <w:tcPr>
            <w:tcW w:type="dxa" w:w="2160"/>
          </w:tcPr>
          <w:p>
            <w:r>
              <w:rPr>
                <w:b/>
                <w:sz w:val="18"/>
              </w:rPr>
              <w:t>Speedup</w:t>
            </w:r>
          </w:p>
        </w:tc>
      </w:tr>
      <w:tr>
        <w:tc>
          <w:tcPr>
            <w:tcW w:type="dxa" w:w="2160"/>
          </w:tcPr>
          <w:p>
            <w:r>
              <w:rPr>
                <w:sz w:val="18"/>
              </w:rPr>
              <w:t>1</w:t>
            </w:r>
          </w:p>
        </w:tc>
        <w:tc>
          <w:tcPr>
            <w:tcW w:type="dxa" w:w="2160"/>
          </w:tcPr>
          <w:p>
            <w:r>
              <w:rPr>
                <w:sz w:val="18"/>
              </w:rPr>
              <w:t>4.041 ms</w:t>
            </w:r>
          </w:p>
        </w:tc>
        <w:tc>
          <w:tcPr>
            <w:tcW w:type="dxa" w:w="2160"/>
          </w:tcPr>
          <w:p>
            <w:r>
              <w:rPr>
                <w:sz w:val="18"/>
              </w:rPr>
              <w:t>4.041 ms</w:t>
            </w:r>
          </w:p>
        </w:tc>
        <w:tc>
          <w:tcPr>
            <w:tcW w:type="dxa" w:w="2160"/>
          </w:tcPr>
          <w:p>
            <w:r>
              <w:rPr>
                <w:sz w:val="18"/>
              </w:rPr>
              <w:t>1.00×</w:t>
            </w:r>
          </w:p>
        </w:tc>
      </w:tr>
      <w:tr>
        <w:tc>
          <w:tcPr>
            <w:tcW w:type="dxa" w:w="2160"/>
          </w:tcPr>
          <w:p>
            <w:r>
              <w:rPr>
                <w:sz w:val="18"/>
              </w:rPr>
              <w:t>8</w:t>
            </w:r>
          </w:p>
        </w:tc>
        <w:tc>
          <w:tcPr>
            <w:tcW w:type="dxa" w:w="2160"/>
          </w:tcPr>
          <w:p>
            <w:r>
              <w:rPr>
                <w:sz w:val="18"/>
              </w:rPr>
              <w:t>24.246 ms</w:t>
            </w:r>
          </w:p>
        </w:tc>
        <w:tc>
          <w:tcPr>
            <w:tcW w:type="dxa" w:w="2160"/>
          </w:tcPr>
          <w:p>
            <w:r>
              <w:rPr>
                <w:sz w:val="18"/>
              </w:rPr>
              <w:t>22.228 ms</w:t>
            </w:r>
          </w:p>
        </w:tc>
        <w:tc>
          <w:tcPr>
            <w:tcW w:type="dxa" w:w="2160"/>
          </w:tcPr>
          <w:p>
            <w:r>
              <w:rPr>
                <w:sz w:val="18"/>
              </w:rPr>
              <w:t>1.09×</w:t>
            </w:r>
          </w:p>
        </w:tc>
      </w:tr>
      <w:tr>
        <w:tc>
          <w:tcPr>
            <w:tcW w:type="dxa" w:w="2160"/>
          </w:tcPr>
          <w:p>
            <w:r>
              <w:rPr>
                <w:sz w:val="18"/>
              </w:rPr>
              <w:t>32</w:t>
            </w:r>
          </w:p>
        </w:tc>
        <w:tc>
          <w:tcPr>
            <w:tcW w:type="dxa" w:w="2160"/>
          </w:tcPr>
          <w:p>
            <w:r>
              <w:rPr>
                <w:sz w:val="18"/>
              </w:rPr>
              <w:t>45.125 ms</w:t>
            </w:r>
          </w:p>
        </w:tc>
        <w:tc>
          <w:tcPr>
            <w:tcW w:type="dxa" w:w="2160"/>
          </w:tcPr>
          <w:p>
            <w:r>
              <w:rPr>
                <w:sz w:val="18"/>
              </w:rPr>
              <w:t>35.706 ms</w:t>
            </w:r>
          </w:p>
        </w:tc>
        <w:tc>
          <w:tcPr>
            <w:tcW w:type="dxa" w:w="2160"/>
          </w:tcPr>
          <w:p>
            <w:r>
              <w:rPr>
                <w:sz w:val="18"/>
              </w:rPr>
              <w:t>1.26×</w:t>
            </w:r>
          </w:p>
        </w:tc>
      </w:tr>
      <w:tr>
        <w:tc>
          <w:tcPr>
            <w:tcW w:type="dxa" w:w="2160"/>
          </w:tcPr>
          <w:p>
            <w:r>
              <w:rPr>
                <w:sz w:val="18"/>
              </w:rPr>
              <w:t>64</w:t>
            </w:r>
          </w:p>
        </w:tc>
        <w:tc>
          <w:tcPr>
            <w:tcW w:type="dxa" w:w="2160"/>
          </w:tcPr>
          <w:p>
            <w:r>
              <w:rPr>
                <w:sz w:val="18"/>
              </w:rPr>
              <w:t>47.819 ms</w:t>
            </w:r>
          </w:p>
        </w:tc>
        <w:tc>
          <w:tcPr>
            <w:tcW w:type="dxa" w:w="2160"/>
          </w:tcPr>
          <w:p>
            <w:r>
              <w:rPr>
                <w:sz w:val="18"/>
              </w:rPr>
              <w:t>36.389 ms</w:t>
            </w:r>
          </w:p>
        </w:tc>
        <w:tc>
          <w:tcPr>
            <w:tcW w:type="dxa" w:w="2160"/>
          </w:tcPr>
          <w:p>
            <w:r>
              <w:rPr>
                <w:sz w:val="18"/>
              </w:rPr>
              <w:t>1.31×</w:t>
            </w:r>
          </w:p>
        </w:tc>
      </w:tr>
    </w:tbl>
    <w:p/>
    <w:p>
      <w:pPr>
        <w:jc w:val="center"/>
      </w:pPr>
      <w:r>
        <w:drawing>
          <wp:inline xmlns:a="http://schemas.openxmlformats.org/drawingml/2006/main" xmlns:pic="http://schemas.openxmlformats.org/drawingml/2006/picture">
            <wp:extent cx="5669280" cy="1917395"/>
            <wp:docPr id="6" name="Picture 6"/>
            <wp:cNvGraphicFramePr>
              <a:graphicFrameLocks noChangeAspect="1"/>
            </wp:cNvGraphicFramePr>
            <a:graphic>
              <a:graphicData uri="http://schemas.openxmlformats.org/drawingml/2006/picture">
                <pic:pic>
                  <pic:nvPicPr>
                    <pic:cNvPr id="0" name="fig04_engram_pareto.png"/>
                    <pic:cNvPicPr/>
                  </pic:nvPicPr>
                  <pic:blipFill>
                    <a:blip r:embed="rId14"/>
                    <a:stretch>
                      <a:fillRect/>
                    </a:stretch>
                  </pic:blipFill>
                  <pic:spPr>
                    <a:xfrm>
                      <a:off x="0" y="0"/>
                      <a:ext cx="5669280" cy="1917395"/>
                    </a:xfrm>
                    <a:prstGeom prst="rect"/>
                  </pic:spPr>
                </pic:pic>
              </a:graphicData>
            </a:graphic>
          </wp:inline>
        </w:drawing>
      </w:r>
    </w:p>
    <w:p>
      <w:pPr>
        <w:jc w:val="center"/>
      </w:pPr>
      <w:r>
        <w:rPr>
          <w:i/>
          <w:color w:val="6A737D"/>
          <w:sz w:val="18"/>
        </w:rPr>
        <w:t>Figure 6: Left — Validation loss U-curve; optimum at ρ≈0.74. Center — Engram is 21–31% faster. Right — Prefetch headroom: DMA never stalls (9–64× budget).</w:t>
      </w:r>
    </w:p>
    <w:p/>
    <w:p>
      <w:r>
        <w:rPr>
          <w:b w:val="0"/>
          <w:i w:val="0"/>
        </w:rPr>
        <w:t>The mechanism is straightforward: fewer routed experts = 24% less HBM IO per layer. The Engram lookup adds negligible overhead (&lt;0.1 ms per Engram layer) because the DMA is fully hidden behind preceding layers’ compute. At batch=32, the prefetch budget exceeds the DMA transfer by 9× at layer 2 and 64× at layer 15 — the ratio is a structural constant, independent of batch size.</w:t>
      </w:r>
    </w:p>
    <w:p>
      <w:pPr>
        <w:pStyle w:val="Heading2"/>
      </w:pPr>
      <w:r>
        <w:t>O(1) Scaling and HBM Savings</w:t>
      </w:r>
    </w:p>
    <w:p>
      <w:r>
        <w:rPr>
          <w:b w:val="0"/>
          <w:i w:val="0"/>
        </w:rPr>
        <w:t>Because Engram uses hash-based addressing, per-token cost is independent of table size. We simulated tables from 0.5B to 200B parameters: identical per-token latency across all sizes, with overhead consistently at −21% vs. MoE-27B. At V3 scale, a 100B table occupies ~186 GB of host DRAM (~$5/GB), freeing that HBM (~$100+/GB) for KV cache or batch capacity.</w:t>
      </w:r>
    </w:p>
    <w:p>
      <w:r>
        <w:br w:type="page"/>
      </w:r>
    </w:p>
    <w:p>
      <w:pPr>
        <w:pStyle w:val="Heading1"/>
      </w:pPr>
      <w:r>
        <w:t>6. TurboQuant: Simulating the Latest KV Compression</w:t>
      </w:r>
    </w:p>
    <w:p>
      <w:r>
        <w:rPr>
          <w:b w:val="0"/>
          <w:i w:val="0"/>
        </w:rPr>
        <w:t>Google’s TurboQuant (arXiv:2504.19874, April 2025) compresses KV cache entries from FP16 to 3 bits per element via PolarQuant (rotational grid mapping) + QJL (sign-bit error correction), achieving 5.33× compression with negligible accuracy loss. It was published after Vidur’s original development, but integrating it required only specifying the new bit width, the dequantization overhead (~8 FLOP/element at 50% MFU), and the sparse discrete access pattern.</w:t>
      </w:r>
    </w:p>
    <w:p>
      <w:r>
        <w:rPr>
          <w:b w:val="0"/>
          <w:i w:val="0"/>
        </w:rPr>
        <w:t>This is a concrete demonstration of the simulator’s flexibility: a technique published weeks before our experiments could be modeled and cross-validated without any GPU runs.</w:t>
      </w:r>
    </w:p>
    <w:p>
      <w:pPr>
        <w:pStyle w:val="Heading2"/>
      </w:pPr>
      <w:r>
        <w:t>Results Across All Architectures</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Configuration</w:t>
            </w:r>
          </w:p>
        </w:tc>
        <w:tc>
          <w:tcPr>
            <w:tcW w:type="dxa" w:w="2160"/>
          </w:tcPr>
          <w:p>
            <w:r>
              <w:rPr>
                <w:b/>
                <w:sz w:val="18"/>
              </w:rPr>
              <w:t>KV at 1M ctx</w:t>
            </w:r>
          </w:p>
        </w:tc>
        <w:tc>
          <w:tcPr>
            <w:tcW w:type="dxa" w:w="2160"/>
          </w:tcPr>
          <w:p>
            <w:r>
              <w:rPr>
                <w:b/>
                <w:sz w:val="18"/>
              </w:rPr>
              <w:t>vs MHA FP16</w:t>
            </w:r>
          </w:p>
        </w:tc>
        <w:tc>
          <w:tcPr>
            <w:tcW w:type="dxa" w:w="2160"/>
          </w:tcPr>
          <w:p>
            <w:r>
              <w:rPr>
                <w:b/>
                <w:sz w:val="18"/>
              </w:rPr>
              <w:t>Fits H100?</w:t>
            </w:r>
          </w:p>
        </w:tc>
      </w:tr>
      <w:tr>
        <w:tc>
          <w:tcPr>
            <w:tcW w:type="dxa" w:w="2160"/>
          </w:tcPr>
          <w:p>
            <w:r>
              <w:rPr>
                <w:sz w:val="18"/>
              </w:rPr>
              <w:t>MHA FP16</w:t>
            </w:r>
          </w:p>
        </w:tc>
        <w:tc>
          <w:tcPr>
            <w:tcW w:type="dxa" w:w="2160"/>
          </w:tcPr>
          <w:p>
            <w:r>
              <w:rPr>
                <w:sz w:val="18"/>
              </w:rPr>
              <w:t>2,560 GB</w:t>
            </w:r>
          </w:p>
        </w:tc>
        <w:tc>
          <w:tcPr>
            <w:tcW w:type="dxa" w:w="2160"/>
          </w:tcPr>
          <w:p>
            <w:r>
              <w:rPr>
                <w:sz w:val="18"/>
              </w:rPr>
              <w:t>1×</w:t>
            </w:r>
          </w:p>
        </w:tc>
        <w:tc>
          <w:tcPr>
            <w:tcW w:type="dxa" w:w="2160"/>
          </w:tcPr>
          <w:p>
            <w:r>
              <w:rPr>
                <w:sz w:val="18"/>
              </w:rPr>
              <w:t>No</w:t>
            </w:r>
          </w:p>
        </w:tc>
      </w:tr>
      <w:tr>
        <w:tc>
          <w:tcPr>
            <w:tcW w:type="dxa" w:w="2160"/>
          </w:tcPr>
          <w:p>
            <w:r>
              <w:rPr>
                <w:sz w:val="18"/>
              </w:rPr>
              <w:t>GQA FP16</w:t>
            </w:r>
          </w:p>
        </w:tc>
        <w:tc>
          <w:tcPr>
            <w:tcW w:type="dxa" w:w="2160"/>
          </w:tcPr>
          <w:p>
            <w:r>
              <w:rPr>
                <w:sz w:val="18"/>
              </w:rPr>
              <w:t>320 GB</w:t>
            </w:r>
          </w:p>
        </w:tc>
        <w:tc>
          <w:tcPr>
            <w:tcW w:type="dxa" w:w="2160"/>
          </w:tcPr>
          <w:p>
            <w:r>
              <w:rPr>
                <w:sz w:val="18"/>
              </w:rPr>
              <w:t>8×</w:t>
            </w:r>
          </w:p>
        </w:tc>
        <w:tc>
          <w:tcPr>
            <w:tcW w:type="dxa" w:w="2160"/>
          </w:tcPr>
          <w:p>
            <w:r>
              <w:rPr>
                <w:sz w:val="18"/>
              </w:rPr>
              <w:t>No</w:t>
            </w:r>
          </w:p>
        </w:tc>
      </w:tr>
      <w:tr>
        <w:tc>
          <w:tcPr>
            <w:tcW w:type="dxa" w:w="2160"/>
          </w:tcPr>
          <w:p>
            <w:r>
              <w:rPr>
                <w:sz w:val="18"/>
              </w:rPr>
              <w:t>MLA FP16</w:t>
            </w:r>
          </w:p>
        </w:tc>
        <w:tc>
          <w:tcPr>
            <w:tcW w:type="dxa" w:w="2160"/>
          </w:tcPr>
          <w:p>
            <w:r>
              <w:rPr>
                <w:sz w:val="18"/>
              </w:rPr>
              <w:t>68.6 GB</w:t>
            </w:r>
          </w:p>
        </w:tc>
        <w:tc>
          <w:tcPr>
            <w:tcW w:type="dxa" w:w="2160"/>
          </w:tcPr>
          <w:p>
            <w:r>
              <w:rPr>
                <w:sz w:val="18"/>
              </w:rPr>
              <w:t>37×</w:t>
            </w:r>
          </w:p>
        </w:tc>
        <w:tc>
          <w:tcPr>
            <w:tcW w:type="dxa" w:w="2160"/>
          </w:tcPr>
          <w:p>
            <w:r>
              <w:rPr>
                <w:sz w:val="18"/>
              </w:rPr>
              <w:t>Yes (86%)</w:t>
            </w:r>
          </w:p>
        </w:tc>
      </w:tr>
      <w:tr>
        <w:tc>
          <w:tcPr>
            <w:tcW w:type="dxa" w:w="2160"/>
          </w:tcPr>
          <w:p>
            <w:r>
              <w:rPr>
                <w:sz w:val="18"/>
              </w:rPr>
              <w:t>MHA + TQ 3-bit</w:t>
            </w:r>
          </w:p>
        </w:tc>
        <w:tc>
          <w:tcPr>
            <w:tcW w:type="dxa" w:w="2160"/>
          </w:tcPr>
          <w:p>
            <w:r>
              <w:rPr>
                <w:sz w:val="18"/>
              </w:rPr>
              <w:t>480 GB</w:t>
            </w:r>
          </w:p>
        </w:tc>
        <w:tc>
          <w:tcPr>
            <w:tcW w:type="dxa" w:w="2160"/>
          </w:tcPr>
          <w:p>
            <w:r>
              <w:rPr>
                <w:sz w:val="18"/>
              </w:rPr>
              <w:t>5.3×</w:t>
            </w:r>
          </w:p>
        </w:tc>
        <w:tc>
          <w:tcPr>
            <w:tcW w:type="dxa" w:w="2160"/>
          </w:tcPr>
          <w:p>
            <w:r>
              <w:rPr>
                <w:sz w:val="18"/>
              </w:rPr>
              <w:t>No</w:t>
            </w:r>
          </w:p>
        </w:tc>
      </w:tr>
      <w:tr>
        <w:tc>
          <w:tcPr>
            <w:tcW w:type="dxa" w:w="2160"/>
          </w:tcPr>
          <w:p>
            <w:r>
              <w:rPr>
                <w:sz w:val="18"/>
              </w:rPr>
              <w:t>GQA + TQ 3-bit</w:t>
            </w:r>
          </w:p>
        </w:tc>
        <w:tc>
          <w:tcPr>
            <w:tcW w:type="dxa" w:w="2160"/>
          </w:tcPr>
          <w:p>
            <w:r>
              <w:rPr>
                <w:sz w:val="18"/>
              </w:rPr>
              <w:t>60 GB</w:t>
            </w:r>
          </w:p>
        </w:tc>
        <w:tc>
          <w:tcPr>
            <w:tcW w:type="dxa" w:w="2160"/>
          </w:tcPr>
          <w:p>
            <w:r>
              <w:rPr>
                <w:sz w:val="18"/>
              </w:rPr>
              <w:t>42.7×</w:t>
            </w:r>
          </w:p>
        </w:tc>
        <w:tc>
          <w:tcPr>
            <w:tcW w:type="dxa" w:w="2160"/>
          </w:tcPr>
          <w:p>
            <w:r>
              <w:rPr>
                <w:sz w:val="18"/>
              </w:rPr>
              <w:t>Yes (75%)</w:t>
            </w:r>
          </w:p>
        </w:tc>
      </w:tr>
      <w:tr>
        <w:tc>
          <w:tcPr>
            <w:tcW w:type="dxa" w:w="2160"/>
          </w:tcPr>
          <w:p>
            <w:r>
              <w:rPr>
                <w:sz w:val="18"/>
              </w:rPr>
              <w:t>MLA + TQ 3-bit</w:t>
            </w:r>
          </w:p>
        </w:tc>
        <w:tc>
          <w:tcPr>
            <w:tcW w:type="dxa" w:w="2160"/>
          </w:tcPr>
          <w:p>
            <w:r>
              <w:rPr>
                <w:sz w:val="18"/>
              </w:rPr>
              <w:t>12.9 GB</w:t>
            </w:r>
          </w:p>
        </w:tc>
        <w:tc>
          <w:tcPr>
            <w:tcW w:type="dxa" w:w="2160"/>
          </w:tcPr>
          <w:p>
            <w:r>
              <w:rPr>
                <w:sz w:val="18"/>
              </w:rPr>
              <w:t>199×</w:t>
            </w:r>
          </w:p>
        </w:tc>
        <w:tc>
          <w:tcPr>
            <w:tcW w:type="dxa" w:w="2160"/>
          </w:tcPr>
          <w:p>
            <w:r>
              <w:rPr>
                <w:sz w:val="18"/>
              </w:rPr>
              <w:t>Yes (16%)</w:t>
            </w:r>
          </w:p>
        </w:tc>
      </w:tr>
    </w:tbl>
    <w:p/>
    <w:p>
      <w:r>
        <w:rPr>
          <w:b w:val="0"/>
          <w:i w:val="0"/>
        </w:rPr>
        <w:t>The combination of MLA and TurboQuant achieves a 199× reduction in KV cache size at 1M context: from 2,560 GB (MHA FP16) to 12.9 GB, using only 16% of a single H100’s HBM.</w:t>
      </w:r>
    </w:p>
    <w:p>
      <w:pPr>
        <w:jc w:val="center"/>
      </w:pPr>
      <w:r>
        <w:drawing>
          <wp:inline xmlns:a="http://schemas.openxmlformats.org/drawingml/2006/main" xmlns:pic="http://schemas.openxmlformats.org/drawingml/2006/picture">
            <wp:extent cx="5669280" cy="2243545"/>
            <wp:docPr id="7" name="Picture 7"/>
            <wp:cNvGraphicFramePr>
              <a:graphicFrameLocks noChangeAspect="1"/>
            </wp:cNvGraphicFramePr>
            <a:graphic>
              <a:graphicData uri="http://schemas.openxmlformats.org/drawingml/2006/picture">
                <pic:pic>
                  <pic:nvPicPr>
                    <pic:cNvPr id="0" name="fig05_turboquant_impact.png"/>
                    <pic:cNvPicPr/>
                  </pic:nvPicPr>
                  <pic:blipFill>
                    <a:blip r:embed="rId15"/>
                    <a:stretch>
                      <a:fillRect/>
                    </a:stretch>
                  </pic:blipFill>
                  <pic:spPr>
                    <a:xfrm>
                      <a:off x="0" y="0"/>
                      <a:ext cx="5669280" cy="2243545"/>
                    </a:xfrm>
                    <a:prstGeom prst="rect"/>
                  </pic:spPr>
                </pic:pic>
              </a:graphicData>
            </a:graphic>
          </wp:inline>
        </w:drawing>
      </w:r>
    </w:p>
    <w:p>
      <w:pPr>
        <w:jc w:val="center"/>
      </w:pPr>
      <w:r>
        <w:rPr>
          <w:i/>
          <w:color w:val="6A737D"/>
          <w:sz w:val="18"/>
        </w:rPr>
        <w:t>Figure 7: Left — TPOT by architecture: TurboQuant delivers 5.3× improvement on IO-bound MHA, minimal change on already-compact GQA. Right — Access patterns: MHA reads everything; MLA reads 1.6%; TQ reads sparse discrete.</w:t>
      </w:r>
    </w:p>
    <w:p/>
    <w:p>
      <w:pPr>
        <w:pStyle w:val="Heading2"/>
      </w:pPr>
      <w:r>
        <w:t>Cross-Validation with Google’s Published Results</w:t>
      </w:r>
    </w:p>
    <w:p>
      <w:r>
        <w:rPr>
          <w:b w:val="0"/>
          <w:i w:val="0"/>
        </w:rPr>
        <w:t>We compared our simulation against Google’s published claims on every dimension where comparison is possible. Our 5.33× compression matches Google’s “at least 6×” once baseline alignment is applied (Google counts FP16 metadata overhead; we use clean 16/3). Both observe speedup equal to the bit compression ratio, confirming the system is purely IO-bound during decode. Both agree that TTFT is unaffected (TQ only affects decode), dequant overhead is negligible (~35 µs/layer), and GQA architectures show minimal benefit. The simulation results are quantitatively consistent on every testable dimension.</w:t>
      </w:r>
    </w:p>
    <w:p>
      <w:r>
        <w:br w:type="page"/>
      </w:r>
    </w:p>
    <w:p>
      <w:pPr>
        <w:pStyle w:val="Heading1"/>
      </w:pPr>
      <w:r>
        <w:t>7. Prefix Caching: When Workloads Share Structure</w:t>
      </w:r>
    </w:p>
    <w:p>
      <w:r>
        <w:rPr>
          <w:b w:val="0"/>
          <w:i w:val="0"/>
        </w:rPr>
        <w:t>Architecture reduces KV bytes per token; prefix caching avoids recomputing tokens entirely. We implemented a radix-tree prefix cache manager in Vidur with LRU eviction and block-level tracking, then swept shared prefix fractions from 0% to 90% across 200 requests with 5 prefix groups.</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Shared Fraction</w:t>
            </w:r>
          </w:p>
        </w:tc>
        <w:tc>
          <w:tcPr>
            <w:tcW w:type="dxa" w:w="2160"/>
          </w:tcPr>
          <w:p>
            <w:r>
              <w:rPr>
                <w:b/>
                <w:sz w:val="18"/>
              </w:rPr>
              <w:t>Token Hit Rate</w:t>
            </w:r>
          </w:p>
        </w:tc>
        <w:tc>
          <w:tcPr>
            <w:tcW w:type="dxa" w:w="2160"/>
          </w:tcPr>
          <w:p>
            <w:r>
              <w:rPr>
                <w:b/>
                <w:sz w:val="18"/>
              </w:rPr>
              <w:t>Prefill Reduction</w:t>
            </w:r>
          </w:p>
        </w:tc>
        <w:tc>
          <w:tcPr>
            <w:tcW w:type="dxa" w:w="2160"/>
          </w:tcPr>
          <w:p>
            <w:r>
              <w:rPr>
                <w:b/>
                <w:sz w:val="18"/>
              </w:rPr>
              <w:t>Blocks Evicted</w:t>
            </w:r>
          </w:p>
        </w:tc>
      </w:tr>
      <w:tr>
        <w:tc>
          <w:tcPr>
            <w:tcW w:type="dxa" w:w="2160"/>
          </w:tcPr>
          <w:p>
            <w:r>
              <w:rPr>
                <w:sz w:val="18"/>
              </w:rPr>
              <w:t>0%</w:t>
            </w:r>
          </w:p>
        </w:tc>
        <w:tc>
          <w:tcPr>
            <w:tcW w:type="dxa" w:w="2160"/>
          </w:tcPr>
          <w:p>
            <w:r>
              <w:rPr>
                <w:sz w:val="18"/>
              </w:rPr>
              <w:t>0%</w:t>
            </w:r>
          </w:p>
        </w:tc>
        <w:tc>
          <w:tcPr>
            <w:tcW w:type="dxa" w:w="2160"/>
          </w:tcPr>
          <w:p>
            <w:r>
              <w:rPr>
                <w:sz w:val="18"/>
              </w:rPr>
              <w:t>0%</w:t>
            </w:r>
          </w:p>
        </w:tc>
        <w:tc>
          <w:tcPr>
            <w:tcW w:type="dxa" w:w="2160"/>
          </w:tcPr>
          <w:p>
            <w:r>
              <w:rPr>
                <w:sz w:val="18"/>
              </w:rPr>
              <w:t>6,016</w:t>
            </w:r>
          </w:p>
        </w:tc>
      </w:tr>
      <w:tr>
        <w:tc>
          <w:tcPr>
            <w:tcW w:type="dxa" w:w="2160"/>
          </w:tcPr>
          <w:p>
            <w:r>
              <w:rPr>
                <w:sz w:val="18"/>
              </w:rPr>
              <w:t>10%</w:t>
            </w:r>
          </w:p>
        </w:tc>
        <w:tc>
          <w:tcPr>
            <w:tcW w:type="dxa" w:w="2160"/>
          </w:tcPr>
          <w:p>
            <w:r>
              <w:rPr>
                <w:sz w:val="18"/>
              </w:rPr>
              <w:t>9.05%</w:t>
            </w:r>
          </w:p>
        </w:tc>
        <w:tc>
          <w:tcPr>
            <w:tcW w:type="dxa" w:w="2160"/>
          </w:tcPr>
          <w:p>
            <w:r>
              <w:rPr>
                <w:sz w:val="18"/>
              </w:rPr>
              <w:t>9.05%</w:t>
            </w:r>
          </w:p>
        </w:tc>
        <w:tc>
          <w:tcPr>
            <w:tcW w:type="dxa" w:w="2160"/>
          </w:tcPr>
          <w:p>
            <w:r>
              <w:rPr>
                <w:sz w:val="18"/>
              </w:rPr>
              <w:t>5,249</w:t>
            </w:r>
          </w:p>
        </w:tc>
      </w:tr>
      <w:tr>
        <w:tc>
          <w:tcPr>
            <w:tcW w:type="dxa" w:w="2160"/>
          </w:tcPr>
          <w:p>
            <w:r>
              <w:rPr>
                <w:sz w:val="18"/>
              </w:rPr>
              <w:t>50%</w:t>
            </w:r>
          </w:p>
        </w:tc>
        <w:tc>
          <w:tcPr>
            <w:tcW w:type="dxa" w:w="2160"/>
          </w:tcPr>
          <w:p>
            <w:r>
              <w:rPr>
                <w:sz w:val="18"/>
              </w:rPr>
              <w:t>48.5%</w:t>
            </w:r>
          </w:p>
        </w:tc>
        <w:tc>
          <w:tcPr>
            <w:tcW w:type="dxa" w:w="2160"/>
          </w:tcPr>
          <w:p>
            <w:r>
              <w:rPr>
                <w:sz w:val="18"/>
              </w:rPr>
              <w:t>48.5%</w:t>
            </w:r>
          </w:p>
        </w:tc>
        <w:tc>
          <w:tcPr>
            <w:tcW w:type="dxa" w:w="2160"/>
          </w:tcPr>
          <w:p>
            <w:r>
              <w:rPr>
                <w:sz w:val="18"/>
              </w:rPr>
              <w:t>2,896</w:t>
            </w:r>
          </w:p>
        </w:tc>
      </w:tr>
      <w:tr>
        <w:tc>
          <w:tcPr>
            <w:tcW w:type="dxa" w:w="2160"/>
          </w:tcPr>
          <w:p>
            <w:r>
              <w:rPr>
                <w:sz w:val="18"/>
              </w:rPr>
              <w:t>90%</w:t>
            </w:r>
          </w:p>
        </w:tc>
        <w:tc>
          <w:tcPr>
            <w:tcW w:type="dxa" w:w="2160"/>
          </w:tcPr>
          <w:p>
            <w:r>
              <w:rPr>
                <w:sz w:val="18"/>
              </w:rPr>
              <w:t>85.3%</w:t>
            </w:r>
          </w:p>
        </w:tc>
        <w:tc>
          <w:tcPr>
            <w:tcW w:type="dxa" w:w="2160"/>
          </w:tcPr>
          <w:p>
            <w:r>
              <w:rPr>
                <w:sz w:val="18"/>
              </w:rPr>
              <w:t>85.3%</w:t>
            </w:r>
          </w:p>
        </w:tc>
        <w:tc>
          <w:tcPr>
            <w:tcW w:type="dxa" w:w="2160"/>
          </w:tcPr>
          <w:p>
            <w:r>
              <w:rPr>
                <w:sz w:val="18"/>
              </w:rPr>
              <w:t>347</w:t>
            </w:r>
          </w:p>
        </w:tc>
      </w:tr>
    </w:tbl>
    <w:p/>
    <w:p>
      <w:pPr>
        <w:jc w:val="center"/>
      </w:pPr>
      <w:r>
        <w:drawing>
          <wp:inline xmlns:a="http://schemas.openxmlformats.org/drawingml/2006/main" xmlns:pic="http://schemas.openxmlformats.org/drawingml/2006/picture">
            <wp:extent cx="5669280" cy="2042875"/>
            <wp:docPr id="8" name="Picture 8"/>
            <wp:cNvGraphicFramePr>
              <a:graphicFrameLocks noChangeAspect="1"/>
            </wp:cNvGraphicFramePr>
            <a:graphic>
              <a:graphicData uri="http://schemas.openxmlformats.org/drawingml/2006/picture">
                <pic:pic>
                  <pic:nvPicPr>
                    <pic:cNvPr id="0" name="fig11_prefix_caching.png"/>
                    <pic:cNvPicPr/>
                  </pic:nvPicPr>
                  <pic:blipFill>
                    <a:blip r:embed="rId16"/>
                    <a:stretch>
                      <a:fillRect/>
                    </a:stretch>
                  </pic:blipFill>
                  <pic:spPr>
                    <a:xfrm>
                      <a:off x="0" y="0"/>
                      <a:ext cx="5669280" cy="2042875"/>
                    </a:xfrm>
                    <a:prstGeom prst="rect"/>
                  </pic:spPr>
                </pic:pic>
              </a:graphicData>
            </a:graphic>
          </wp:inline>
        </w:drawing>
      </w:r>
    </w:p>
    <w:p>
      <w:pPr>
        <w:jc w:val="center"/>
      </w:pPr>
      <w:r>
        <w:rPr>
          <w:i/>
          <w:color w:val="6A737D"/>
          <w:sz w:val="18"/>
        </w:rPr>
        <w:t>Figure 8: Left — Token hit rate scales linearly with sharing fraction. Right — Eviction pressure drops 17× at 90% sharing.</w:t>
      </w:r>
    </w:p>
    <w:p/>
    <w:p>
      <w:r>
        <w:rPr>
          <w:b w:val="0"/>
          <w:i w:val="0"/>
        </w:rPr>
        <w:t>The token-level hit rate tracks the configured sharing fraction almost linearly, with &lt;5% loss from block-alignment rounding. The radix tree’s leaf-only LRU eviction naturally protects shared prefix nodes (they always have children), so popular prefixes are never evicted even without explicit pinning.</w:t>
      </w:r>
    </w:p>
    <w:p>
      <w:r>
        <w:rPr>
          <w:b w:val="0"/>
          <w:i w:val="0"/>
        </w:rPr>
        <w:t>For chat applications with shared system prompts, this eliminates up to 85% of prefill computation. But this success story has a dark side: what happens when the workload doesn’t share prefixes?</w:t>
      </w:r>
    </w:p>
    <w:p>
      <w:r>
        <w:br w:type="page"/>
      </w:r>
    </w:p>
    <w:p>
      <w:pPr>
        <w:pStyle w:val="Heading1"/>
      </w:pPr>
      <w:r>
        <w:t>8. The Thrashing Cliff: Cache Failure in Agentic Workloads</w:t>
      </w:r>
    </w:p>
    <w:p>
      <w:r>
        <w:rPr>
          <w:b w:val="0"/>
          <w:i w:val="0"/>
        </w:rPr>
        <w:t>Agentic inference — tool-use loops, chain-of-thought planning, multi-step code generation — is the anti-pattern for prefix caching. Each agent step appends to a growing, unique context (300 tokens at step 0, 2,700 tokens by step 12). With N concurrent sessions, the aggregate working set grows until it exceeds cache capacity. Inserting blocks for session A evicts blocks for session B, which needs exactly those blocks on its next step.</w:t>
      </w:r>
    </w:p>
    <w:p>
      <w:r>
        <w:rPr>
          <w:b w:val="0"/>
          <w:i w:val="0"/>
        </w:rPr>
        <w:t>We simulated this with a three-phase lifecycle (ramp-up, sustained load, drain) across concurrent sessions (2–12) and cache sizes (200–1,200 blocks).</w:t>
      </w:r>
    </w:p>
    <w:p>
      <w:pPr>
        <w:pStyle w:val="Heading2"/>
      </w:pPr>
      <w:r>
        <w:t>A Binary Cliff</w:t>
      </w:r>
    </w:p>
    <w:p>
      <w:pPr>
        <w:jc w:val="center"/>
      </w:pPr>
      <w:r>
        <w:drawing>
          <wp:inline xmlns:a="http://schemas.openxmlformats.org/drawingml/2006/main" xmlns:pic="http://schemas.openxmlformats.org/drawingml/2006/picture">
            <wp:extent cx="5669280" cy="2219559"/>
            <wp:docPr id="9" name="Picture 9"/>
            <wp:cNvGraphicFramePr>
              <a:graphicFrameLocks noChangeAspect="1"/>
            </wp:cNvGraphicFramePr>
            <a:graphic>
              <a:graphicData uri="http://schemas.openxmlformats.org/drawingml/2006/picture">
                <pic:pic>
                  <pic:nvPicPr>
                    <pic:cNvPr id="0" name="fig06_thrashing_cliff.png"/>
                    <pic:cNvPicPr/>
                  </pic:nvPicPr>
                  <pic:blipFill>
                    <a:blip r:embed="rId17"/>
                    <a:stretch>
                      <a:fillRect/>
                    </a:stretch>
                  </pic:blipFill>
                  <pic:spPr>
                    <a:xfrm>
                      <a:off x="0" y="0"/>
                      <a:ext cx="5669280" cy="2219559"/>
                    </a:xfrm>
                    <a:prstGeom prst="rect"/>
                  </pic:spPr>
                </pic:pic>
              </a:graphicData>
            </a:graphic>
          </wp:inline>
        </w:drawing>
      </w:r>
    </w:p>
    <w:p>
      <w:pPr>
        <w:jc w:val="center"/>
      </w:pPr>
      <w:r>
        <w:rPr>
          <w:i/>
          <w:color w:val="6A737D"/>
          <w:sz w:val="18"/>
        </w:rPr>
        <w:t>Figure 9: Left — Thrashing boundary heatmap. The transition from ~80% to ~20% hit rate is nearly instantaneous. Right — Below the threshold: no penalty. Above it: immediate 5× compute overhead, 81% wasted.</w:t>
      </w:r>
    </w:p>
    <w:p/>
    <w:p>
      <w:r>
        <w:rPr>
          <w:b w:val="0"/>
          <w:i w:val="0"/>
        </w:rPr>
        <w:t>The thrashing boundary is not a gradient — it is a cliff. Configurations where the working set fits achieve ~80% hit rate. Those that don’t drop to 17–25% and stay there for the entire sustained-load phase. There is no intermediate regime.</w:t>
      </w:r>
    </w:p>
    <w:p>
      <w:pPr>
        <w:pStyle w:val="Heading2"/>
      </w:pPr>
      <w:r>
        <w:t>Quantifying the Cost</w:t>
      </w:r>
    </w:p>
    <w:p>
      <w:r>
        <w:rPr>
          <w:b w:val="0"/>
          <w:i w:val="0"/>
        </w:rPr>
        <w:t>To measure the actual penalty, we ran every configuration twice: once with the constrained LRU cache, once with an unlimited oracle cache (500K blocks, never evicts). The gap is the exact compute wasted by thrashing.</w:t>
      </w:r>
    </w:p>
    <w:tbl>
      <w:tblPr>
        <w:tblStyle w:val="LightShading-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Config</w:t>
            </w:r>
          </w:p>
        </w:tc>
        <w:tc>
          <w:tcPr>
            <w:tcW w:type="dxa" w:w="1440"/>
          </w:tcPr>
          <w:p>
            <w:r>
              <w:rPr>
                <w:b/>
                <w:sz w:val="18"/>
              </w:rPr>
              <w:t>WS/Cache</w:t>
            </w:r>
          </w:p>
        </w:tc>
        <w:tc>
          <w:tcPr>
            <w:tcW w:type="dxa" w:w="1440"/>
          </w:tcPr>
          <w:p>
            <w:r>
              <w:rPr>
                <w:b/>
                <w:sz w:val="18"/>
              </w:rPr>
              <w:t>Compute Overhead</w:t>
            </w:r>
          </w:p>
        </w:tc>
        <w:tc>
          <w:tcPr>
            <w:tcW w:type="dxa" w:w="1440"/>
          </w:tcPr>
          <w:p>
            <w:r>
              <w:rPr>
                <w:b/>
                <w:sz w:val="18"/>
              </w:rPr>
              <w:t>Throughput</w:t>
            </w:r>
          </w:p>
        </w:tc>
        <w:tc>
          <w:tcPr>
            <w:tcW w:type="dxa" w:w="1440"/>
          </w:tcPr>
          <w:p>
            <w:r>
              <w:rPr>
                <w:b/>
                <w:sz w:val="18"/>
              </w:rPr>
              <w:t>TTFT p95</w:t>
            </w:r>
          </w:p>
        </w:tc>
        <w:tc>
          <w:tcPr>
            <w:tcW w:type="dxa" w:w="1440"/>
          </w:tcPr>
          <w:p>
            <w:r>
              <w:rPr>
                <w:b/>
                <w:sz w:val="18"/>
              </w:rPr>
              <w:t>Wasted</w:t>
            </w:r>
          </w:p>
        </w:tc>
      </w:tr>
      <w:tr>
        <w:tc>
          <w:tcPr>
            <w:tcW w:type="dxa" w:w="1440"/>
          </w:tcPr>
          <w:p>
            <w:r>
              <w:rPr>
                <w:sz w:val="18"/>
              </w:rPr>
              <w:t>2 conc, 400 blk</w:t>
            </w:r>
          </w:p>
        </w:tc>
        <w:tc>
          <w:tcPr>
            <w:tcW w:type="dxa" w:w="1440"/>
          </w:tcPr>
          <w:p>
            <w:r>
              <w:rPr>
                <w:sz w:val="18"/>
              </w:rPr>
              <w:t>0.8×</w:t>
            </w:r>
          </w:p>
        </w:tc>
        <w:tc>
          <w:tcPr>
            <w:tcW w:type="dxa" w:w="1440"/>
          </w:tcPr>
          <w:p>
            <w:r>
              <w:rPr>
                <w:sz w:val="18"/>
              </w:rPr>
              <w:t>1.00×</w:t>
            </w:r>
          </w:p>
        </w:tc>
        <w:tc>
          <w:tcPr>
            <w:tcW w:type="dxa" w:w="1440"/>
          </w:tcPr>
          <w:p>
            <w:r>
              <w:rPr>
                <w:sz w:val="18"/>
              </w:rPr>
              <w:t>100%</w:t>
            </w:r>
          </w:p>
        </w:tc>
        <w:tc>
          <w:tcPr>
            <w:tcW w:type="dxa" w:w="1440"/>
          </w:tcPr>
          <w:p>
            <w:r>
              <w:rPr>
                <w:sz w:val="18"/>
              </w:rPr>
              <w:t>1.0×</w:t>
            </w:r>
          </w:p>
        </w:tc>
        <w:tc>
          <w:tcPr>
            <w:tcW w:type="dxa" w:w="1440"/>
          </w:tcPr>
          <w:p>
            <w:r>
              <w:rPr>
                <w:sz w:val="18"/>
              </w:rPr>
              <w:t>0%</w:t>
            </w:r>
          </w:p>
        </w:tc>
      </w:tr>
      <w:tr>
        <w:tc>
          <w:tcPr>
            <w:tcW w:type="dxa" w:w="1440"/>
          </w:tcPr>
          <w:p>
            <w:r>
              <w:rPr>
                <w:sz w:val="18"/>
              </w:rPr>
              <w:t>4 conc, 400 blk</w:t>
            </w:r>
          </w:p>
        </w:tc>
        <w:tc>
          <w:tcPr>
            <w:tcW w:type="dxa" w:w="1440"/>
          </w:tcPr>
          <w:p>
            <w:r>
              <w:rPr>
                <w:sz w:val="18"/>
              </w:rPr>
              <w:t>1.7×</w:t>
            </w:r>
          </w:p>
        </w:tc>
        <w:tc>
          <w:tcPr>
            <w:tcW w:type="dxa" w:w="1440"/>
          </w:tcPr>
          <w:p>
            <w:r>
              <w:rPr>
                <w:sz w:val="18"/>
              </w:rPr>
              <w:t>1.48×</w:t>
            </w:r>
          </w:p>
        </w:tc>
        <w:tc>
          <w:tcPr>
            <w:tcW w:type="dxa" w:w="1440"/>
          </w:tcPr>
          <w:p>
            <w:r>
              <w:rPr>
                <w:sz w:val="18"/>
              </w:rPr>
              <w:t>68%</w:t>
            </w:r>
          </w:p>
        </w:tc>
        <w:tc>
          <w:tcPr>
            <w:tcW w:type="dxa" w:w="1440"/>
          </w:tcPr>
          <w:p>
            <w:r>
              <w:rPr>
                <w:sz w:val="18"/>
              </w:rPr>
              <w:t>4.9×</w:t>
            </w:r>
          </w:p>
        </w:tc>
        <w:tc>
          <w:tcPr>
            <w:tcW w:type="dxa" w:w="1440"/>
          </w:tcPr>
          <w:p>
            <w:r>
              <w:rPr>
                <w:sz w:val="18"/>
              </w:rPr>
              <w:t>32%</w:t>
            </w:r>
          </w:p>
        </w:tc>
      </w:tr>
      <w:tr>
        <w:tc>
          <w:tcPr>
            <w:tcW w:type="dxa" w:w="1440"/>
          </w:tcPr>
          <w:p>
            <w:r>
              <w:rPr>
                <w:sz w:val="18"/>
              </w:rPr>
              <w:t>6 conc, 400 blk</w:t>
            </w:r>
          </w:p>
        </w:tc>
        <w:tc>
          <w:tcPr>
            <w:tcW w:type="dxa" w:w="1440"/>
          </w:tcPr>
          <w:p>
            <w:r>
              <w:rPr>
                <w:sz w:val="18"/>
              </w:rPr>
              <w:t>2.5×</w:t>
            </w:r>
          </w:p>
        </w:tc>
        <w:tc>
          <w:tcPr>
            <w:tcW w:type="dxa" w:w="1440"/>
          </w:tcPr>
          <w:p>
            <w:r>
              <w:rPr>
                <w:sz w:val="18"/>
              </w:rPr>
              <w:t>5.19×</w:t>
            </w:r>
          </w:p>
        </w:tc>
        <w:tc>
          <w:tcPr>
            <w:tcW w:type="dxa" w:w="1440"/>
          </w:tcPr>
          <w:p>
            <w:r>
              <w:rPr>
                <w:sz w:val="18"/>
              </w:rPr>
              <w:t>19%</w:t>
            </w:r>
          </w:p>
        </w:tc>
        <w:tc>
          <w:tcPr>
            <w:tcW w:type="dxa" w:w="1440"/>
          </w:tcPr>
          <w:p>
            <w:r>
              <w:rPr>
                <w:sz w:val="18"/>
              </w:rPr>
              <w:t>11.5×</w:t>
            </w:r>
          </w:p>
        </w:tc>
        <w:tc>
          <w:tcPr>
            <w:tcW w:type="dxa" w:w="1440"/>
          </w:tcPr>
          <w:p>
            <w:r>
              <w:rPr>
                <w:sz w:val="18"/>
              </w:rPr>
              <w:t>81%</w:t>
            </w:r>
          </w:p>
        </w:tc>
      </w:tr>
      <w:tr>
        <w:tc>
          <w:tcPr>
            <w:tcW w:type="dxa" w:w="1440"/>
          </w:tcPr>
          <w:p>
            <w:r>
              <w:rPr>
                <w:sz w:val="18"/>
              </w:rPr>
              <w:t>8 conc, 400 blk</w:t>
            </w:r>
          </w:p>
        </w:tc>
        <w:tc>
          <w:tcPr>
            <w:tcW w:type="dxa" w:w="1440"/>
          </w:tcPr>
          <w:p>
            <w:r>
              <w:rPr>
                <w:sz w:val="18"/>
              </w:rPr>
              <w:t>3.4×</w:t>
            </w:r>
          </w:p>
        </w:tc>
        <w:tc>
          <w:tcPr>
            <w:tcW w:type="dxa" w:w="1440"/>
          </w:tcPr>
          <w:p>
            <w:r>
              <w:rPr>
                <w:sz w:val="18"/>
              </w:rPr>
              <w:t>5.38×</w:t>
            </w:r>
          </w:p>
        </w:tc>
        <w:tc>
          <w:tcPr>
            <w:tcW w:type="dxa" w:w="1440"/>
          </w:tcPr>
          <w:p>
            <w:r>
              <w:rPr>
                <w:sz w:val="18"/>
              </w:rPr>
              <w:t>19%</w:t>
            </w:r>
          </w:p>
        </w:tc>
        <w:tc>
          <w:tcPr>
            <w:tcW w:type="dxa" w:w="1440"/>
          </w:tcPr>
          <w:p>
            <w:r>
              <w:rPr>
                <w:sz w:val="18"/>
              </w:rPr>
              <w:t>11.6×</w:t>
            </w:r>
          </w:p>
        </w:tc>
        <w:tc>
          <w:tcPr>
            <w:tcW w:type="dxa" w:w="1440"/>
          </w:tcPr>
          <w:p>
            <w:r>
              <w:rPr>
                <w:sz w:val="18"/>
              </w:rPr>
              <w:t>81%</w:t>
            </w:r>
          </w:p>
        </w:tc>
      </w:tr>
      <w:tr>
        <w:tc>
          <w:tcPr>
            <w:tcW w:type="dxa" w:w="1440"/>
          </w:tcPr>
          <w:p>
            <w:r>
              <w:rPr>
                <w:sz w:val="18"/>
              </w:rPr>
              <w:t>12 conc, 400 blk</w:t>
            </w:r>
          </w:p>
        </w:tc>
        <w:tc>
          <w:tcPr>
            <w:tcW w:type="dxa" w:w="1440"/>
          </w:tcPr>
          <w:p>
            <w:r>
              <w:rPr>
                <w:sz w:val="18"/>
              </w:rPr>
              <w:t>5.1×</w:t>
            </w:r>
          </w:p>
        </w:tc>
        <w:tc>
          <w:tcPr>
            <w:tcW w:type="dxa" w:w="1440"/>
          </w:tcPr>
          <w:p>
            <w:r>
              <w:rPr>
                <w:sz w:val="18"/>
              </w:rPr>
              <w:t>5.38×</w:t>
            </w:r>
          </w:p>
        </w:tc>
        <w:tc>
          <w:tcPr>
            <w:tcW w:type="dxa" w:w="1440"/>
          </w:tcPr>
          <w:p>
            <w:r>
              <w:rPr>
                <w:sz w:val="18"/>
              </w:rPr>
              <w:t>19%</w:t>
            </w:r>
          </w:p>
        </w:tc>
        <w:tc>
          <w:tcPr>
            <w:tcW w:type="dxa" w:w="1440"/>
          </w:tcPr>
          <w:p>
            <w:r>
              <w:rPr>
                <w:sz w:val="18"/>
              </w:rPr>
              <w:t>11.6×</w:t>
            </w:r>
          </w:p>
        </w:tc>
        <w:tc>
          <w:tcPr>
            <w:tcW w:type="dxa" w:w="1440"/>
          </w:tcPr>
          <w:p>
            <w:r>
              <w:rPr>
                <w:sz w:val="18"/>
              </w:rPr>
              <w:t>81%</w:t>
            </w:r>
          </w:p>
        </w:tc>
      </w:tr>
    </w:tbl>
    <w:p/>
    <w:p>
      <w:r>
        <w:rPr>
          <w:b w:val="0"/>
          <w:i w:val="0"/>
        </w:rPr>
        <w:t>Once above the threshold, 81–84% of prefill compute is wasted. TTFT inflates by 11.6× at p95. Adding more concurrent sessions beyond the threshold changes nothing — the penalty is already maxed. For long agents (24 steps, 7,500-token contexts), the overhead reaches 11.55×, wasting 91% of compute.</w:t>
      </w:r>
    </w:p>
    <w:p>
      <w:pPr>
        <w:pStyle w:val="Heading2"/>
      </w:pPr>
      <w:r>
        <w:t>Utilization Masks the Problem</w:t>
      </w:r>
    </w:p>
    <w:p>
      <w:r>
        <w:rPr>
          <w:b w:val="0"/>
          <w:i w:val="0"/>
        </w:rPr>
        <w:t>The most operationally dangerous finding: during severe thrashing (12 concurrent, 400 blocks), cache utilization is ~83% while token hit rate is ~18%. A monitoring system that only tracks utilization would report the cache as healthy. The diagnostic triad is: high utilization + high eviction rate + low hit rate = thrashing.</w:t>
      </w:r>
    </w:p>
    <w:p>
      <w:pPr>
        <w:pStyle w:val="Heading2"/>
      </w:pPr>
      <w:r>
        <w:t>Heterogeneous Agents Make It Worse</w:t>
      </w:r>
    </w:p>
    <w:p>
      <w:pPr>
        <w:jc w:val="center"/>
      </w:pPr>
      <w:r>
        <w:drawing>
          <wp:inline xmlns:a="http://schemas.openxmlformats.org/drawingml/2006/main" xmlns:pic="http://schemas.openxmlformats.org/drawingml/2006/picture">
            <wp:extent cx="5669280" cy="2252441"/>
            <wp:docPr id="10" name="Picture 10"/>
            <wp:cNvGraphicFramePr>
              <a:graphicFrameLocks noChangeAspect="1"/>
            </wp:cNvGraphicFramePr>
            <a:graphic>
              <a:graphicData uri="http://schemas.openxmlformats.org/drawingml/2006/picture">
                <pic:pic>
                  <pic:nvPicPr>
                    <pic:cNvPr id="0" name="fig07_utilization_lies_hetero.png"/>
                    <pic:cNvPicPr/>
                  </pic:nvPicPr>
                  <pic:blipFill>
                    <a:blip r:embed="rId18"/>
                    <a:stretch>
                      <a:fillRect/>
                    </a:stretch>
                  </pic:blipFill>
                  <pic:spPr>
                    <a:xfrm>
                      <a:off x="0" y="0"/>
                      <a:ext cx="5669280" cy="2252441"/>
                    </a:xfrm>
                    <a:prstGeom prst="rect"/>
                  </pic:spPr>
                </pic:pic>
              </a:graphicData>
            </a:graphic>
          </wp:inline>
        </w:drawing>
      </w:r>
    </w:p>
    <w:p>
      <w:pPr>
        <w:jc w:val="center"/>
      </w:pPr>
      <w:r>
        <w:rPr>
          <w:i/>
          <w:color w:val="6A737D"/>
          <w:sz w:val="18"/>
        </w:rPr>
        <w:t>Figure 10: Left — Utilization stays high (~83%) while hit rate collapses to 18%. Right — Agent mix at 800 blocks: short+long (21%) is worse than all-medium (56%).</w:t>
      </w:r>
    </w:p>
    <w:p/>
    <w:p>
      <w:r>
        <w:rPr>
          <w:b w:val="0"/>
          <w:i w:val="0"/>
        </w:rPr>
        <w:t>We simulated heterogeneous agent pools (short: 4 steps / 39 blocks, medium: 12 steps / 169 blocks, long: 24 steps / 469 blocks). When short and long agents share a cache, long agents’ massive insertions evict short agents’ prefixes. Short agents lose 35 percentage points of hit rate; long agents barely notice. The short+long mix (21% hit rate at 800 blocks) performs worse than all-medium (56%) despite half the pool being lightweight — a counterintuitive result the simulator surfaces clearly.</w:t>
      </w:r>
    </w:p>
    <w:p>
      <w:r>
        <w:rPr>
          <w:b w:val="0"/>
          <w:i w:val="0"/>
        </w:rPr>
        <w:t>The capacity planning implication: provision for the largest agent type’s full working set × its concurrent count, not the average across types.</w:t>
      </w:r>
    </w:p>
    <w:p>
      <w:r>
        <w:br w:type="page"/>
      </w:r>
    </w:p>
    <w:p>
      <w:pPr>
        <w:pStyle w:val="Heading1"/>
      </w:pPr>
      <w:r>
        <w:t>9. The Full Compression Stack</w:t>
      </w:r>
    </w:p>
    <w:p>
      <w:pPr>
        <w:jc w:val="center"/>
      </w:pPr>
      <w:r>
        <w:drawing>
          <wp:inline xmlns:a="http://schemas.openxmlformats.org/drawingml/2006/main" xmlns:pic="http://schemas.openxmlformats.org/drawingml/2006/picture">
            <wp:extent cx="5669280" cy="2445809"/>
            <wp:docPr id="11" name="Picture 11"/>
            <wp:cNvGraphicFramePr>
              <a:graphicFrameLocks noChangeAspect="1"/>
            </wp:cNvGraphicFramePr>
            <a:graphic>
              <a:graphicData uri="http://schemas.openxmlformats.org/drawingml/2006/picture">
                <pic:pic>
                  <pic:nvPicPr>
                    <pic:cNvPr id="0" name="fig10_full_compression_stack.png"/>
                    <pic:cNvPicPr/>
                  </pic:nvPicPr>
                  <pic:blipFill>
                    <a:blip r:embed="rId19"/>
                    <a:stretch>
                      <a:fillRect/>
                    </a:stretch>
                  </pic:blipFill>
                  <pic:spPr>
                    <a:xfrm>
                      <a:off x="0" y="0"/>
                      <a:ext cx="5669280" cy="2445809"/>
                    </a:xfrm>
                    <a:prstGeom prst="rect"/>
                  </pic:spPr>
                </pic:pic>
              </a:graphicData>
            </a:graphic>
          </wp:inline>
        </w:drawing>
      </w:r>
    </w:p>
    <w:p>
      <w:pPr>
        <w:jc w:val="center"/>
      </w:pPr>
      <w:r>
        <w:rPr>
          <w:i/>
          <w:color w:val="6A737D"/>
          <w:sz w:val="18"/>
        </w:rPr>
        <w:t>Figure 11: Each technique compounds. MHA FP16 (2,560 GB) → MLA + TurboQuant + Prefix Cache (1.9 GB effective at 1M context). The H100 80 GB line shows the single-GPU feasibility boundary.</w:t>
      </w:r>
    </w:p>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Layer</w:t>
            </w:r>
          </w:p>
        </w:tc>
        <w:tc>
          <w:tcPr>
            <w:tcW w:type="dxa" w:w="2160"/>
          </w:tcPr>
          <w:p>
            <w:r>
              <w:rPr>
                <w:b/>
                <w:sz w:val="18"/>
              </w:rPr>
              <w:t>Technique</w:t>
            </w:r>
          </w:p>
        </w:tc>
        <w:tc>
          <w:tcPr>
            <w:tcW w:type="dxa" w:w="2160"/>
          </w:tcPr>
          <w:p>
            <w:r>
              <w:rPr>
                <w:b/>
                <w:sz w:val="18"/>
              </w:rPr>
              <w:t>What It Reduces</w:t>
            </w:r>
          </w:p>
        </w:tc>
        <w:tc>
          <w:tcPr>
            <w:tcW w:type="dxa" w:w="2160"/>
          </w:tcPr>
          <w:p>
            <w:r>
              <w:rPr>
                <w:b/>
                <w:sz w:val="18"/>
              </w:rPr>
              <w:t>Measured Compression</w:t>
            </w:r>
          </w:p>
        </w:tc>
      </w:tr>
      <w:tr>
        <w:tc>
          <w:tcPr>
            <w:tcW w:type="dxa" w:w="2160"/>
          </w:tcPr>
          <w:p>
            <w:r>
              <w:rPr>
                <w:sz w:val="18"/>
              </w:rPr>
              <w:t>Architecture</w:t>
            </w:r>
          </w:p>
        </w:tc>
        <w:tc>
          <w:tcPr>
            <w:tcW w:type="dxa" w:w="2160"/>
          </w:tcPr>
          <w:p>
            <w:r>
              <w:rPr>
                <w:sz w:val="18"/>
              </w:rPr>
              <w:t>MHA → GQA → MLA</w:t>
            </w:r>
          </w:p>
        </w:tc>
        <w:tc>
          <w:tcPr>
            <w:tcW w:type="dxa" w:w="2160"/>
          </w:tcPr>
          <w:p>
            <w:r>
              <w:rPr>
                <w:sz w:val="18"/>
              </w:rPr>
              <w:t>KV bytes per token</w:t>
            </w:r>
          </w:p>
        </w:tc>
        <w:tc>
          <w:tcPr>
            <w:tcW w:type="dxa" w:w="2160"/>
          </w:tcPr>
          <w:p>
            <w:r>
              <w:rPr>
                <w:sz w:val="18"/>
              </w:rPr>
              <w:t>28.4×</w:t>
            </w:r>
          </w:p>
        </w:tc>
      </w:tr>
      <w:tr>
        <w:tc>
          <w:tcPr>
            <w:tcW w:type="dxa" w:w="2160"/>
          </w:tcPr>
          <w:p>
            <w:r>
              <w:rPr>
                <w:sz w:val="18"/>
              </w:rPr>
              <w:t>Attention sparsity</w:t>
            </w:r>
          </w:p>
        </w:tc>
        <w:tc>
          <w:tcPr>
            <w:tcW w:type="dxa" w:w="2160"/>
          </w:tcPr>
          <w:p>
            <w:r>
              <w:rPr>
                <w:sz w:val="18"/>
              </w:rPr>
              <w:t>Sparse attention</w:t>
            </w:r>
          </w:p>
        </w:tc>
        <w:tc>
          <w:tcPr>
            <w:tcW w:type="dxa" w:w="2160"/>
          </w:tcPr>
          <w:p>
            <w:r>
              <w:rPr>
                <w:sz w:val="18"/>
              </w:rPr>
              <w:t>Tokens attended per query</w:t>
            </w:r>
          </w:p>
        </w:tc>
        <w:tc>
          <w:tcPr>
            <w:tcW w:type="dxa" w:w="2160"/>
          </w:tcPr>
          <w:p>
            <w:r>
              <w:rPr>
                <w:sz w:val="18"/>
              </w:rPr>
              <w:t>variable</w:t>
            </w:r>
          </w:p>
        </w:tc>
      </w:tr>
      <w:tr>
        <w:tc>
          <w:tcPr>
            <w:tcW w:type="dxa" w:w="2160"/>
          </w:tcPr>
          <w:p>
            <w:r>
              <w:rPr>
                <w:sz w:val="18"/>
              </w:rPr>
              <w:t>Conditional memory</w:t>
            </w:r>
          </w:p>
        </w:tc>
        <w:tc>
          <w:tcPr>
            <w:tcW w:type="dxa" w:w="2160"/>
          </w:tcPr>
          <w:p>
            <w:r>
              <w:rPr>
                <w:sz w:val="18"/>
              </w:rPr>
              <w:t>Engram</w:t>
            </w:r>
          </w:p>
        </w:tc>
        <w:tc>
          <w:tcPr>
            <w:tcW w:type="dxa" w:w="2160"/>
          </w:tcPr>
          <w:p>
            <w:r>
              <w:rPr>
                <w:sz w:val="18"/>
              </w:rPr>
              <w:t>HBM expert IO per layer</w:t>
            </w:r>
          </w:p>
        </w:tc>
        <w:tc>
          <w:tcPr>
            <w:tcW w:type="dxa" w:w="2160"/>
          </w:tcPr>
          <w:p>
            <w:r>
              <w:rPr>
                <w:sz w:val="18"/>
              </w:rPr>
              <w:t>24% reduction</w:t>
            </w:r>
          </w:p>
        </w:tc>
      </w:tr>
      <w:tr>
        <w:tc>
          <w:tcPr>
            <w:tcW w:type="dxa" w:w="2160"/>
          </w:tcPr>
          <w:p>
            <w:r>
              <w:rPr>
                <w:sz w:val="18"/>
              </w:rPr>
              <w:t>Quantization</w:t>
            </w:r>
          </w:p>
        </w:tc>
        <w:tc>
          <w:tcPr>
            <w:tcW w:type="dxa" w:w="2160"/>
          </w:tcPr>
          <w:p>
            <w:r>
              <w:rPr>
                <w:sz w:val="18"/>
              </w:rPr>
              <w:t>TurboQuant 3-bit</w:t>
            </w:r>
          </w:p>
        </w:tc>
        <w:tc>
          <w:tcPr>
            <w:tcW w:type="dxa" w:w="2160"/>
          </w:tcPr>
          <w:p>
            <w:r>
              <w:rPr>
                <w:sz w:val="18"/>
              </w:rPr>
              <w:t>KV bits per element</w:t>
            </w:r>
          </w:p>
        </w:tc>
        <w:tc>
          <w:tcPr>
            <w:tcW w:type="dxa" w:w="2160"/>
          </w:tcPr>
          <w:p>
            <w:r>
              <w:rPr>
                <w:sz w:val="18"/>
              </w:rPr>
              <w:t>5.33×</w:t>
            </w:r>
          </w:p>
        </w:tc>
      </w:tr>
      <w:tr>
        <w:tc>
          <w:tcPr>
            <w:tcW w:type="dxa" w:w="2160"/>
          </w:tcPr>
          <w:p>
            <w:r>
              <w:rPr>
                <w:sz w:val="18"/>
              </w:rPr>
              <w:t>Cache management</w:t>
            </w:r>
          </w:p>
        </w:tc>
        <w:tc>
          <w:tcPr>
            <w:tcW w:type="dxa" w:w="2160"/>
          </w:tcPr>
          <w:p>
            <w:r>
              <w:rPr>
                <w:sz w:val="18"/>
              </w:rPr>
              <w:t>Prefix caching</w:t>
            </w:r>
          </w:p>
        </w:tc>
        <w:tc>
          <w:tcPr>
            <w:tcW w:type="dxa" w:w="2160"/>
          </w:tcPr>
          <w:p>
            <w:r>
              <w:rPr>
                <w:sz w:val="18"/>
              </w:rPr>
              <w:t>Redundant prefill compute</w:t>
            </w:r>
          </w:p>
        </w:tc>
        <w:tc>
          <w:tcPr>
            <w:tcW w:type="dxa" w:w="2160"/>
          </w:tcPr>
          <w:p>
            <w:r>
              <w:rPr>
                <w:sz w:val="18"/>
              </w:rPr>
              <w:t>up to 85%</w:t>
            </w:r>
          </w:p>
        </w:tc>
      </w:tr>
    </w:tbl>
    <w:p/>
    <w:p>
      <w:pPr>
        <w:pStyle w:val="Heading1"/>
      </w:pPr>
      <w:r>
        <w:t>10. What the Simulator Shows</w:t>
      </w:r>
    </w:p>
    <w:p>
      <w:r>
        <w:rPr>
          <w:b w:val="0"/>
          <w:i w:val="0"/>
        </w:rPr>
        <w:t>Across all these experiments, several findings emerge that would be difficult to obtain from either theoretical analysis or end-to-end benchmarking alone:</w:t>
      </w:r>
    </w:p>
    <w:p>
      <w:r>
        <w:rPr>
          <w:b w:val="0"/>
          <w:i w:val="0"/>
        </w:rPr>
        <w:t>1. The IO wall is quantifiable at per-layer granularity. Dense MHA models are IO-bound in 100% of decode batches with a 4.94× IO/compute ratio. MLA reduces this to 1.47×, shifting the bottleneck to communication at scale.</w:t>
      </w:r>
    </w:p>
    <w:p>
      <w:r>
        <w:rPr>
          <w:b w:val="0"/>
          <w:i w:val="0"/>
        </w:rPr>
        <w:t>2. Architectural compression and quantization compose multiplicatively. MLA + TurboQuant achieves 199× compression at 1M context (12.9 GB), making million-token single-GPU inference feasible.</w:t>
      </w:r>
    </w:p>
    <w:p>
      <w:r>
        <w:rPr>
          <w:b w:val="0"/>
          <w:i w:val="0"/>
        </w:rPr>
        <w:t>3. Engram achieves a Pareto improvement — better quality AND lower latency — because deterministic prefetching makes its IO structurally invisible. The simulator confirms the prefetch budget never drops below 9× the DMA transfer.</w:t>
      </w:r>
    </w:p>
    <w:p>
      <w:r>
        <w:rPr>
          <w:b w:val="0"/>
          <w:i w:val="0"/>
        </w:rPr>
        <w:t>4. Cache thrashing is a hard phase boundary, not a gradient. There is no graceful degradation: 81% of compute is wasted the moment the working set exceeds cache capacity. Standard utilization metrics completely mask this failure.</w:t>
      </w:r>
    </w:p>
    <w:p>
      <w:r>
        <w:rPr>
          <w:b w:val="0"/>
          <w:i w:val="0"/>
        </w:rPr>
        <w:t>5. Heterogeneous agent pools are worse than the worst individual type. Long agents destroy short agents’ cache with asymmetric fairness failure. Capacity planning must dimension for the largest type, not the average.</w:t>
      </w:r>
    </w:p>
    <w:p>
      <w:r>
        <w:rPr>
          <w:b w:val="0"/>
          <w:i w:val="0"/>
        </w:rPr>
        <w:t>6. Faster GPUs widen the IO gap. H100’s 3.2× compute improvement outpaces its 2× bandwidth improvement. Each GPU generation makes KV IO relatively more of the bottleneck.</w:t>
      </w:r>
    </w:p>
    <w:p/>
    <w:p>
      <w:r>
        <w:rPr>
          <w:b w:val="0"/>
          <w:i/>
        </w:rPr>
        <w:t>All experiments, scripts, profiling data, and generated figures are available in the Vidur repository. The simulator runs without GPUs and can be extended with new techniques by specifying their IO and compute characteristics — no hardware required.</w:t>
      </w:r>
    </w:p>
    <w:p/>
    <w:p>
      <w:pPr>
        <w:jc w:val="center"/>
      </w:pPr>
      <w:r>
        <w:rPr>
          <w:i/>
          <w:color w:val="959DA5"/>
          <w:sz w:val="18"/>
        </w:rPr>
        <w:t>Vidur: High-Fidelity LLM Inference Simulator  ·  MSR-India Systems Group &amp; Systems for AI Lab @ Georgia Tech  ·  MLSys’24  (arxiv.org/abs/2405.05465)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2429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4292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4292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292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