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InferLens</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InferLens,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2026 (TurboQuant) and January 2026 (Engram), obtaining results quantitatively consistent with their respective papers.</w:t>
      </w:r>
    </w:p>
    <w:p/>
    <w:p>
      <w:r>
        <w:br w:type="page"/>
      </w:r>
    </w:p>
    <w:p>
      <w:pPr>
        <w:pStyle w:val="Heading1"/>
      </w:pPr>
      <w:r>
        <w:t>1. InferLens: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InferLens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(compute, IO, communication) with overlap computation</w:t>
      </w:r>
    </w:p>
    <w:p>
      <w:r>
        <w:rPr>
          <w:b w:val="0"/>
          <w:i w:val="0"/>
        </w:rPr>
        <w:t>•  GPU-initiated KV cache prefetching (overlapping the next layer’s KV load with the current layer’s compute)</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  Agentic workload simulation with configurable session lifecycles, concurrent agent pools, and heterogeneous agent types (varying step counts and context growth rates)</w:t>
      </w:r>
    </w:p>
    <w:p>
      <w:r>
        <w:rPr>
          <w:b w:val="0"/>
          <w:i w:val="0"/>
        </w:rPr>
        <w:t>A note on methodology: compute and communication times are derived from real GPU profiling data — empirical MFU (Model FLOPs Utilization) values measured on actual hardware and profiled interconnect throughput. IO times (KV cache loads, expert weight transfers) are currently calculated theoretically from published HBM and PCIe bandwidth specifications. We plan to replace the theoretical IO model with real profiling data in a future release, which will capture effects like bandwidth contention and memory access pattern irregularities.</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Pr>
        <w:pStyle w:val="Heading2"/>
      </w:pPr>
      <w:r>
        <w:t>Roadmap</w:t>
      </w:r>
    </w:p>
    <w:p>
      <w:r>
        <w:rPr>
          <w:b w:val="0"/>
          <w:i w:val="0"/>
        </w:rPr>
        <w:t>The rest of the post walks the KV cache problem end-to-end, each section answering one question the simulator lets us ask cheaply:</w:t>
      </w:r>
    </w:p>
    <w:p>
      <w:r>
        <w:rPr>
          <w:b w:val="0"/>
          <w:i w:val="0"/>
        </w:rPr>
        <w:t>•  § 2. Establishing the IO Wall — decompose decode latency per layer and show KV load, not compute, is what stalls the GPU.</w:t>
      </w:r>
    </w:p>
    <w:p>
      <w:r>
        <w:rPr>
          <w:b w:val="0"/>
          <w:i w:val="0"/>
        </w:rPr>
        <w:t>•  § 3. The Compression Ladder: MHA → GQA → MLA — trace how each generation of attention shrinks the per-token KV footprint, and what that does to prefill-decode disaggregation.</w:t>
      </w:r>
    </w:p>
    <w:p>
      <w:r>
        <w:rPr>
          <w:b w:val="0"/>
          <w:i w:val="0"/>
        </w:rPr>
        <w:t>•  § 4. DeepSeek Sparse Attention — push compression past the representation layer into the access pattern itself: not every token needs to be read every step.</w:t>
      </w:r>
    </w:p>
    <w:p>
      <w:r>
        <w:rPr>
          <w:b w:val="0"/>
          <w:i w:val="0"/>
        </w:rPr>
        <w:t>•  § 5. Engram: Conditional Memory — make the KV cache content-addressable so decode IO becomes O(1) in context length instead of O(n).</w:t>
      </w:r>
    </w:p>
    <w:p>
      <w:r>
        <w:rPr>
          <w:b w:val="0"/>
          <w:i w:val="0"/>
        </w:rPr>
        <w:t>•  § 6. TurboQuant — simulate 3-bit KV quantization across every architecture in one sweep, and cross-validate against Google’s published numbers.</w:t>
      </w:r>
    </w:p>
    <w:p>
      <w:r>
        <w:rPr>
          <w:b w:val="0"/>
          <w:i w:val="0"/>
        </w:rPr>
        <w:t>•  § 7. Prefix Caching — what happens when workloads share structure and the cache can actually hit.</w:t>
      </w:r>
    </w:p>
    <w:p>
      <w:r>
        <w:rPr>
          <w:b w:val="0"/>
          <w:i w:val="0"/>
        </w:rPr>
        <w:t>•  § 8. The Thrashing Cliff — what happens when they don’t: a binary collapse in agentic workloads, plus a tiered-cache experiment that converts cache misses from compute back into IO (and hides the IO behind compute).</w:t>
      </w:r>
    </w:p>
    <w:p>
      <w:r>
        <w:rPr>
          <w:b w:val="0"/>
          <w:i w:val="0"/>
        </w:rPr>
        <w:t>•  § 9. The Full Compression Stack — compose every technique above and measure how far the IO wall actually moves.</w:t>
      </w:r>
    </w:p>
    <w:p>
      <w:r>
        <w:rPr>
          <w:b w:val="0"/>
          <w:i w:val="0"/>
        </w:rPr>
        <w:t>•  § 10. What the Simulator Shows — the findings that fell out of running these experiments at zero GPU cost.</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r>
        <w:rPr>
          <w:b w:val="0"/>
          <w:i w:val="0"/>
        </w:rPr>
        <w:t>This result is expected from first principles: during decode, each token generation loads the KV cache for all past tokens but computes only for the single new token. The arithmetic intensity is O(1) — a constant number of FLOPs per byte loaded — making decode inherently memory-bandwidth-bound regardless of model size or GPU generation.</w:t>
      </w:r>
    </w:p>
    <w:p>
      <w:pPr>
        <w:pStyle w:val="Heading2"/>
      </w:pPr>
      <w:r>
        <w:t>Prefill Is Always Compute-Bound</w:t>
      </w:r>
    </w:p>
    <w:p>
      <w:r>
        <w:rPr>
          <w:b w:val="0"/>
          <w:i w:val="0"/>
        </w:rPr>
        <w:t>An important contrast: while decode is IO-bound, prefill is always compute-bound — regardless of context length, model size, or prefix sharing fraction. During prefill, the model processes the entire input prompt in a single forward pass, performing large GEMMs (QKV projection, attention output, MLP/MoE) over all input tokens to generate the KV cache from scratch. There is no KV cache to load — it is being computed for the first time.</w:t>
      </w:r>
    </w:p>
    <w:p>
      <w:r>
        <w:rPr>
          <w:b w:val="0"/>
          <w:i w:val="0"/>
        </w:rPr>
        <w:t>The simulator’s Gantt charts confirm this: prefill layers show only compute bars (attention and MLP) with zero IO bars. This also explains why TurboQuant’s KV compression has no effect on TTFT (time to first token): prefill does not load KV from cache, so compressing it saves nothing during that phase. The speedup is confined entirely to decode, where KV cache IO dominates.</w:t>
      </w:r>
    </w:p>
    <w:p>
      <w:pPr>
        <w:jc w:val="center"/>
      </w:pPr>
      <w:r>
        <w:drawing>
          <wp:inline xmlns:a="http://schemas.openxmlformats.org/drawingml/2006/main" xmlns:pic="http://schemas.openxmlformats.org/drawingml/2006/picture">
            <wp:extent cx="5669280" cy="2771230"/>
            <wp:docPr id="2" name="Picture 2"/>
            <wp:cNvGraphicFramePr>
              <a:graphicFrameLocks noChangeAspect="1"/>
            </wp:cNvGraphicFramePr>
            <a:graphic>
              <a:graphicData uri="http://schemas.openxmlformats.org/drawingml/2006/picture">
                <pic:pic>
                  <pic:nvPicPr>
                    <pic:cNvPr id="0" name="fig12_prefill_vs_decode.png"/>
                    <pic:cNvPicPr/>
                  </pic:nvPicPr>
                  <pic:blipFill>
                    <a:blip r:embed="rId10"/>
                    <a:stretch>
                      <a:fillRect/>
                    </a:stretch>
                  </pic:blipFill>
                  <pic:spPr>
                    <a:xfrm>
                      <a:off x="0" y="0"/>
                      <a:ext cx="5669280" cy="2771230"/>
                    </a:xfrm>
                    <a:prstGeom prst="rect"/>
                  </pic:spPr>
                </pic:pic>
              </a:graphicData>
            </a:graphic>
          </wp:inline>
        </w:drawing>
      </w:r>
    </w:p>
    <w:p>
      <w:pPr>
        <w:jc w:val="center"/>
      </w:pPr>
      <w:r>
        <w:rPr>
          <w:i/>
          <w:color w:val="6A737D"/>
          <w:sz w:val="18"/>
        </w:rPr>
        <w:t>Figure 2: Prefill (left) performs only compute — GEMMs over input tokens to generate KV. Decode (right) is dominated by KV cache IO, loading previously computed KV for every past token.</w:t>
      </w:r>
    </w:p>
    <w:p/>
    <w:p>
      <w:pPr>
        <w:pStyle w:val="Heading2"/>
      </w:pPr>
      <w:r>
        <w:t>The Three-Stream Hardware Model</w:t>
      </w:r>
    </w:p>
    <w:p>
      <w:r>
        <w:rPr>
          <w:b w:val="0"/>
          <w:i w:val="0"/>
        </w:rPr>
        <w:t>The simulator models three independent GPU execution streams: compute, IO (memory transfers), and communication. KV cache prefetching overlaps the next layer’s IO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398891"/>
            <wp:docPr id="3" name="Picture 3"/>
            <wp:cNvGraphicFramePr>
              <a:graphicFrameLocks noChangeAspect="1"/>
            </wp:cNvGraphicFramePr>
            <a:graphic>
              <a:graphicData uri="http://schemas.openxmlformats.org/drawingml/2006/picture">
                <pic:pic>
                  <pic:nvPicPr>
                    <pic:cNvPr id="0" name="fig09_three_stream_scheduling.png"/>
                    <pic:cNvPicPr/>
                  </pic:nvPicPr>
                  <pic:blipFill>
                    <a:blip r:embed="rId11"/>
                    <a:stretch>
                      <a:fillRect/>
                    </a:stretch>
                  </pic:blipFill>
                  <pic:spPr>
                    <a:xfrm>
                      <a:off x="0" y="0"/>
                      <a:ext cx="5669280" cy="2398891"/>
                    </a:xfrm>
                    <a:prstGeom prst="rect"/>
                  </pic:spPr>
                </pic:pic>
              </a:graphicData>
            </a:graphic>
          </wp:inline>
        </w:drawing>
      </w:r>
    </w:p>
    <w:p>
      <w:pPr>
        <w:jc w:val="center"/>
      </w:pPr>
      <w:r>
        <w:rPr>
          <w:i/>
          <w:color w:val="6A737D"/>
          <w:sz w:val="18"/>
        </w:rPr>
        <w:t>Figure 3: Sequential IO (top) vs. GPU-initiated prefetch (bottom). IO overlaps with compute, but savings are capped by compute time.</w:t>
      </w:r>
    </w:p>
    <w:p/>
    <w:p>
      <w:r>
        <w:rPr>
          <w:b w:val="0"/>
          <w:i w:val="0"/>
        </w:rPr>
        <w:t>A critical implication: in dense architectures, decode IO can never be fully covered by compute. Prefetch savings are bounded by min(compute_time, next_kv_load_time). For MHA, where the IO/Compute ratio is 4.94×, the compute window is roughly one-fifth the duration of the next KV load — at most ~20% of the IO can be hidden behind compute. The remaining ~80% is exposed latency that no scheduling trick can eliminate. The only remedy is reducing the bytes themselves (via architectural compression or quantization).</w:t>
      </w:r>
    </w:p>
    <w:p>
      <w:pPr>
        <w:pStyle w:val="Heading2"/>
      </w:pPr>
      <w:r>
        <w:t>Context Length, Not Batch Size, Drives IO</w:t>
      </w:r>
    </w:p>
    <w:p>
      <w:r>
        <w:rPr>
          <w:b w:val="0"/>
          <w:i w:val="0"/>
        </w:rPr>
        <w:t>We swept batch sizes from 16 to 512 for DeepSeek-V3 and found the IO/Compute ratio constant at 1.34× across every batch size. This is expected: doubling the batch doubles both the total KV bytes loaded (IO) and the total FLOPs computed, so the ratio cancels. What does change the ratio is context length: longer contexts mean more KV bytes per request, but the MLP compute per token (which dominates at short contexts) stays fixed. As context grows, IO grows while MLP compute does not, eventually tipping the balance. For DeepSeek-V3 with MLA, the crossover (IO = compute) occurs at ~38,480 tokens.</w:t>
      </w:r>
    </w:p>
    <w:p>
      <w:pPr>
        <w:jc w:val="center"/>
      </w:pPr>
      <w:r>
        <w:drawing>
          <wp:inline xmlns:a="http://schemas.openxmlformats.org/drawingml/2006/main" xmlns:pic="http://schemas.openxmlformats.org/drawingml/2006/picture">
            <wp:extent cx="5669280" cy="1899756"/>
            <wp:docPr id="4" name="Picture 4"/>
            <wp:cNvGraphicFramePr>
              <a:graphicFrameLocks noChangeAspect="1"/>
            </wp:cNvGraphicFramePr>
            <a:graphic>
              <a:graphicData uri="http://schemas.openxmlformats.org/drawingml/2006/picture">
                <pic:pic>
                  <pic:nvPicPr>
                    <pic:cNvPr id="0" name="fig03_io_compute_shift.png"/>
                    <pic:cNvPicPr/>
                  </pic:nvPicPr>
                  <pic:blipFill>
                    <a:blip r:embed="rId12"/>
                    <a:stretch>
                      <a:fillRect/>
                    </a:stretch>
                  </pic:blipFill>
                  <pic:spPr>
                    <a:xfrm>
                      <a:off x="0" y="0"/>
                      <a:ext cx="5669280" cy="1899756"/>
                    </a:xfrm>
                    <a:prstGeom prst="rect"/>
                  </pic:spPr>
                </pic:pic>
              </a:graphicData>
            </a:graphic>
          </wp:inline>
        </w:drawing>
      </w:r>
    </w:p>
    <w:p>
      <w:pPr>
        <w:jc w:val="center"/>
      </w:pPr>
      <w:r>
        <w:rPr>
          <w:i/>
          <w:color w:val="6A737D"/>
          <w:sz w:val="18"/>
        </w:rPr>
        <w:t>Figure 4: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r>
        <w:rPr>
          <w:b w:val="0"/>
          <w:i w:val="0"/>
        </w:rPr>
        <w:t>These compression ratios follow directly from the architecture parameters: GQA shares KV heads across query heads, reducing bytes by the query-to-KV head ratio (64/8 = 8×). MLA projects the full KV state into a low-rank latent space, reducing bytes proportionally to the latent dimension ratio (32,768 / 1,152 = 28.4×). These are structural properties of the architecture, not empirical findings.</w:t>
      </w:r>
    </w:p>
    <w:p>
      <w:pPr>
        <w:jc w:val="center"/>
      </w:pPr>
      <w:r>
        <w:drawing>
          <wp:inline xmlns:a="http://schemas.openxmlformats.org/drawingml/2006/main" xmlns:pic="http://schemas.openxmlformats.org/drawingml/2006/picture">
            <wp:extent cx="5669280" cy="2095414"/>
            <wp:docPr id="5" name="Picture 5"/>
            <wp:cNvGraphicFramePr>
              <a:graphicFrameLocks noChangeAspect="1"/>
            </wp:cNvGraphicFramePr>
            <a:graphic>
              <a:graphicData uri="http://schemas.openxmlformats.org/drawingml/2006/picture">
                <pic:pic>
                  <pic:nvPicPr>
                    <pic:cNvPr id="0" name="fig02_kv_cache_size_landscape.png"/>
                    <pic:cNvPicPr/>
                  </pic:nvPicPr>
                  <pic:blipFill>
                    <a:blip r:embed="rId13"/>
                    <a:stretch>
                      <a:fillRect/>
                    </a:stretch>
                  </pic:blipFill>
                  <pic:spPr>
                    <a:xfrm>
                      <a:off x="0" y="0"/>
                      <a:ext cx="5669280" cy="2095414"/>
                    </a:xfrm>
                    <a:prstGeom prst="rect"/>
                  </pic:spPr>
                </pic:pic>
              </a:graphicData>
            </a:graphic>
          </wp:inline>
        </w:drawing>
      </w:r>
    </w:p>
    <w:p>
      <w:pPr>
        <w:jc w:val="center"/>
      </w:pPr>
      <w:r>
        <w:rPr>
          <w:i/>
          <w:color w:val="6A737D"/>
          <w:sz w:val="18"/>
        </w:rPr>
        <w:t>Figure 5: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6" name="Picture 6"/>
            <wp:cNvGraphicFramePr>
              <a:graphicFrameLocks noChangeAspect="1"/>
            </wp:cNvGraphicFramePr>
            <a:graphic>
              <a:graphicData uri="http://schemas.openxmlformats.org/drawingml/2006/picture">
                <pic:pic>
                  <pic:nvPicPr>
                    <pic:cNvPr id="0" name="fig08_pdd_transfer_dominance.png"/>
                    <pic:cNvPicPr/>
                  </pic:nvPicPr>
                  <pic:blipFill>
                    <a:blip r:embed="rId14"/>
                    <a:stretch>
                      <a:fillRect/>
                    </a:stretch>
                  </pic:blipFill>
                  <pic:spPr>
                    <a:xfrm>
                      <a:off x="0" y="0"/>
                      <a:ext cx="5669280" cy="2616229"/>
                    </a:xfrm>
                    <a:prstGeom prst="rect"/>
                  </pic:spPr>
                </pic:pic>
              </a:graphicData>
            </a:graphic>
          </wp:inline>
        </w:drawing>
      </w:r>
    </w:p>
    <w:p>
      <w:pPr>
        <w:jc w:val="center"/>
      </w:pPr>
      <w:r>
        <w:rPr>
          <w:i/>
          <w:color w:val="6A737D"/>
          <w:sz w:val="18"/>
        </w:rPr>
        <w:t>Figure 6: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pPr>
        <w:jc w:val="center"/>
      </w:pPr>
      <w:r>
        <w:drawing>
          <wp:inline xmlns:a="http://schemas.openxmlformats.org/drawingml/2006/main" xmlns:pic="http://schemas.openxmlformats.org/drawingml/2006/picture">
            <wp:extent cx="5669280" cy="2401203"/>
            <wp:docPr id="7" name="Picture 7"/>
            <wp:cNvGraphicFramePr>
              <a:graphicFrameLocks noChangeAspect="1"/>
            </wp:cNvGraphicFramePr>
            <a:graphic>
              <a:graphicData uri="http://schemas.openxmlformats.org/drawingml/2006/picture">
                <pic:pic>
                  <pic:nvPicPr>
                    <pic:cNvPr id="0" name="fig13_sparse_attention.png"/>
                    <pic:cNvPicPr/>
                  </pic:nvPicPr>
                  <pic:blipFill>
                    <a:blip r:embed="rId15"/>
                    <a:stretch>
                      <a:fillRect/>
                    </a:stretch>
                  </pic:blipFill>
                  <pic:spPr>
                    <a:xfrm>
                      <a:off x="0" y="0"/>
                      <a:ext cx="5669280" cy="2401203"/>
                    </a:xfrm>
                    <a:prstGeom prst="rect"/>
                  </pic:spPr>
                </pic:pic>
              </a:graphicData>
            </a:graphic>
          </wp:inline>
        </w:drawing>
      </w:r>
    </w:p>
    <w:p>
      <w:pPr>
        <w:jc w:val="center"/>
      </w:pPr>
      <w:r>
        <w:rPr>
          <w:i/>
          <w:color w:val="6A737D"/>
          <w:sz w:val="18"/>
        </w:rPr>
        <w:t>Figure 7: Left — IO/Compute ratio drops from 4.94× (MHA) to 1.47× (MLA+sparse). Right — Component breakdown showing KV IO collapses while communication emerges as the new bottleneck.</w:t>
      </w:r>
    </w:p>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The mechanism composes: attending to fewer tokens means less KV data loaded from memory, and sparse attention operates over already-compressed MLA representations — each selected token carries only 1,152 bytes instead of 32,768, so the savings multiply.</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January 2026)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InferLens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IO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8" name="Picture 8"/>
            <wp:cNvGraphicFramePr>
              <a:graphicFrameLocks noChangeAspect="1"/>
            </wp:cNvGraphicFramePr>
            <a:graphic>
              <a:graphicData uri="http://schemas.openxmlformats.org/drawingml/2006/picture">
                <pic:pic>
                  <pic:nvPicPr>
                    <pic:cNvPr id="0" name="fig04_engram_pareto.png"/>
                    <pic:cNvPicPr/>
                  </pic:nvPicPr>
                  <pic:blipFill>
                    <a:blip r:embed="rId16"/>
                    <a:stretch>
                      <a:fillRect/>
                    </a:stretch>
                  </pic:blipFill>
                  <pic:spPr>
                    <a:xfrm>
                      <a:off x="0" y="0"/>
                      <a:ext cx="5669280" cy="1917395"/>
                    </a:xfrm>
                    <a:prstGeom prst="rect"/>
                  </pic:spPr>
                </pic:pic>
              </a:graphicData>
            </a:graphic>
          </wp:inline>
        </w:drawing>
      </w:r>
    </w:p>
    <w:p>
      <w:pPr>
        <w:jc w:val="center"/>
      </w:pPr>
      <w:r>
        <w:rPr>
          <w:i/>
          <w:color w:val="6A737D"/>
          <w:sz w:val="18"/>
        </w:rPr>
        <w:t>Figure 8: Left — Validation loss U-curve; optimum at ρ≈0.74. Center — Engram is 21–31% faster. Right — Prefetch headroom: IO never stalls (9–64× budget).</w:t>
      </w:r>
    </w:p>
    <w:p/>
    <w:p>
      <w:r>
        <w:rPr>
          <w:b w:val="0"/>
          <w:i w:val="0"/>
        </w:rPr>
        <w:t>The mechanism is straightforward: fewer routed experts = 24% less HBM IO per layer. The Engram lookup adds negligible overhead (&lt;0.1 ms per Engram layer) because the IO is fully hidden behind preceding layers’ compute. The prefetch budget exceeds the DMA transfer by 9× at layer 2 and 64× at layer 15. Because both compute and IO scale identically with batch size, these ratios are structural constants — they hold at any batch size.</w:t>
      </w:r>
    </w:p>
    <w:p>
      <w:r>
        <w:rPr>
          <w:b w:val="0"/>
          <w:i w:val="0"/>
        </w:rPr>
        <w:t>Why this works: fewer routed experts means proportionally less HBM weight loading per layer. Engram’s hash-based lookup is O(1) and deterministic — the address depends only on the input token ID, not on activations. This makes it perfectly amenable to prefetching: IO transfers can be scheduled before any layer executes, unlike MoE expert routing which requires activation-dependent gating.</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2026) compresses KV cache entries from FP16 to 3 bits per element via PolarQuant (rotational grid mapping) + QJL (sign-bit error correction), achieving 5.33× compression with negligible accuracy loss. It was published after InferLens’s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r>
        <w:rPr>
          <w:b w:val="0"/>
          <w:i w:val="0"/>
        </w:rPr>
        <w:t>The speedup mechanism is direct: fewer bits per KV element means proportionally fewer bytes transferred from HBM. For IO-bound configurations (MHA), the speedup approximates the compression ratio (16/3 = 5.33×). For configurations already near the compute-IO boundary (GQA, MLA), reducing IO below compute time yields diminishing returns — the bottleneck shifts to compute, and further IO reduction has minimal effect.</w:t>
      </w:r>
    </w:p>
    <w:p>
      <w:pPr>
        <w:jc w:val="center"/>
      </w:pPr>
      <w:r>
        <w:drawing>
          <wp:inline xmlns:a="http://schemas.openxmlformats.org/drawingml/2006/main" xmlns:pic="http://schemas.openxmlformats.org/drawingml/2006/picture">
            <wp:extent cx="5669280" cy="2243545"/>
            <wp:docPr id="9" name="Picture 9"/>
            <wp:cNvGraphicFramePr>
              <a:graphicFrameLocks noChangeAspect="1"/>
            </wp:cNvGraphicFramePr>
            <a:graphic>
              <a:graphicData uri="http://schemas.openxmlformats.org/drawingml/2006/picture">
                <pic:pic>
                  <pic:nvPicPr>
                    <pic:cNvPr id="0" name="fig05_turboquant_impact.png"/>
                    <pic:cNvPicPr/>
                  </pic:nvPicPr>
                  <pic:blipFill>
                    <a:blip r:embed="rId17"/>
                    <a:stretch>
                      <a:fillRect/>
                    </a:stretch>
                  </pic:blipFill>
                  <pic:spPr>
                    <a:xfrm>
                      <a:off x="0" y="0"/>
                      <a:ext cx="5669280" cy="2243545"/>
                    </a:xfrm>
                    <a:prstGeom prst="rect"/>
                  </pic:spPr>
                </pic:pic>
              </a:graphicData>
            </a:graphic>
          </wp:inline>
        </w:drawing>
      </w:r>
    </w:p>
    <w:p>
      <w:pPr>
        <w:jc w:val="center"/>
      </w:pPr>
      <w:r>
        <w:rPr>
          <w:i/>
          <w:color w:val="6A737D"/>
          <w:sz w:val="18"/>
        </w:rPr>
        <w:t>Figure 9: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InferLens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10" name="Picture 10"/>
            <wp:cNvGraphicFramePr>
              <a:graphicFrameLocks noChangeAspect="1"/>
            </wp:cNvGraphicFramePr>
            <a:graphic>
              <a:graphicData uri="http://schemas.openxmlformats.org/drawingml/2006/picture">
                <pic:pic>
                  <pic:nvPicPr>
                    <pic:cNvPr id="0" name="fig11_prefix_caching.png"/>
                    <pic:cNvPicPr/>
                  </pic:nvPicPr>
                  <pic:blipFill>
                    <a:blip r:embed="rId18"/>
                    <a:stretch>
                      <a:fillRect/>
                    </a:stretch>
                  </pic:blipFill>
                  <pic:spPr>
                    <a:xfrm>
                      <a:off x="0" y="0"/>
                      <a:ext cx="5669280" cy="2042875"/>
                    </a:xfrm>
                    <a:prstGeom prst="rect"/>
                  </pic:spPr>
                </pic:pic>
              </a:graphicData>
            </a:graphic>
          </wp:inline>
        </w:drawing>
      </w:r>
    </w:p>
    <w:p>
      <w:pPr>
        <w:jc w:val="center"/>
      </w:pPr>
      <w:r>
        <w:rPr>
          <w:i/>
          <w:color w:val="6A737D"/>
          <w:sz w:val="18"/>
        </w:rPr>
        <w:t>Figure 10: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The savings are directly proportional to sharing: shared prefix tokens are computed once during the first request’s prefill and reused by all subsequent requests with that prefix. A 90% shared fraction eliminates 85% of prefill compute because the remaining ~5% loss comes from block-alignment rounding in the radix tree.</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jc w:val="center"/>
      </w:pPr>
      <w:r>
        <w:drawing>
          <wp:inline xmlns:a="http://schemas.openxmlformats.org/drawingml/2006/main" xmlns:pic="http://schemas.openxmlformats.org/drawingml/2006/picture">
            <wp:extent cx="5669280" cy="2242327"/>
            <wp:docPr id="11" name="Picture 11"/>
            <wp:cNvGraphicFramePr>
              <a:graphicFrameLocks noChangeAspect="1"/>
            </wp:cNvGraphicFramePr>
            <a:graphic>
              <a:graphicData uri="http://schemas.openxmlformats.org/drawingml/2006/picture">
                <pic:pic>
                  <pic:nvPicPr>
                    <pic:cNvPr id="0" name="fig14_thrashing_phases.png"/>
                    <pic:cNvPicPr/>
                  </pic:nvPicPr>
                  <pic:blipFill>
                    <a:blip r:embed="rId19"/>
                    <a:stretch>
                      <a:fillRect/>
                    </a:stretch>
                  </pic:blipFill>
                  <pic:spPr>
                    <a:xfrm>
                      <a:off x="0" y="0"/>
                      <a:ext cx="5669280" cy="2242327"/>
                    </a:xfrm>
                    <a:prstGeom prst="rect"/>
                  </pic:spPr>
                </pic:pic>
              </a:graphicData>
            </a:graphic>
          </wp:inline>
        </w:drawing>
      </w:r>
    </w:p>
    <w:p>
      <w:pPr>
        <w:jc w:val="center"/>
      </w:pPr>
      <w:r>
        <w:rPr>
          <w:i/>
          <w:color w:val="6A737D"/>
          <w:sz w:val="18"/>
        </w:rPr>
        <w:t>Figure 11: Cache utilization (green) stays high throughout, but token hit rate (blue) collapses during sustained thrashing (Phase 2). The 65-percentage-point gap between utilization and hit rate is the monitoring blind spot.</w:t>
      </w:r>
    </w:p>
    <w:p/>
    <w:p>
      <w:pPr>
        <w:pStyle w:val="Heading2"/>
      </w:pPr>
      <w:r>
        <w:t>A Binary Cliff</w:t>
      </w:r>
    </w:p>
    <w:p>
      <w:pPr>
        <w:jc w:val="center"/>
      </w:pPr>
      <w:r>
        <w:drawing>
          <wp:inline xmlns:a="http://schemas.openxmlformats.org/drawingml/2006/main" xmlns:pic="http://schemas.openxmlformats.org/drawingml/2006/picture">
            <wp:extent cx="5669280" cy="2219559"/>
            <wp:docPr id="12" name="Picture 12"/>
            <wp:cNvGraphicFramePr>
              <a:graphicFrameLocks noChangeAspect="1"/>
            </wp:cNvGraphicFramePr>
            <a:graphic>
              <a:graphicData uri="http://schemas.openxmlformats.org/drawingml/2006/picture">
                <pic:pic>
                  <pic:nvPicPr>
                    <pic:cNvPr id="0" name="fig06_thrashing_cliff.png"/>
                    <pic:cNvPicPr/>
                  </pic:nvPicPr>
                  <pic:blipFill>
                    <a:blip r:embed="rId20"/>
                    <a:stretch>
                      <a:fillRect/>
                    </a:stretch>
                  </pic:blipFill>
                  <pic:spPr>
                    <a:xfrm>
                      <a:off x="0" y="0"/>
                      <a:ext cx="5669280" cy="2219559"/>
                    </a:xfrm>
                    <a:prstGeom prst="rect"/>
                  </pic:spPr>
                </pic:pic>
              </a:graphicData>
            </a:graphic>
          </wp:inline>
        </w:drawing>
      </w:r>
    </w:p>
    <w:p>
      <w:pPr>
        <w:jc w:val="center"/>
      </w:pPr>
      <w:r>
        <w:rPr>
          <w:i/>
          <w:color w:val="6A737D"/>
          <w:sz w:val="18"/>
        </w:rPr>
        <w:t>Figure 12: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r>
        <w:rPr>
          <w:b w:val="0"/>
          <w:i w:val="0"/>
        </w:rPr>
        <w:t>This is classic cache thrashing: LRU eviction under cyclic access patterns where the working set exceeds cache capacity. Each block insertion evicts the least-recently-used block, which — under round-robin session scheduling — is exactly the block that will be needed soonest by another session. The result is near-zero reuse: every cache lookup is a miss, and every prefill recomputes tokens that were recently evicted.</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What If You Load Instead of Recompute?</w:t>
      </w:r>
    </w:p>
    <w:p>
      <w:r>
        <w:rPr>
          <w:b w:val="0"/>
          <w:i w:val="0"/>
        </w:rPr>
        <w:t>The numbers above assume the standard recovery strategy: when a cache miss occurs, the server recomputes the evicted KV entries via prefill. But there is an alternative — keep evicted KV in host DRAM as a second-tier cache, and reload it over PCIe when needed. This converts the miss penalty from a compute cost to an IO cost.</w:t>
      </w:r>
    </w:p>
    <w:p>
      <w:r>
        <w:rPr>
          <w:b w:val="0"/>
          <w:i w:val="0"/>
        </w:rPr>
        <w:t>We ran the same agentic workload through a two-tier cache: a small HBM tier (same as before) backed by a host DRAM tier at 10× the HBM capacity. On each request, tokens found in HBM are free; tokens evicted from HBM but still in DRAM are reloaded over PCIe (0.021 ms/token on A100, PCIe Gen4); only tokens missing from both tiers trigger a full prefill recompute (0.080 ms/token). Crucially, the PCIe DMA for the reloaded range can run concurrently with the prefill kernel that computes the residual tokens — the same GPU-initiated overlap principle from Section 3, applied to the miss-recovery path. The reported tiered cost is the wall-clock max(IO, compute), not the sum.</w:t>
      </w:r>
    </w:p>
    <w:p>
      <w:pPr>
        <w:jc w:val="center"/>
      </w:pPr>
      <w:r>
        <w:drawing>
          <wp:inline xmlns:a="http://schemas.openxmlformats.org/drawingml/2006/main" xmlns:pic="http://schemas.openxmlformats.org/drawingml/2006/picture">
            <wp:extent cx="5669280" cy="2244342"/>
            <wp:docPr id="13" name="Picture 13"/>
            <wp:cNvGraphicFramePr>
              <a:graphicFrameLocks noChangeAspect="1"/>
            </wp:cNvGraphicFramePr>
            <a:graphic>
              <a:graphicData uri="http://schemas.openxmlformats.org/drawingml/2006/picture">
                <pic:pic>
                  <pic:nvPicPr>
                    <pic:cNvPr id="0" name="fig15_pcie_kv_reload.png"/>
                    <pic:cNvPicPr/>
                  </pic:nvPicPr>
                  <pic:blipFill>
                    <a:blip r:embed="rId21"/>
                    <a:stretch>
                      <a:fillRect/>
                    </a:stretch>
                  </pic:blipFill>
                  <pic:spPr>
                    <a:xfrm>
                      <a:off x="0" y="0"/>
                      <a:ext cx="5669280" cy="2244342"/>
                    </a:xfrm>
                    <a:prstGeom prst="rect"/>
                  </pic:spPr>
                </pic:pic>
              </a:graphicData>
            </a:graphic>
          </wp:inline>
        </w:drawing>
      </w:r>
    </w:p>
    <w:p>
      <w:pPr>
        <w:jc w:val="center"/>
      </w:pPr>
      <w:r>
        <w:rPr>
          <w:i/>
          <w:color w:val="6A737D"/>
          <w:sz w:val="18"/>
        </w:rPr>
        <w:t>Figure 13: Left — Savings scale with tier-2 IO bandwidth. NVMe is too slow for 7B (reload costs more than recompute); PCIe Gen4 recovers 60% of wasted compute; CXL reaches 76%. Right — 70B with GQA achieves 80% savings because prefill is expensive but GQA’s 8× smaller KV makes PCIe reload 61× cheaper than recomputing.</w:t>
      </w:r>
    </w:p>
    <w:p/>
    <w:p>
      <w:r>
        <w:rPr>
          <w:b w:val="0"/>
          <w:i w:val="0"/>
        </w:rPr>
        <w:t>In the worst thrashing configuration (8 concurrent, 400-block HBM), the DRAM tier catches 62.6% of tokens that would have been recomputed. With the PCIe DMA overlapped against the residual recompute, total prefill wall-time drops from 71.9 s to 19.4 s — a 73% reduction. The average per-request TTFT falls from 92.2 ms to 24.8 ms, within ~8 ms of the unlimited-cache oracle (~17 ms).</w:t>
      </w:r>
    </w:p>
    <w:p>
      <w:r>
        <w:rPr>
          <w:b w:val="0"/>
          <w:i w:val="0"/>
        </w:rPr>
        <w:t>Two findings are striking from an IO perspective. First, bandwidth determines everything: NVMe (7 GB/s) is actually 14% worse than recomputing because disk reload (0.094 ms/token) costs more than prefill (0.080 ms/token). PCIe Gen3 is the minimum viable tier-2. Second, the DRAM tier needs only ~2× HBM capacity — beyond that, additional host memory is unused because the LRU eviction horizon matches the block-reuse horizon.</w:t>
      </w:r>
    </w:p>
    <w:p>
      <w:r>
        <w:rPr>
          <w:b w:val="0"/>
          <w:i w:val="0"/>
        </w:rPr>
        <w:t>For larger models the IO calculus shifts dramatically. Llama-2-70B with GQA has 8× smaller KV per token than 7B (320 KB vs 512 KB, thanks to grouped queries) but 10× more expensive prefill. The reload-vs-recompute ratio jumps to 61×, recovering 80% of thrashing waste. This is the IO perspective in full: the same KV compression that reduces the IO wall during normal decode also enables IO-based recovery from cache failures. The architecture’s IO footprint determines not just steady-state performance but also resilience to capacity failures.</w:t>
      </w:r>
    </w:p>
    <w:p>
      <w:pPr>
        <w:jc w:val="center"/>
      </w:pPr>
      <w:r>
        <w:drawing>
          <wp:inline xmlns:a="http://schemas.openxmlformats.org/drawingml/2006/main" xmlns:pic="http://schemas.openxmlformats.org/drawingml/2006/picture">
            <wp:extent cx="5669280" cy="3171921"/>
            <wp:docPr id="14" name="Picture 14"/>
            <wp:cNvGraphicFramePr>
              <a:graphicFrameLocks noChangeAspect="1"/>
            </wp:cNvGraphicFramePr>
            <a:graphic>
              <a:graphicData uri="http://schemas.openxmlformats.org/drawingml/2006/picture">
                <pic:pic>
                  <pic:nvPicPr>
                    <pic:cNvPr id="0" name="fig16_ttft_over_time.png"/>
                    <pic:cNvPicPr/>
                  </pic:nvPicPr>
                  <pic:blipFill>
                    <a:blip r:embed="rId22"/>
                    <a:stretch>
                      <a:fillRect/>
                    </a:stretch>
                  </pic:blipFill>
                  <pic:spPr>
                    <a:xfrm>
                      <a:off x="0" y="0"/>
                      <a:ext cx="5669280" cy="3171921"/>
                    </a:xfrm>
                    <a:prstGeom prst="rect"/>
                  </pic:spPr>
                </pic:pic>
              </a:graphicData>
            </a:graphic>
          </wp:inline>
        </w:drawing>
      </w:r>
    </w:p>
    <w:p>
      <w:pPr>
        <w:jc w:val="center"/>
      </w:pPr>
      <w:r>
        <w:rPr>
          <w:i/>
          <w:color w:val="6A737D"/>
          <w:sz w:val="18"/>
        </w:rPr>
        <w:t>Figure 14: Per-request TTFT over time for the 8-concurrent / 400-block configuration, with PCIe reload overlapped against residual recompute (wall-clock = max(IO, compute)). Both panels share the same workload; only the hardware/architecture differs. Left — A100 + Llama-2-7B (MHA): reload-vs-recompute ratio is 3.8×, baseline thrashes to ~120 ms, tiered drops to ~25 ms, oracle floor ~17 ms — a residual ~29% above floor. Right — A100 + Llama-2-70B (GQA): reload-vs-recompute ratio jumps to 61×, baseline thrashes to ~900–1,200 ms, and the tiered line lands exactly on the oracle (~171 ms) — residual 0%. The larger the model, the more aggressively IO hides behind the compute that was going to happen anyway. Bottom — HBM hit rate is identical across the two panels because it is a workload-only property; the same collapse in hit rate produces wildly different baseline TTFTs because the compute cost of a miss scales with model size, while the tiered-reload cost scales only with the KV footprint. This is the IO perspective in full: the same GQA compression that shrinks the steady-state IO wall also makes cache-miss recovery asymptotically free.</w:t>
      </w:r>
    </w:p>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5" name="Picture 15"/>
            <wp:cNvGraphicFramePr>
              <a:graphicFrameLocks noChangeAspect="1"/>
            </wp:cNvGraphicFramePr>
            <a:graphic>
              <a:graphicData uri="http://schemas.openxmlformats.org/drawingml/2006/picture">
                <pic:pic>
                  <pic:nvPicPr>
                    <pic:cNvPr id="0" name="fig07_utilization_lies_hetero.png"/>
                    <pic:cNvPicPr/>
                  </pic:nvPicPr>
                  <pic:blipFill>
                    <a:blip r:embed="rId23"/>
                    <a:stretch>
                      <a:fillRect/>
                    </a:stretch>
                  </pic:blipFill>
                  <pic:spPr>
                    <a:xfrm>
                      <a:off x="0" y="0"/>
                      <a:ext cx="5669280" cy="2252441"/>
                    </a:xfrm>
                    <a:prstGeom prst="rect"/>
                  </pic:spPr>
                </pic:pic>
              </a:graphicData>
            </a:graphic>
          </wp:inline>
        </w:drawing>
      </w:r>
    </w:p>
    <w:p>
      <w:pPr>
        <w:jc w:val="center"/>
      </w:pPr>
      <w:r>
        <w:rPr>
          <w:i/>
          <w:color w:val="6A737D"/>
          <w:sz w:val="18"/>
        </w:rPr>
        <w:t>Figure 15: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6" name="Picture 16"/>
            <wp:cNvGraphicFramePr>
              <a:graphicFrameLocks noChangeAspect="1"/>
            </wp:cNvGraphicFramePr>
            <a:graphic>
              <a:graphicData uri="http://schemas.openxmlformats.org/drawingml/2006/picture">
                <pic:pic>
                  <pic:nvPicPr>
                    <pic:cNvPr id="0" name="fig10_full_compression_stack.png"/>
                    <pic:cNvPicPr/>
                  </pic:nvPicPr>
                  <pic:blipFill>
                    <a:blip r:embed="rId24"/>
                    <a:stretch>
                      <a:fillRect/>
                    </a:stretch>
                  </pic:blipFill>
                  <pic:spPr>
                    <a:xfrm>
                      <a:off x="0" y="0"/>
                      <a:ext cx="5669280" cy="2445809"/>
                    </a:xfrm>
                    <a:prstGeom prst="rect"/>
                  </pic:spPr>
                </pic:pic>
              </a:graphicData>
            </a:graphic>
          </wp:inline>
        </w:drawing>
      </w:r>
    </w:p>
    <w:p>
      <w:pPr>
        <w:jc w:val="center"/>
      </w:pPr>
      <w:r>
        <w:rPr>
          <w:i/>
          <w:color w:val="6A737D"/>
          <w:sz w:val="18"/>
        </w:rPr>
        <w:t>Figure 16: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IO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PCIe KV reload recovers 73% of thrashing waste by converting misses from compute to IO and overlapping the PCIe DMA with the residual recompute kernel. A host DRAM tier (just 2× HBM capacity) turns the binary cliff into a soft shoulder — tiered TTFT lands within ~8 ms of the oracle floor. For 70B GQA models, reload is 61× cheaper than recompute, recovering 80% of waste.</w:t>
      </w:r>
    </w:p>
    <w:p>
      <w:r>
        <w:rPr>
          <w:b w:val="0"/>
          <w:i w:val="0"/>
        </w:rPr>
        <w:t>7. Faster GPUs widen the IO gap. H100’s 3.2× compute improvement outpaces its 2× bandwidth improvement. Each GPU generation makes KV IO relatively more of the bottleneck.</w:t>
      </w:r>
    </w:p>
    <w:p/>
    <w:p>
      <w:r>
        <w:rPr>
          <w:b w:val="0"/>
          <w:i/>
        </w:rPr>
        <w:t>The simulator runs without GPUs and can be extended with new techniques by specifying their IO and compute characteristics — no hardware required.</w:t>
      </w:r>
    </w:p>
    <w:p/>
    <w:p>
      <w:pPr>
        <w:jc w:val="center"/>
      </w:pPr>
      <w:r>
        <w:rPr>
          <w:i/>
          <w:color w:val="959DA5"/>
          <w:sz w:val="18"/>
        </w:rPr>
        <w:t>InferLens: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