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/>
    <w:p>
      <w:pPr>
        <w:spacing w:after="120" w:before="0" w:line="276" w:lineRule="auto"/>
        <w:jc w:val="both"/>
      </w:pPr>
      <w:r>
        <w:rPr>
          <w:rFonts w:ascii="Arial" w:hAnsi="Arial"/>
          <w:b/>
          <w:i w:val="0"/>
          <w:sz w:val="32"/>
        </w:rPr>
        <w:t>PS 07</w:t>
      </w:r>
    </w:p>
    <w:p/>
    <w:p>
      <w:pPr>
        <w:spacing w:after="120" w:before="0" w:line="276" w:lineRule="auto"/>
        <w:jc w:val="both"/>
      </w:pPr>
      <w:r>
        <w:rPr>
          <w:rFonts w:ascii="Arial" w:hAnsi="Arial"/>
          <w:b/>
          <w:i w:val="0"/>
          <w:color w:val="70AD47"/>
          <w:sz w:val="32"/>
        </w:rPr>
        <w:t>GÉRER LES SYSTÈMES D’INFORMATION</w:t>
      </w:r>
    </w:p>
    <w:p/>
    <w:p/>
    <w:p/>
    <w:p/>
    <w:p/>
    <w:p>
      <w:pPr>
        <w:spacing w:after="120" w:before="0" w:line="276" w:lineRule="auto"/>
        <w:jc w:val="both"/>
      </w:pPr>
      <w:r>
        <w:rPr>
          <w:rFonts w:ascii="Arial" w:hAnsi="Arial"/>
          <w:b/>
          <w:i w:val="0"/>
          <w:sz w:val="32"/>
        </w:rPr>
        <w:t>DOCUMENT</w:t>
      </w:r>
    </w:p>
    <w:p/>
    <w:p>
      <w:pPr>
        <w:spacing w:after="120" w:before="0" w:line="276" w:lineRule="auto"/>
        <w:jc w:val="both"/>
      </w:pPr>
      <w:r>
        <w:rPr>
          <w:rFonts w:ascii="Arial" w:hAnsi="Arial"/>
          <w:b/>
          <w:i w:val="0"/>
          <w:color w:val="4472C4"/>
          <w:sz w:val="32"/>
        </w:rPr>
        <w:t>STANDARDS &amp; RÈGLES DE QUALITÉ DES DONNÉES</w:t>
      </w:r>
    </w:p>
    <w:p/>
    <w:p/>
    <w:p/>
    <w:p/>
    <w:p/>
    <w:p/>
    <w:p>
      <w:pPr>
        <w:spacing w:after="120" w:before="0" w:line="276" w:lineRule="auto"/>
      </w:pPr>
      <w:r>
        <w:rPr>
          <w:rFonts w:ascii="Arial" w:hAnsi="Arial"/>
          <w:b/>
          <w:i w:val="0"/>
          <w:color w:val="000000"/>
          <w:sz w:val="22"/>
        </w:rPr>
        <w:t>OBJET :</w:t>
      </w:r>
    </w:p>
    <w:p/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9497"/>
      </w:tblGrid>
      <w:tr>
        <w:tc>
          <w:tcPr>
            <w:tcW w:type="dxa" w:w="9497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Définir les standards, les règles de validation syntaxique, les protocoles de standardisation automatique et les méthodes de nettoyage de masse pour l'ensemble des référentiels de données du Groupe.</w:t>
            </w:r>
          </w:p>
        </w:tc>
      </w:tr>
    </w:tbl>
    <w:p/>
    <w:p/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Rédigée par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20"/>
              </w:rPr>
            </w:r>
            <w:r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26/06/2026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Vérifiée par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20"/>
              </w:rPr>
            </w:r>
            <w:r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26/06/2026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Approuvée par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20"/>
              </w:rPr>
            </w:r>
            <w:r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26/06/2026</w:t>
            </w:r>
          </w:p>
        </w:tc>
      </w:tr>
    </w:tbl>
    <w:p/>
    <w:p/>
    <w:p>
      <w:pPr>
        <w:pStyle w:val="Titre1"/>
        <w:keepNext/>
        <w:spacing w:before="240" w:after="120"/>
        <w:jc w:val="left"/>
      </w:pPr>
      <w:r/>
      <w:r>
        <w:rPr>
          <w:rFonts w:ascii="Arial" w:hAnsi="Arial"/>
          <w:b/>
          <w:color w:val="2E74B5"/>
          <w:sz w:val="24"/>
        </w:rPr>
        <w:t>1. OBJET ET CHAMP D'APPLICATION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Le présent document formalise les standards, règles de validation et protocoles opérationnels de nettoyage de la donnée au sein du système d'information du Groupe. Il vise à garantir la conformité continue des données maîtresses et de référence aux exigences opérationnelles.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Ces règles sont applicables à tous les flux d'ingestion (temps réel, API, batch) dans le Hub MDM et s'imposent à l'ensemble des Business Units (BU), Service Units (SU) et systèmes applicatifs du Groupe.</w:t>
      </w:r>
    </w:p>
    <w:p>
      <w:pPr>
        <w:pStyle w:val="Titre1"/>
        <w:keepNext/>
        <w:spacing w:before="240" w:after="120"/>
        <w:jc w:val="left"/>
      </w:pPr>
      <w:r/>
      <w:r>
        <w:rPr>
          <w:rFonts w:ascii="Arial" w:hAnsi="Arial"/>
          <w:b/>
          <w:color w:val="2E74B5"/>
          <w:sz w:val="24"/>
        </w:rPr>
        <w:t>2. ENREGISTREMENTS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Po_SI_18_02 : Procédure Qualité Données (Axe 03)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001F.Po.SI.18.02 : Fiche d'Incident Qualité (Axe 03)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002F.Po.SI.18.02 : Tableau de Bord de la Qualité des Données (Axe 03)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2"/>
        </w:rPr>
        <w:t xml:space="preserve">• </w:t>
      </w:r>
      <w:r>
        <w:rPr>
          <w:rFonts w:ascii="Arial" w:hAnsi="Arial"/>
          <w:sz w:val="22"/>
        </w:rPr>
        <w:t>Po.SI.18 : Politique de Gouvernance des Données (Axe 01)</w:t>
      </w:r>
    </w:p>
    <w:p/>
    <w:p>
      <w:pPr>
        <w:pStyle w:val="Titre1"/>
        <w:keepNext/>
        <w:spacing w:before="240" w:after="120"/>
        <w:jc w:val="left"/>
      </w:pPr>
      <w:r/>
      <w:r>
        <w:rPr>
          <w:rFonts w:ascii="Arial" w:hAnsi="Arial"/>
          <w:b/>
          <w:color w:val="2E74B5"/>
          <w:sz w:val="24"/>
        </w:rPr>
        <w:t>3. RÉFÉRENCE AUX DIMENSIONS DE LA QUALITÉ DES DONNÉES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Les contrôles de qualité et les standards s'appliquent sur les six dimensions fondamentales (Complétude, Exactitude, Validité, Unicité, Cohérence, Actualité) dont les définitions opérationnelles et exemples de mesure sont décrits à la section 3 de la Procédure Qualité Données (Po_SI_18_02).</w:t>
      </w:r>
    </w:p>
    <w:p>
      <w:pPr>
        <w:pStyle w:val="Titre1"/>
        <w:keepNext/>
        <w:spacing w:before="240" w:after="120"/>
        <w:jc w:val="left"/>
      </w:pPr>
      <w:r/>
      <w:r>
        <w:rPr>
          <w:rFonts w:ascii="Arial" w:hAnsi="Arial"/>
          <w:b/>
          <w:color w:val="2E74B5"/>
          <w:sz w:val="24"/>
        </w:rPr>
        <w:t>4. RÈGLES DE VALIDATION SYNTAXIQUE ET CONTRÔLE EN ENTRÉE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Tout flux entrant dans le Hub MDM fait l'objet d'un contrôle automatique visant à bloquer les anomalies à la source. Les règles de standardisation permettent de normaliser automatiquement certains formats courants avant le traitement sémantique.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Type de Donnée</w:t>
            </w:r>
          </w:p>
        </w:tc>
        <w:tc>
          <w:tcPr>
            <w:tcW w:type="dxa" w:w="3166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Standard de Formatage Attendu</w:t>
            </w:r>
          </w:p>
        </w:tc>
        <w:tc>
          <w:tcPr>
            <w:tcW w:type="dxa" w:w="3166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Action de Standardisation Automatique</w:t>
            </w:r>
          </w:p>
        </w:tc>
      </w:tr>
      <w:tr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Identifiants Juridiques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Chaîne de caractères alphanumériques normalisée selon le format légal.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Retrait systématique des espaces multiples, tabulations, tirets et caractères spéciaux.</w:t>
            </w:r>
          </w:p>
        </w:tc>
      </w:tr>
      <w:tr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Coordonnées Bancaires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Structure numérique valide conforme aux clés de contrôle bancaires.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Retrait des espaces et tirets. Vérification de l'intégrité de la clé de contrôle.</w:t>
            </w:r>
          </w:p>
        </w:tc>
      </w:tr>
      <w:tr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Numéros de Téléphone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Format normalisé avec indicatif international de pays.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Standardisation automatique sous la forme de l'indicatif international en vigueur.</w:t>
            </w:r>
          </w:p>
        </w:tc>
      </w:tr>
      <w:tr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Adresses Électroniques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Syntaxe de messagerie standard valide (nom@domaine).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Vérification syntaxique de la structure de l'email et rejet des formats non conformes.</w:t>
            </w:r>
          </w:p>
        </w:tc>
      </w:tr>
      <w:tr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Nomenclatures et Codes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Codes de référence stables issus du dictionnaire des données.</w:t>
            </w:r>
          </w:p>
        </w:tc>
        <w:tc>
          <w:tcPr>
            <w:tcW w:type="dxa" w:w="316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Mappage automatique avec la table des valeurs autorisées et rejet des valeurs inconnues.</w:t>
            </w:r>
          </w:p>
        </w:tc>
      </w:tr>
    </w:tbl>
    <w:p/>
    <w:p>
      <w:pPr>
        <w:pStyle w:val="Titre1"/>
        <w:keepNext/>
        <w:spacing w:before="240" w:after="120"/>
        <w:jc w:val="left"/>
      </w:pPr>
      <w:r/>
      <w:r>
        <w:rPr>
          <w:rFonts w:ascii="Arial" w:hAnsi="Arial"/>
          <w:b/>
          <w:color w:val="2E74B5"/>
          <w:sz w:val="24"/>
        </w:rPr>
        <w:t>5. SOUMISSION DES TRAITEMENTS DE NETTOYAGE DE MASSE (BULK CLEANSING)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Toute opération de nettoyage en masse (bulk cleansing) doit obligatoirement respecter le workflow de validation décrit à la section 6.1 de la Procédure Qualité Données (Po_SI_18_02) (Simulation, Analyse d'Impact, Approbation Métier, Exécution &amp; Propagation). Avant toute exécution, les scripts de nettoyage et le rapport de simulation d'impact doivent être transmis pour approbation technique au Responsable Data.</w:t>
      </w:r>
    </w:p>
    <w:p>
      <w:pPr>
        <w:pStyle w:val="Titre1"/>
        <w:keepNext/>
        <w:spacing w:before="240" w:after="120"/>
        <w:jc w:val="left"/>
      </w:pPr>
      <w:r/>
      <w:r>
        <w:rPr>
          <w:rFonts w:ascii="Arial" w:hAnsi="Arial"/>
          <w:b/>
          <w:color w:val="2E74B5"/>
          <w:sz w:val="24"/>
        </w:rPr>
        <w:t>6. PLANIFICATION DES CAMPAGNES DE NETTOYAGE PÉRIODIQUES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Les nettoyages manuels s'effectuent conformément aux directives de la section 6 (B) de la Procédure Qualité Données (Po_SI_18_02). Les campagnes proactives (Annuelle, Semestrielle, Post-Acquisition) définies à la section 6.2 de ladite procédure sont planifiées selon le calendrier organisationnel ci-dessous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2374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Campagne Périodique</w:t>
            </w:r>
          </w:p>
        </w:tc>
        <w:tc>
          <w:tcPr>
            <w:tcW w:type="dxa" w:w="2374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Périodicité</w:t>
            </w:r>
          </w:p>
        </w:tc>
        <w:tc>
          <w:tcPr>
            <w:tcW w:type="dxa" w:w="2374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Acteurs Concernés</w:t>
            </w:r>
          </w:p>
        </w:tc>
        <w:tc>
          <w:tcPr>
            <w:tcW w:type="dxa" w:w="2374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Livrables Attendus</w:t>
            </w:r>
          </w:p>
        </w:tc>
      </w:tr>
      <w:tr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Campagne Pré-Clôture (focus tiers)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Annuelle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Data Stewards + DAF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Rapport d'audit de facturation et fiches tiers certifiées</w:t>
            </w:r>
          </w:p>
        </w:tc>
      </w:tr>
      <w:tr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Campagne Catalogue Produits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Semestrielle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Data Stewards + Data Owners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Attestation de conformité des fiches articles et agréments</w:t>
            </w:r>
          </w:p>
        </w:tc>
      </w:tr>
      <w:tr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Campagne Post-Acquisition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Événementielle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Data Stewards + Responsable Data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Données intégrées normalisées dans les délais de la politique</w:t>
            </w:r>
          </w:p>
        </w:tc>
      </w:tr>
    </w:tbl>
    <w:p/>
    <w:p>
      <w:pPr>
        <w:pStyle w:val="Titre1"/>
        <w:keepNext/>
        <w:spacing w:before="240" w:after="120"/>
        <w:jc w:val="left"/>
      </w:pPr>
      <w:r/>
      <w:r>
        <w:rPr>
          <w:rFonts w:ascii="Arial" w:hAnsi="Arial"/>
          <w:b/>
          <w:color w:val="2E74B5"/>
          <w:sz w:val="24"/>
        </w:rPr>
        <w:t>8. TABLEAU DES MISES A JOUR :</w:t>
      </w:r>
    </w:p>
    <w:p/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9496"/>
            <w:gridSpan w:val="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Propriétaire du document : DATA</w:t>
            </w:r>
          </w:p>
        </w:tc>
      </w:tr>
      <w:tr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Révision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Nature de changement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Date d'application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Statut</w:t>
            </w:r>
          </w:p>
        </w:tc>
      </w:tr>
      <w:tr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V.00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Création de : Standards &amp; Règles de Qualité des Données (001Dc_Po_SI_18_02)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374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Création</w:t>
            </w:r>
          </w:p>
        </w:tc>
      </w:tr>
    </w:tbl>
    <w:p/>
    <w:sectPr w:rsidR="00A74919" w:rsidRPr="00F9791C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24814" w14:textId="77777777" w:rsidR="00981635" w:rsidRDefault="00981635">
      <w:r>
        <w:separator/>
      </w:r>
    </w:p>
  </w:endnote>
  <w:endnote w:type="continuationSeparator" w:id="0">
    <w:p w14:paraId="3DA8884F" w14:textId="77777777" w:rsidR="00981635" w:rsidRDefault="0098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C7FDB" w14:textId="03A65D6E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C954FA">
      <w:rPr>
        <w:rFonts w:ascii="Arial" w:hAnsi="Arial" w:cs="Arial"/>
        <w:b/>
        <w:bCs/>
        <w:noProof/>
      </w:rPr>
      <w:t>2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5541BD03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55FD0EBB" w14:textId="2788167C" w:rsidR="00A824E1" w:rsidRPr="005478E8" w:rsidRDefault="00A824E1" w:rsidP="00E05A88">
    <w:pPr>
      <w:pStyle w:val="Pieddepage"/>
      <w:rPr>
        <w:rFonts w:ascii="Arial" w:hAnsi="Arial" w:cs="Arial"/>
      </w:rPr>
    </w:pPr>
    <w:r>
      <w:rPr>
        <w:rFonts w:ascii="Arial" w:hAnsi="Arial" w:cs="Arial"/>
      </w:rPr>
      <w:t>Po.SI.18</w:t>
    </w:r>
    <w:r w:rsidR="00AC4699">
      <w:rPr>
        <w:rFonts w:ascii="Arial" w:hAnsi="Arial" w:cs="Arial"/>
      </w:rPr>
      <w:t>.0</w:t>
    </w:r>
    <w:r w:rsidR="00C61FF2">
      <w:rPr>
        <w:rFonts w:ascii="Arial" w:hAnsi="Arial" w:cs="Arial"/>
      </w:rPr>
      <w:t>2</w:t>
    </w:r>
    <w:r>
      <w:rPr>
        <w:rFonts w:ascii="Arial" w:hAnsi="Arial" w:cs="Arial"/>
      </w:rPr>
      <w:t xml:space="preserve">/DOCUMENT RESTREINT    </w:t>
    </w:r>
    <w:r w:rsidR="00AC4699">
      <w:rPr>
        <w:rFonts w:ascii="Arial" w:hAnsi="Arial" w:cs="Arial"/>
      </w:rPr>
      <w:t xml:space="preserve"> </w:t>
    </w:r>
    <w:r w:rsidR="00E05A88">
      <w:rPr>
        <w:rFonts w:ascii="Arial" w:hAnsi="Arial" w:cs="Arial"/>
      </w:rPr>
      <w:t xml:space="preserve">  </w:t>
    </w:r>
    <w:r>
      <w:rPr>
        <w:rFonts w:ascii="Arial" w:hAnsi="Arial" w:cs="Arial"/>
      </w:rPr>
      <w:t xml:space="preserve"> </w:t>
    </w:r>
    <w:r w:rsidR="00C64FB5">
      <w:rPr>
        <w:rFonts w:ascii="Arial" w:hAnsi="Arial" w:cs="Arial"/>
      </w:rPr>
      <w:t xml:space="preserve">       </w:t>
    </w:r>
    <w:r w:rsidR="00AC4699">
      <w:rPr>
        <w:rFonts w:ascii="Arial" w:hAnsi="Arial" w:cs="Arial"/>
      </w:rPr>
      <w:t>DATA</w:t>
    </w:r>
    <w:r w:rsidR="00C61FF2">
      <w:rPr>
        <w:rFonts w:ascii="Arial" w:hAnsi="Arial" w:cs="Arial"/>
      </w:rPr>
      <w:t xml:space="preserve"> QUALITY</w:t>
    </w:r>
    <w:r w:rsidR="00AC4699">
      <w:rPr>
        <w:rFonts w:ascii="Arial" w:hAnsi="Arial" w:cs="Arial"/>
      </w:rPr>
      <w:t xml:space="preserve"> MANAGEMENT    </w:t>
    </w:r>
    <w:r>
      <w:rPr>
        <w:rFonts w:ascii="Arial" w:hAnsi="Arial" w:cs="Arial"/>
      </w:rPr>
      <w:t xml:space="preserve">  </w:t>
    </w:r>
    <w:r w:rsidR="00C64FB5">
      <w:rPr>
        <w:rFonts w:ascii="Arial" w:hAnsi="Arial" w:cs="Arial"/>
      </w:rPr>
      <w:t xml:space="preserve">                 </w:t>
    </w:r>
    <w:r>
      <w:rPr>
        <w:rFonts w:ascii="Arial" w:hAnsi="Arial" w:cs="Arial"/>
      </w:rPr>
      <w:tab/>
      <w:t xml:space="preserve">05/06/2026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E602B" w14:textId="77777777" w:rsidR="00981635" w:rsidRDefault="00981635">
      <w:r>
        <w:separator/>
      </w:r>
    </w:p>
  </w:footnote>
  <w:footnote w:type="continuationSeparator" w:id="0">
    <w:p w14:paraId="4B4DC656" w14:textId="77777777" w:rsidR="00981635" w:rsidRDefault="00981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B01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4315AC5D" wp14:editId="31824F24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02721054">
    <w:abstractNumId w:val="6"/>
  </w:num>
  <w:num w:numId="2" w16cid:durableId="707493880">
    <w:abstractNumId w:val="9"/>
  </w:num>
  <w:num w:numId="3" w16cid:durableId="636909167">
    <w:abstractNumId w:val="14"/>
  </w:num>
  <w:num w:numId="4" w16cid:durableId="825897544">
    <w:abstractNumId w:val="12"/>
  </w:num>
  <w:num w:numId="5" w16cid:durableId="267586128">
    <w:abstractNumId w:val="13"/>
  </w:num>
  <w:num w:numId="6" w16cid:durableId="550534302">
    <w:abstractNumId w:val="11"/>
  </w:num>
  <w:num w:numId="7" w16cid:durableId="1636062620">
    <w:abstractNumId w:val="8"/>
  </w:num>
  <w:num w:numId="8" w16cid:durableId="465780092">
    <w:abstractNumId w:val="10"/>
  </w:num>
  <w:num w:numId="9" w16cid:durableId="998535952">
    <w:abstractNumId w:val="5"/>
  </w:num>
  <w:num w:numId="10" w16cid:durableId="1062675630">
    <w:abstractNumId w:val="1"/>
  </w:num>
  <w:num w:numId="11" w16cid:durableId="206797292">
    <w:abstractNumId w:val="3"/>
  </w:num>
  <w:num w:numId="12" w16cid:durableId="1761481923">
    <w:abstractNumId w:val="7"/>
    <w:lvlOverride w:ilvl="0">
      <w:startOverride w:val="1"/>
    </w:lvlOverride>
  </w:num>
  <w:num w:numId="13" w16cid:durableId="1534151067">
    <w:abstractNumId w:val="0"/>
  </w:num>
  <w:num w:numId="14" w16cid:durableId="1090194726">
    <w:abstractNumId w:val="4"/>
  </w:num>
  <w:num w:numId="15" w16cid:durableId="180557028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D16"/>
    <w:rsid w:val="00A31828"/>
    <w:rsid w:val="00A31D3E"/>
    <w:rsid w:val="00A31D5B"/>
    <w:rsid w:val="00A31F1E"/>
    <w:rsid w:val="00A3253F"/>
    <w:rsid w:val="00A326E7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2DF9D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3E097-5BF1-4B28-8C12-FA0968033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1218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8</cp:revision>
  <cp:lastPrinted>2022-12-03T09:49:00Z</cp:lastPrinted>
  <dcterms:created xsi:type="dcterms:W3CDTF">2026-06-29T14:04:00Z</dcterms:created>
  <dcterms:modified xsi:type="dcterms:W3CDTF">2026-06-30T07:51:00Z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