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CMGP Group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rPr>
      </w:pPr>
      <w:r w:rsidDel="00000000" w:rsidR="00000000" w:rsidRPr="00000000">
        <w:rPr>
          <w:rFonts w:ascii="Arial" w:cs="Arial" w:eastAsia="Arial" w:hAnsi="Arial"/>
          <w:rtl w:val="0"/>
        </w:rPr>
        <w:t xml:space="preserve">PS 09</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jc w:val="center"/>
        <w:rPr>
          <w:rFonts w:ascii="Arial" w:cs="Arial" w:eastAsia="Arial" w:hAnsi="Arial"/>
        </w:rPr>
      </w:pPr>
      <w:r w:rsidDel="00000000" w:rsidR="00000000" w:rsidRPr="00000000">
        <w:rPr>
          <w:rFonts w:ascii="Arial" w:cs="Arial" w:eastAsia="Arial" w:hAnsi="Arial"/>
          <w:rtl w:val="0"/>
        </w:rPr>
        <w:t xml:space="preserve">GERER LES SYSTEMES D'INFORMATION</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POLITIQUE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rPr>
      </w:pPr>
      <w:r w:rsidDel="00000000" w:rsidR="00000000" w:rsidRPr="00000000">
        <w:rPr>
          <w:rFonts w:ascii="Arial" w:cs="Arial" w:eastAsia="Arial" w:hAnsi="Arial"/>
          <w:rtl w:val="0"/>
        </w:rPr>
        <w:t xml:space="preserve">DATA MANAGEMENT &amp; CHARTE DE GOUVERNANCE DES DONNEES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OBJET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Définit les orientations stratégiques, les principes directeurs, les structures de décision et les exigences de conformité applicables à l'ensemble des données du Groupe CMGP, établissant formellement la Charte de Gouvernance des Données.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Rédigée par</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Vérifiée par</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Approuvée par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Data Governance Officer / Responsable SMI</w:t>
            </w:r>
          </w:p>
        </w:tc>
        <w:tc>
          <w:tcPr>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DSI / RSSI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PDG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___/___/2026</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___/___/2026</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___/___/2026</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1. OBJET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présente Politique Data Management constitue le document cadre de référence officiel de CMGP Group pour la gouvernance, la gestion et la valorisation du patrimoine de données du Groupe.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Elle définit, en conformité avec les principes du référentiel DAMA-DMBOK (R) v2 (Data Management Body of Knowledge, deuxième édition), les orientations stratégiques, les principes directeurs, les structures de décision et les exigences de conformité applicables à l'ensemble des données du Groupe.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document établit formellement la Charte de Gouvernance des Données de CMGP Group, qui constitue l'engagement institutionnel de l'organisation envers une gestion rigoureuse, responsable et alignée sur les meilleures pratiques internationales de son patrimoine informationnel.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présente politique est destinée à la Direction Générale, à la Direction des Systèmes d'Information (DSI), aux Directeurs des quatre Business Units (BU Retail, BU International, BU Projet, BU Industrie), aux Directeurs Administratif et Financier, Achat, Supply Chain et Ressources Humaines, ainsi qu'à toute personne assumant un rôle de Data Owner, Data Steward ou Data Consumer au sein du Groupe.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2. ACTEURS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Qui est responsable de la politique :</w:t>
      </w:r>
      <w:r w:rsidDel="00000000" w:rsidR="00000000" w:rsidRPr="00000000">
        <w:rPr>
          <w:rFonts w:ascii="Arial" w:cs="Arial" w:eastAsia="Arial" w:hAnsi="Arial"/>
          <w:rtl w:val="0"/>
        </w:rPr>
        <w:t xml:space="preserve"> Direction Générale (PDG) et Direction des Systèmes d'Information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Qui est responsable de son application :</w:t>
      </w:r>
      <w:r w:rsidDel="00000000" w:rsidR="00000000" w:rsidRPr="00000000">
        <w:rPr>
          <w:rFonts w:ascii="Arial" w:cs="Arial" w:eastAsia="Arial" w:hAnsi="Arial"/>
          <w:rtl w:val="0"/>
        </w:rPr>
        <w:t xml:space="preserve"> Data Owners, Data Stewards, Responsable Master Data, Data Governance Officer, ensemble des Directions métiers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Qui est responsable du contrôle de son application :</w:t>
      </w:r>
      <w:r w:rsidDel="00000000" w:rsidR="00000000" w:rsidRPr="00000000">
        <w:rPr>
          <w:rFonts w:ascii="Arial" w:cs="Arial" w:eastAsia="Arial" w:hAnsi="Arial"/>
          <w:rtl w:val="0"/>
        </w:rPr>
        <w:t xml:space="preserve"> Responsable Audit Interne, DSI, RSSI, Comité DATA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3. MODALITES D'APPLICATION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présente politique s'applique à l'ensemble du périmètre organisationnel et fonctionnel de CMGP Group, incluant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L'ensemble des entités juridiques du Groupe : CMGP Group SA (Holding), SICDA, PHILEA, PROCESS, CAS, SODIPIRE, CPCM, Agrosem, CMGP AFRICA et ses filiales africaines (Sénégal, Côte d'Ivoire, Ghana, Mauritanie).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L'ensemble des systèmes d'information exploités par le Groupe : Sage X3, Odoo, systèmes ERP hérités des entités acquises, Hub MDM central, outils CRM, outils BI et tout système futur intégré au paysage applicatif du Groupe.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Les quatre Business Units opérationnelles : BU Retail, BU International, BU Projet, BU Industrie.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L'ensemble des données traitées par le Groupe, qu'elles soient transactionnelles, maîtresses (référentielles), analytiques, documentaires ou à caractère personnel.</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Les prestataires externes, sous-traitants et partenaires ayant accès, à quelque titre que ce soit, aux données ou aux systèmes d'information du Groupe.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Toute dérogation à la présente politique doit faire l'objet d'une demande formelle adressée au Comité DATA, instruire par le Data Governance Officer et approuvée par la Direction Générale.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4. ENREGISTREMENTS :</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001Dc.Po.SI.09 : Charte de Gouvernance des Données (Principes, engagements et déclaration d'adhésion)</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002Dc.Po.SI.09 : Organigramme de la Gouvernance des Données (Rôles et responsabilités : Data Owner, Data Steward, Data Custodian)</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003Dc.Po.SI.09 : Matrice des Risques et de Conformité des Données (Risques CNDP, fuites de données, non-conformités réglementaires)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004Dc.Po.SI.09 : Registre de conformité des traitements de données à caractère personnel (Exigence CNDP - Loi 09-08)</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001F.Po.SI.09 : Fiche d'identité du processus Data Management</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002F.Po.SI.09 : Modèle de PV du Comité DATA</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003F.Po.SI.09 : Tableau de bord de la Gouvernance des Données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004F.Po.SI.09 : Fiche de suivi des actions correctives de la gouvernance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5. DOCUMENTS DE REFERENCE :</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DAMA International - DAMA-DMBOK : Data Management Body of Knowledge (2nd ed.), Technics Publications, 2017</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Norme ISO 27001 : 2022 - Management de la sécurité de l'information</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Loi marocaine 09-08 relative à la protection des personnes physiques à l'égard des traitements de données à caractère personnel (CNDP)</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Réglementation AMMC - Obligations de transparence et de reporting pour les sociétés cotées à la Bourse de Casablanca</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Label RSE CGEM - Référentiel de responsabilité sociétale des entreprises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Politique Sécurité de l'Information (Po.SI.01)</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Politique de Développement Sécurisé (Po.SI.07)</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Plan Directeur de Gestion des Données Maîtresses (MDM) - CMGP Group, version 1.0, 2026</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Cartographie des Processus et Fiches Processus SMI - Processus 09 : Gérer les Systèmes d'Information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6. ABREVIATIONS ET DEFINITIONS :</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Abréviation / Terme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Définition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AMMC</w:t>
            </w:r>
          </w:p>
        </w:tc>
        <w:tc>
          <w:tcPr>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Autorité Marocaine du Marché des Capitaux</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CNDP</w:t>
            </w:r>
          </w:p>
        </w:tc>
        <w:tc>
          <w:tcPr>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Commission Nationale de contrôle de la protection des Données à caractère Personnel (Maroc)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CDO</w:t>
            </w:r>
          </w:p>
        </w:tc>
        <w:tc>
          <w:tcPr>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Chief Data Officer - Responsable en chef de la gouvernance des données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Domain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Ensemble cohérent de données partageant une sémantique commune, un cycle de vie homogène et un périmètre de responsabilité fonctionnelle unifié (DAMA-DMBOK v2)</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Governance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Exercice de l'autorité, du contrôle et de la prise de décision partagée sur la gestion des actifs de données (DAMA-DMBOK v2)</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Owner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Responsable métier senior détenant l'autorité formelle sur un domaine de données et comptable de sa qualité et de son usage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Steward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Professionnel chargé de la gestion quotidienne des données de référence au nom du Data Owner, garant opérationnel de la qualité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Custodian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Responsable technique de la sécurité, du stockage et de la disponibilité des données (rôle DSI)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Consumer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Tout utilisateur, système ou processus utilisant les données certifiées du Groupe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DAMA-DMBOK</w:t>
            </w:r>
          </w:p>
        </w:tc>
        <w:tc>
          <w:tcPr>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Data Management Body of Knowledge - référentiel international des meilleures pratiques de Data Management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Direction des Systèmes d'Information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Golden Record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Enregistrement unique, consolidé et certifié représentant la meilleure version d'une entité de données maîtresses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Hub MDM</w:t>
            </w:r>
          </w:p>
        </w:tc>
        <w:tc>
          <w:tcPr>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Plateforme centrale de Master Data Management - Source Unique de Vérité (Single Source of Truth) du Groupe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MDM</w:t>
            </w:r>
          </w:p>
        </w:tc>
        <w:tc>
          <w:tcPr>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Master Data Management - Gestion des Données Maîtresses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RACI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Matrice de responsabilités : Responsable, Accountable (Imputable), Consulté, Informé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RSSI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Responsable de la Sécurité des Systèmes d'Information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SMI</w:t>
            </w:r>
          </w:p>
        </w:tc>
        <w:tc>
          <w:tcPr>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Système de Management Intégré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SSOT</w:t>
            </w:r>
          </w:p>
        </w:tc>
        <w:tc>
          <w:tcPr>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Single Source of Truth - Source unique de vérité pour les données de référence du Groupe</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7. METHODOLOGIE :</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7.1. Vision Stratégique et Ambition Data du Groupe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CMGP Group affirme sa vision de devenir une organisation data-driven, dans laquelle chaque décision stratégique et opérationnelle est étayée par des données fiables, actualisées et gouvernées. Cette ambition répond aux impératives de sa transformation digitale post-introduction en bourse et de son expansion panafricaine à l'horizon 2030.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programme de Data Governance constitue le fondement organisationnel indispensable à la réalisation de cette vision. Il garantit que l'ensemble des données du Groupe – qu'il s'agisse de données maîtresses (produits, clients, fournisseurs, sites), de données financières, ou de données RSE – soient gérées avec la rigueur requise par les actionnaires institutionnels, les autorités de régulation (AMMC) et les partenaires stratégiques.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7.2. Principes Directeurs de la Gouvernance des Données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référentiel DAMA-DMBOK (R) v2 définit la gouvernance des données comme l'exercice de l'autorité, du contrôle et de la prise de décision partagée sur la gestion des actifs de données. En application de ce référentiel, CMGP Group retient six principes directeurs non négociables :</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Principe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Définition</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Implication Opérationnelle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Responsabilité (Accountability)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Toute donnée du Groupe est attachée à un responsable identifié - le Data Owner - qui en détient la responsabilité fonctionnelle et réglementaire.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Toute donnée sans Data Owner désigné est considérée non gouvernée. La nomination des Data Owners est une obligation, non une option.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Intendance (Stewardship)</w:t>
            </w:r>
          </w:p>
        </w:tc>
        <w:tc>
          <w:tcPr>
            <w:shd w:fill="auto"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Des Data Stewards opèrent au niveau métier pour garantir au quotidien la qualité, la cohérence et le respect des standards de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Chaque domaine de données dispose d'un Data Steward actif, identifié et formé, dont les responsabilités sont formellement définies.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Transparence (Transparency)</w:t>
            </w:r>
          </w:p>
        </w:tc>
        <w:tc>
          <w:tcPr>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Les règles, politiques et processus de gestion des données sont documentés, accessibles via le Portail MDM et appliqués de manière uniforme.</w:t>
            </w:r>
          </w:p>
        </w:tc>
        <w:tc>
          <w:tcPr>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Aucune règle de donnée informelle ou non documentée n'est tolérable. Toute règle métier impactant une donnée doit être formalisée.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Auditabilité (Auditability)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Toute création, modification ou suppression d'une donnée fait l'objet d'une traçabilité complète (journalisation, historique d'approbation).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 Hub MDM maintient un journal immuable de toutes les opérations sur les données maîtresses. Les accès aux données sensibles sont tracés.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Conformité (Compliance)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Les données respectent les exigences réglementaires internes et externes : CNDP (Loi 09-08), AMMC, ONSSA, ISO 27001, CGEM.</w:t>
            </w:r>
          </w:p>
        </w:tc>
        <w:tc>
          <w:tcPr>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Un registre de conformité des traitements est maintenu. Les données à caractère personnel sont soumises aux obligations déclaratives de la CNDP.</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Qualité (Quality)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Aucune donnée ne peut être propagée vers les systèmes consommateurs sans avoir satisfait les critères de qualité minimaux définis par domaine.</w:t>
            </w:r>
          </w:p>
        </w:tc>
        <w:tc>
          <w:tcPr>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Les dimensions de qualité DAMA-DMBOK sont la norme : Complétude, Exactitude, Cohérence, Actualité, Unicité, Validité.</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7.3. Périmètre de la Gouvernance des Données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gouvernance des données de CMGP Group couvre six domaines de données identifiés, chacun caractérisé par une sémantique propre, un cycle de vie distinct et un périmètre de responsabilité fonctionnelle unifié :</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Domaine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Entités Principales</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 Owner Principal</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Criticité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Produit (Product Master)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Article / SKU, Famille, Catégorie, Attributs techniques, Prix</w:t>
            </w:r>
          </w:p>
        </w:tc>
        <w:tc>
          <w:tcPr>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Directeur BU Industrie / Directeur Marketing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Critique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Client (Customer Master)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Client B2C, B2B, Revendeur, Grand Compte, Entité publique</w:t>
            </w:r>
          </w:p>
        </w:tc>
        <w:tc>
          <w:tcPr>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Directeur BU Retail / Directeur Commercial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Critique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Fournisseur (Supplier Master)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Fournisseur direct, Sous-traitant, Partenaire JV, Distributeur</w:t>
            </w:r>
          </w:p>
        </w:tc>
        <w:tc>
          <w:tcPr>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Directeur des Achats / DAF</w:t>
            </w:r>
          </w:p>
        </w:tc>
        <w:tc>
          <w:tcPr>
            <w:shd w:fill="auto"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Critique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Localisation &amp; Actifs (Location &amp; Asset Master)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Site industriel, Agence, Entité juridique, Pays, Immobilisation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DAF / DSI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Majeur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Finance &amp; RSE (Financial &amp; ESG Master)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Plan comptable, Centre de coûts, Centre de profits, Indicateurs RSE</w:t>
            </w:r>
          </w:p>
        </w:tc>
        <w:tc>
          <w:tcPr>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DAF / Directeur Corporate Development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Critique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Ressources Humaines (Employee Master)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Salarié, Matricule, Fonction, Droits d'accès 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Directeur des Ressources Humaines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Majeur</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Fonts w:ascii="Arial" w:cs="Arial" w:eastAsia="Arial" w:hAnsi="Arial"/>
          <w:color w:val="34495e"/>
          <w:rtl w:val="0"/>
        </w:rPr>
        <w:t xml:space="preserve">7.4. Structure Organisationnelle de la Gouvernance des Données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555555"/>
        </w:rPr>
      </w:pPr>
      <w:r w:rsidDel="00000000" w:rsidR="00000000" w:rsidRPr="00000000">
        <w:rPr>
          <w:rFonts w:ascii="Arial" w:cs="Arial" w:eastAsia="Arial" w:hAnsi="Arial"/>
          <w:color w:val="555555"/>
          <w:rtl w:val="0"/>
        </w:rPr>
        <w:t xml:space="preserve">7.4.1. Niveau Stratégique - Conseil de Gouvernance des Données (Data Governance Council)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Instance décisionnelle suprême du programme de gouvernance des données. Elle exerce les attributions suivantes :</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Définir et approuver la politique de gestion des données du Groupe.</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Arbitrer les conflits de définition et de propriété des données entre Business Units.</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Valider les standards et nomenclatures de données à portée transverse.</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Approuver le plan d'amélioration continue de la qualité des données.</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Superviser la conformité réglementaire des données du Groupe (AMMC, CNDP).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Fréquence de réunion :</w:t>
      </w:r>
      <w:r w:rsidDel="00000000" w:rsidR="00000000" w:rsidRPr="00000000">
        <w:rPr>
          <w:rFonts w:ascii="Arial" w:cs="Arial" w:eastAsia="Arial" w:hAnsi="Arial"/>
          <w:rtl w:val="0"/>
        </w:rPr>
        <w:t xml:space="preserve"> trimestrielle a minima, avec production de comptes rendus formels.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b w:val="1"/>
          <w:bCs w:val="1"/>
          <w:rtl w:val="0"/>
        </w:rPr>
        <w:t xml:space="preserve">Composition :</w:t>
      </w:r>
      <w:r w:rsidDel="00000000" w:rsidR="00000000" w:rsidRPr="00000000">
        <w:rPr>
          <w:rFonts w:ascii="Arial" w:cs="Arial" w:eastAsia="Arial" w:hAnsi="Arial"/>
          <w:rtl w:val="0"/>
        </w:rPr>
        <w:t xml:space="preserve"> Directeur Général Délégué Opérations (Sponsor exécutif), DSI (Président opérationnel), DAF, Data Owners des quatre Business Units, Responsable Qualité / RSE.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555555"/>
        </w:rPr>
      </w:pPr>
      <w:r w:rsidDel="00000000" w:rsidR="00000000" w:rsidRPr="00000000">
        <w:rPr>
          <w:rFonts w:ascii="Arial" w:cs="Arial" w:eastAsia="Arial" w:hAnsi="Arial"/>
          <w:color w:val="555555"/>
          <w:rtl w:val="0"/>
        </w:rPr>
        <w:t xml:space="preserve">7.4.2. Niveau Tactique - Comité DATA (Data Stewardship Committee)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Instance tactique et opérationnelle réunissant les Data Stewards de chaque domaine de données et de chaque Business Unit. Elle se réunit mensuellement et a pour mission :</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Examiner les indicateurs de qualité des données (KPI Data Quality) par domaine.</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Traiter les demandes d'exception et les dérogations aux règles de gouvernance.</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Valider les mises à jour des référentiels de données avant propagation aux systèmes.</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Escalader au Conseil de Gouvernance les problématiques dépassant son niveau d'autorité.</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Suivre le plan d'amélioration continue de la qualité des données.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rFonts w:ascii="Arial" w:cs="Arial" w:eastAsia="Arial" w:hAnsi="Arial"/>
          <w:color w:val="555555"/>
        </w:rPr>
      </w:pPr>
      <w:r w:rsidDel="00000000" w:rsidR="00000000" w:rsidRPr="00000000">
        <w:rPr>
          <w:rFonts w:ascii="Arial" w:cs="Arial" w:eastAsia="Arial" w:hAnsi="Arial"/>
          <w:color w:val="555555"/>
          <w:rtl w:val="0"/>
        </w:rPr>
        <w:t xml:space="preserve">7.4.3. Niveau Opérationnel - Rôles de Data Management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Rôle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Périmètre de Responsabilité</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Profil Requis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Owner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Autorité formelle sur un domaine de données. Accountable de la qualité, de la conformité et de l'usage des données de son périmètre.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Dirigeant ou responsable de BU avec autorité décisionnelle sur les ressources et processus associés.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Steward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Gestion quotidienne des données de référence au nom du Data Owner. Garant opérationnel de la qualité et interface métiers / MDM.</w:t>
            </w:r>
          </w:p>
        </w:tc>
        <w:tc>
          <w:tcPr>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Expert métier du domaine, rigoureux, avec forte culture de la donnée et capacité à collaborer avec les équipes techniques.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Manager MDM</w:t>
            </w:r>
          </w:p>
        </w:tc>
        <w:tc>
          <w:tcPr>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Pilotage de la plateforme MDM centrale. Coordination des Data Stewards. Définition des règles de matching et de survivorship. Production des tableaux de bord qualité.</w:t>
            </w:r>
          </w:p>
        </w:tc>
        <w:tc>
          <w:tcPr>
            <w:shd w:fill="auto"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Expert en Data Management, maîtrise des concepts MDM, architectures d'intégration (ESB, API), outils de qualité.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Architect</w:t>
            </w:r>
          </w:p>
        </w:tc>
        <w:tc>
          <w:tcPr>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Conception des structures de données, modèles conceptuels/logiques/physiques et standards d'intégration.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Architecte Senior SI avec expertise en modélisation de données, intégration et architecture d'entreprise.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Quality Analyst</w:t>
            </w:r>
          </w:p>
        </w:tc>
        <w:tc>
          <w:tcPr>
            <w:shd w:fill="auto"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Mesure, analyse et amélioration de la qualité des données maîtresses. Profilage, scorecards, plans d'action.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Profil analytique avec expertise en data profiling, statistiques et outils ETL/qualité.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Custodian (DSI)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Responsabilité technique de la sécurité, du stockage, de la disponibilité et de l'intégrité physique des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Administrateur de bases de données ou responsable infrastructure SI.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 Consumer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Utilisation exclusive des données certifiées issues du Hub MDM. Signalement des anomalies.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Tout collaborateur, système ou processus utilisateur de données du Groupe.</w:t>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7.5. Modèle de Responsabilité RACI - Gouvernance des Données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Activité de Gouvernance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 Owner</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 Steward</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 Mgr MDM</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DSI / IT</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Conseil Gouv.</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Définition de la politique Data Management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Validation des standards de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50.0" w:type="dxa"/>
              <w:left w:w="150.0" w:type="dxa"/>
              <w:bottom w:w="15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Nomination des Data Stewards</w:t>
            </w:r>
          </w:p>
        </w:tc>
        <w:tc>
          <w:tcPr>
            <w:shd w:fill="auto" w:val="clear"/>
            <w:tcMar>
              <w:top w:w="150.0" w:type="dxa"/>
              <w:left w:w="150.0" w:type="dxa"/>
              <w:bottom w:w="15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50.0" w:type="dxa"/>
              <w:left w:w="150.0" w:type="dxa"/>
              <w:bottom w:w="15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50.0" w:type="dxa"/>
              <w:left w:w="150.0" w:type="dxa"/>
              <w:bottom w:w="15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Création d'une nouvelle donnée maîtresse</w:t>
            </w:r>
          </w:p>
        </w:tc>
        <w:tc>
          <w:tcPr>
            <w:shd w:fill="auto" w:val="clear"/>
            <w:tcMar>
              <w:top w:w="150.0" w:type="dxa"/>
              <w:left w:w="150.0" w:type="dxa"/>
              <w:bottom w:w="15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Modification d'une donnée existante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50.0" w:type="dxa"/>
              <w:left w:w="150.0" w:type="dxa"/>
              <w:bottom w:w="15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Résolution de doublons (Match &amp; Merge)</w:t>
            </w:r>
          </w:p>
        </w:tc>
        <w:tc>
          <w:tcPr>
            <w:shd w:fill="auto" w:val="clear"/>
            <w:tcMar>
              <w:top w:w="150.0" w:type="dxa"/>
              <w:left w:w="150.0" w:type="dxa"/>
              <w:bottom w:w="15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Contrôle qualité des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Audit et conformité réglementaire (CNDP, AMMC)</w:t>
            </w:r>
          </w:p>
        </w:tc>
        <w:tc>
          <w:tcPr>
            <w:shd w:fill="auto"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Arbitrage de conflit inter-BU sur les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Approbation du Golden Record</w:t>
            </w:r>
          </w:p>
        </w:tc>
        <w:tc>
          <w:tcPr>
            <w:shd w:fill="auto"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50.0" w:type="dxa"/>
              <w:left w:w="150.0" w:type="dxa"/>
              <w:bottom w:w="150.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Gestion du cycle de vie / archivage</w:t>
            </w:r>
          </w:p>
        </w:tc>
        <w:tc>
          <w:tcPr>
            <w:shd w:fill="auto"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Pilotage du Comité DATA</w:t>
            </w:r>
          </w:p>
        </w:tc>
        <w:tc>
          <w:tcPr>
            <w:shd w:fill="auto" w:val="clear"/>
            <w:tcMar>
              <w:top w:w="150.0" w:type="dxa"/>
              <w:left w:w="150.0" w:type="dxa"/>
              <w:bottom w:w="150.0" w:type="dxa"/>
              <w:right w:w="15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Reporting gouvernance à la Direction Générale</w:t>
            </w:r>
          </w:p>
        </w:tc>
        <w:tc>
          <w:tcPr>
            <w:shd w:fill="auto" w:val="clear"/>
            <w:tcMar>
              <w:top w:w="150.0" w:type="dxa"/>
              <w:left w:w="150.0" w:type="dxa"/>
              <w:bottom w:w="150.0" w:type="dxa"/>
              <w:right w:w="1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w:t>
            </w:r>
          </w:p>
        </w:tc>
        <w:tc>
          <w:tcPr>
            <w:shd w:fill="auto" w:val="clear"/>
            <w:tcMar>
              <w:top w:w="150.0" w:type="dxa"/>
              <w:left w:w="150.0" w:type="dxa"/>
              <w:bottom w:w="150.0" w:type="dxa"/>
              <w:right w:w="15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w:t>
            </w:r>
          </w:p>
        </w:tc>
        <w:tc>
          <w:tcPr>
            <w:shd w:fill="auto" w:val="clear"/>
            <w:tcMar>
              <w:top w:w="150.0" w:type="dxa"/>
              <w:left w:w="150.0" w:type="dxa"/>
              <w:bottom w:w="150.0" w:type="dxa"/>
              <w:right w:w="15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50.0" w:type="dxa"/>
              <w:left w:w="150.0" w:type="dxa"/>
              <w:bottom w:w="15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Légende : R = Responsable (Réalise) | A = Accountable (Décide/Valide) | C = Consulté | I = Informé | - = Non concerné</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25"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Fonts w:ascii="Arial" w:cs="Arial" w:eastAsia="Arial" w:hAnsi="Arial"/>
          <w:color w:val="34495e"/>
          <w:rtl w:val="0"/>
        </w:rPr>
        <w:t xml:space="preserve">7.6. Conformité Réglementaire et Gestion des Données Personnelles</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555555"/>
        </w:rPr>
      </w:pPr>
      <w:r w:rsidDel="00000000" w:rsidR="00000000" w:rsidRPr="00000000">
        <w:rPr>
          <w:rFonts w:ascii="Arial" w:cs="Arial" w:eastAsia="Arial" w:hAnsi="Arial"/>
          <w:color w:val="555555"/>
          <w:rtl w:val="0"/>
        </w:rPr>
        <w:t xml:space="preserve">7.6.1. Conformité CNDP - Loi 09-08</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Loi 09-08 relative à la protection des personnes physiques à l'égard des traitements de données à caractère personnel constitue le cadre réglementaire principal applicable aux données personnelles traitées par CMGP Group sur le territoire marocain. En application de cette loi, CMGP Group s'engage à :</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Maintenir à jour un Registre des Traitements de Données à Caractère Personnel.</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Soumettre à déclaration préalable auprès de la CNDP tout nouveau traitement de données.</w:t>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Garantir le droit d'accès, de rectification et d'opposition des personnes concernées.</w:t>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Assurer la sécurité et la confidentialité des données conformément aux exigences de l'ISO 27001.</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rPr>
          <w:rFonts w:ascii="Arial" w:cs="Arial" w:eastAsia="Arial" w:hAnsi="Arial"/>
          <w:color w:val="555555"/>
        </w:rPr>
      </w:pPr>
      <w:r w:rsidDel="00000000" w:rsidR="00000000" w:rsidRPr="00000000">
        <w:rPr>
          <w:rFonts w:ascii="Arial" w:cs="Arial" w:eastAsia="Arial" w:hAnsi="Arial"/>
          <w:color w:val="555555"/>
          <w:rtl w:val="0"/>
        </w:rPr>
        <w:t xml:space="preserve">7.6.2. Conformité AMMC</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En qualité de société cotée à la Bourse de Casablanca, CMGP Group est soumise aux obligations de reporting et de transparence définies par l'Autorité Marocaine du Marché des Capitaux. La gouvernance des données garantit la fiabilité et la traçabilité des données financières, l'intégrité des indicateurs RSE (ESG), et l'auditabilité complète des processus de production des informations financières communiquées au marché.</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555555"/>
        </w:rPr>
      </w:pPr>
      <w:r w:rsidDel="00000000" w:rsidR="00000000" w:rsidRPr="00000000">
        <w:rPr>
          <w:rFonts w:ascii="Arial" w:cs="Arial" w:eastAsia="Arial" w:hAnsi="Arial"/>
          <w:color w:val="555555"/>
          <w:rtl w:val="0"/>
        </w:rPr>
        <w:t xml:space="preserve">7.6.3. Gestion des Risques Data</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Catégorie de Risque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Description</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Mesures de Maîtrise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Risque de conformité CNDP</w:t>
            </w:r>
          </w:p>
        </w:tc>
        <w:tc>
          <w:tcPr>
            <w:shd w:fill="auto" w:val="clear"/>
            <w:tcMar>
              <w:top w:w="150.0" w:type="dxa"/>
              <w:left w:w="150.0" w:type="dxa"/>
              <w:bottom w:w="15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Non-respect de la Loi 09-08 : absence de déclaration, traitement non autorisé de données sensibles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Registre des traitements, déclarations préalables, audit annuel de conformité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Risque de qualité des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Données incorrectes, incomplètes ou obsolètes impactant la décision ou la conformité réglementaire</w:t>
            </w:r>
          </w:p>
        </w:tc>
        <w:tc>
          <w:tcPr>
            <w:shd w:fill="auto" w:val="clear"/>
            <w:tcMar>
              <w:top w:w="150.0" w:type="dxa"/>
              <w:left w:w="150.0" w:type="dxa"/>
              <w:bottom w:w="150.0" w:type="dxa"/>
              <w:right w:w="15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KPIs qualité, alertes automatiques, revues périodiques par domaine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Risque de doublons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Multiplicité d'enregistrements pour une même entité réelle, générant incohérence et perte de performance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Hub MDM, algorithmes de matching, processus de déduplication formalisé</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Risque de fuites de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Accès non autorisé ou divulgation de données confidentielles ou à caractère personnel</w:t>
            </w:r>
          </w:p>
        </w:tc>
        <w:tc>
          <w:tcPr>
            <w:shd w:fill="auto" w:val="clear"/>
            <w:tcMar>
              <w:top w:w="150.0" w:type="dxa"/>
              <w:left w:w="150.0" w:type="dxa"/>
              <w:bottom w:w="150.0" w:type="dxa"/>
              <w:right w:w="15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Contrôle d'accès RBAC, chiffrement, ISO 27001, audit RSSI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Risque de non-conformité AMMC</w:t>
            </w:r>
          </w:p>
        </w:tc>
        <w:tc>
          <w:tcPr>
            <w:shd w:fill="auto" w:val="clear"/>
            <w:tcMar>
              <w:top w:w="150.0" w:type="dxa"/>
              <w:left w:w="150.0" w:type="dxa"/>
              <w:bottom w:w="150.0" w:type="dxa"/>
              <w:right w:w="15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Reportings financiers basés sur des données non certifiées ou non traçables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Golden Records certifiés, audit trail immuable, processus de validation MDM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Risque de fragmentation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Silos de données inter-systèmes (Sage X3, Odoo, ERP hérités) générant des visions contradictoires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Hub MDM comme SSOT, propagation synchronisée, audit croisé MDM vs ERP</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7.7. Charte de Gouvernance des Données - Engagements du Groupe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Charte de Gouvernance des Données (document 001Dc.Po.SI.09) matérialise les engagements institutionnels de CMGP Group en matière de gestion des données.</w:t>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Principe 1 : Unicité du Référentiel</w:t>
      </w:r>
      <w:r w:rsidDel="00000000" w:rsidR="00000000" w:rsidRPr="00000000">
        <w:rPr>
          <w:rFonts w:ascii="Arial" w:cs="Arial" w:eastAsia="Arial" w:hAnsi="Arial"/>
          <w:rtl w:val="0"/>
        </w:rPr>
        <w:t xml:space="preserve"> - Chaque entité réelle est représentée par un et un seul enregistrement certifié dans le Hub MDM.</w:t>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Principe 2 : Traçabilité Intégrale</w:t>
      </w:r>
      <w:r w:rsidDel="00000000" w:rsidR="00000000" w:rsidRPr="00000000">
        <w:rPr>
          <w:rFonts w:ascii="Arial" w:cs="Arial" w:eastAsia="Arial" w:hAnsi="Arial"/>
          <w:rtl w:val="0"/>
        </w:rPr>
        <w:t xml:space="preserve"> - Toute opération sur une donnée maîtresse est enregistrée de manière immuable, avec l'identité de l'acteur, l'horodatage et la justification métier documentée.</w:t>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Principe 3 : Propriété et Responsabilité</w:t>
      </w:r>
      <w:r w:rsidDel="00000000" w:rsidR="00000000" w:rsidRPr="00000000">
        <w:rPr>
          <w:rFonts w:ascii="Arial" w:cs="Arial" w:eastAsia="Arial" w:hAnsi="Arial"/>
          <w:rtl w:val="0"/>
        </w:rPr>
        <w:t xml:space="preserve"> - Toute donnée maîtresse est attachée à un Data Owner et à un Data Steward identifiés.</w:t>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Principe 4 : Qualité comme Exigence</w:t>
      </w:r>
      <w:r w:rsidDel="00000000" w:rsidR="00000000" w:rsidRPr="00000000">
        <w:rPr>
          <w:rFonts w:ascii="Arial" w:cs="Arial" w:eastAsia="Arial" w:hAnsi="Arial"/>
          <w:rtl w:val="0"/>
        </w:rPr>
        <w:t xml:space="preserve"> - Aucune donnée maîtresse ne peut être propagée vers les systèmes consommateurs sans avoir satisfait les critères de qualité minimaux.</w:t>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Principe 5 : Conformité Permanente</w:t>
      </w:r>
      <w:r w:rsidDel="00000000" w:rsidR="00000000" w:rsidRPr="00000000">
        <w:rPr>
          <w:rFonts w:ascii="Arial" w:cs="Arial" w:eastAsia="Arial" w:hAnsi="Arial"/>
          <w:rtl w:val="0"/>
        </w:rPr>
        <w:t xml:space="preserve"> - Les données du Groupe respectent en permanence les exigences légales et réglementaires applicables.</w:t>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Principe 6 : Amélioration Continue</w:t>
      </w:r>
      <w:r w:rsidDel="00000000" w:rsidR="00000000" w:rsidRPr="00000000">
        <w:rPr>
          <w:rFonts w:ascii="Arial" w:cs="Arial" w:eastAsia="Arial" w:hAnsi="Arial"/>
          <w:rtl w:val="0"/>
        </w:rPr>
        <w:t xml:space="preserve"> - La gouvernance des données est soumise à un cycle d'amélioration continue (PDCA).</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7.8. Architecture de la Gouvernance - Hub MDM comme Source Unique de Vérité</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Hub MDM est positionné comme l'infrastructure technique centrale (Single Source of Truth - SSOT) de la gouvernance des données de CMGP Group. Il constitue la couche d'intégration entre les systèmes transactionnels et les systèmes analytiques.</w:t>
      </w:r>
    </w:p>
    <w:p w:rsidR="00000000" w:rsidDel="00000000" w:rsidP="00000000" w:rsidRDefault="00000000" w:rsidRPr="00000000" w14:paraId="0000014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 Hub MDM maintient le Golden Record certifié pour chaque domaine de données maîtresses.</w:t>
      </w:r>
    </w:p>
    <w:p w:rsidR="00000000" w:rsidDel="00000000" w:rsidP="00000000" w:rsidRDefault="00000000" w:rsidRPr="00000000" w14:paraId="0000014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Les systèmes sources alimentent le Hub MDM via des connecteurs ETL/ELT.</w:t>
      </w:r>
    </w:p>
    <w:p w:rsidR="00000000" w:rsidDel="00000000" w:rsidP="00000000" w:rsidRDefault="00000000" w:rsidRPr="00000000" w14:paraId="0000015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Le Hub MDM propage les Golden Records certifiés vers les systèmes consommateurs de manière asynchrone, via Bus de Services d'Entreprise (ESB) ou API RESTful.</w:t>
      </w:r>
    </w:p>
    <w:p w:rsidR="00000000" w:rsidDel="00000000" w:rsidP="00000000" w:rsidRDefault="00000000" w:rsidRPr="00000000" w14:paraId="0000015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Aucune modification directe d'une donnée maîtresse dans un système ERP sans validation préalable dans le Hub MDM n'est autorisée.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7.9. Indicateurs de Performance de la Gouvernance des Données (KPIs)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Catégorie KPI</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Indicateur</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Cible 12 mois</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Cible 24 mois</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Fréquence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Couverture</w:t>
            </w:r>
          </w:p>
        </w:tc>
        <w:tc>
          <w:tcPr>
            <w:shd w:fill="auto" w:val="clear"/>
            <w:tcMar>
              <w:top w:w="150.0" w:type="dxa"/>
              <w:left w:w="150.0" w:type="dxa"/>
              <w:bottom w:w="150.0" w:type="dxa"/>
              <w:right w:w="15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Taux de couverture des données maîtresses par un Data Steward identifié</w:t>
            </w:r>
          </w:p>
        </w:tc>
        <w:tc>
          <w:tcPr>
            <w:shd w:fill="auto" w:val="clear"/>
            <w:tcMar>
              <w:top w:w="150.0" w:type="dxa"/>
              <w:left w:w="150.0" w:type="dxa"/>
              <w:bottom w:w="150.0" w:type="dxa"/>
              <w:right w:w="1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100%</w:t>
            </w:r>
          </w:p>
        </w:tc>
        <w:tc>
          <w:tcPr>
            <w:shd w:fill="auto" w:val="clear"/>
            <w:tcMar>
              <w:top w:w="150.0" w:type="dxa"/>
              <w:left w:w="150.0" w:type="dxa"/>
              <w:bottom w:w="150.0" w:type="dxa"/>
              <w:right w:w="15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100%</w:t>
            </w:r>
          </w:p>
        </w:tc>
        <w:tc>
          <w:tcPr>
            <w:shd w:fill="auto" w:val="clear"/>
            <w:tcMar>
              <w:top w:w="150.0" w:type="dxa"/>
              <w:left w:w="150.0" w:type="dxa"/>
              <w:bottom w:w="150.0" w:type="dxa"/>
              <w:right w:w="15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Mensuelle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Qualité</w:t>
            </w:r>
          </w:p>
        </w:tc>
        <w:tc>
          <w:tcPr>
            <w:shd w:fill="auto" w:val="clear"/>
            <w:tcMar>
              <w:top w:w="150.0" w:type="dxa"/>
              <w:left w:w="150.0" w:type="dxa"/>
              <w:bottom w:w="150.0" w:type="dxa"/>
              <w:right w:w="15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Taux de complétude des attributs obligatoires (tous domaines)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&gt; 90%</w:t>
            </w:r>
          </w:p>
        </w:tc>
        <w:tc>
          <w:tcPr>
            <w:shd w:fill="auto" w:val="clear"/>
            <w:tcMar>
              <w:top w:w="150.0" w:type="dxa"/>
              <w:left w:w="150.0" w:type="dxa"/>
              <w:bottom w:w="150.0" w:type="dxa"/>
              <w:right w:w="15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&gt; 98%</w:t>
            </w:r>
          </w:p>
        </w:tc>
        <w:tc>
          <w:tcPr>
            <w:shd w:fill="auto" w:val="clear"/>
            <w:tcMar>
              <w:top w:w="150.0" w:type="dxa"/>
              <w:left w:w="150.0" w:type="dxa"/>
              <w:bottom w:w="150.0" w:type="dxa"/>
              <w:right w:w="15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Hebdomadaire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Qualité</w:t>
            </w:r>
          </w:p>
        </w:tc>
        <w:tc>
          <w:tcPr>
            <w:shd w:fill="auto" w:val="clear"/>
            <w:tcMar>
              <w:top w:w="150.0" w:type="dxa"/>
              <w:left w:w="150.0" w:type="dxa"/>
              <w:bottom w:w="150.0" w:type="dxa"/>
              <w:right w:w="15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Taux de doublons résiduels dans le référentiel MDM</w:t>
            </w:r>
          </w:p>
        </w:tc>
        <w:tc>
          <w:tcPr>
            <w:shd w:fill="auto" w:val="clear"/>
            <w:tcMar>
              <w:top w:w="150.0" w:type="dxa"/>
              <w:left w:w="150.0" w:type="dxa"/>
              <w:bottom w:w="150.0" w:type="dxa"/>
              <w:right w:w="15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&lt; 2%</w:t>
            </w:r>
          </w:p>
        </w:tc>
        <w:tc>
          <w:tcPr>
            <w:shd w:fill="auto" w:val="clear"/>
            <w:tcMar>
              <w:top w:w="150.0" w:type="dxa"/>
              <w:left w:w="150.0" w:type="dxa"/>
              <w:bottom w:w="150.0" w:type="dxa"/>
              <w:right w:w="15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&lt; 0,5%</w:t>
            </w:r>
          </w:p>
        </w:tc>
        <w:tc>
          <w:tcPr>
            <w:shd w:fill="auto" w:val="clear"/>
            <w:tcMar>
              <w:top w:w="150.0" w:type="dxa"/>
              <w:left w:w="150.0" w:type="dxa"/>
              <w:bottom w:w="150.0" w:type="dxa"/>
              <w:right w:w="15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Hebdomadaire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Qualité</w:t>
            </w:r>
          </w:p>
        </w:tc>
        <w:tc>
          <w:tcPr>
            <w:shd w:fill="auto" w:val="clear"/>
            <w:tcMar>
              <w:top w:w="150.0" w:type="dxa"/>
              <w:left w:w="150.0" w:type="dxa"/>
              <w:bottom w:w="150.0" w:type="dxa"/>
              <w:right w:w="15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Taux de divergence entre ERP et Hub MDM</w:t>
            </w:r>
          </w:p>
        </w:tc>
        <w:tc>
          <w:tcPr>
            <w:shd w:fill="auto" w:val="clear"/>
            <w:tcMar>
              <w:top w:w="150.0" w:type="dxa"/>
              <w:left w:w="150.0" w:type="dxa"/>
              <w:bottom w:w="150.0" w:type="dxa"/>
              <w:right w:w="15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&lt; 5%</w:t>
            </w:r>
          </w:p>
        </w:tc>
        <w:tc>
          <w:tcPr>
            <w:shd w:fill="auto" w:val="clear"/>
            <w:tcMar>
              <w:top w:w="150.0" w:type="dxa"/>
              <w:left w:w="150.0" w:type="dxa"/>
              <w:bottom w:w="150.0" w:type="dxa"/>
              <w:right w:w="15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&lt; 1%</w:t>
            </w:r>
          </w:p>
        </w:tc>
        <w:tc>
          <w:tcPr>
            <w:shd w:fill="auto" w:val="clear"/>
            <w:tcMar>
              <w:top w:w="150.0" w:type="dxa"/>
              <w:left w:w="150.0" w:type="dxa"/>
              <w:bottom w:w="150.0" w:type="dxa"/>
              <w:right w:w="15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Quotidienne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Performance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Délai moyen de traitement d'une demande de création (N1/N2)</w:t>
            </w:r>
          </w:p>
        </w:tc>
        <w:tc>
          <w:tcPr>
            <w:shd w:fill="auto" w:val="clear"/>
            <w:tcMar>
              <w:top w:w="150.0" w:type="dxa"/>
              <w:left w:w="150.0" w:type="dxa"/>
              <w:bottom w:w="150.0" w:type="dxa"/>
              <w:right w:w="15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&lt; 48h</w:t>
            </w:r>
          </w:p>
        </w:tc>
        <w:tc>
          <w:tcPr>
            <w:shd w:fill="auto" w:val="clear"/>
            <w:tcMar>
              <w:top w:w="150.0" w:type="dxa"/>
              <w:left w:w="150.0" w:type="dxa"/>
              <w:bottom w:w="150.0" w:type="dxa"/>
              <w:right w:w="15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&lt; 24h</w:t>
            </w:r>
          </w:p>
        </w:tc>
        <w:tc>
          <w:tcPr>
            <w:shd w:fill="auto" w:val="clear"/>
            <w:tcMar>
              <w:top w:w="150.0" w:type="dxa"/>
              <w:left w:w="150.0" w:type="dxa"/>
              <w:bottom w:w="150.0" w:type="dxa"/>
              <w:right w:w="15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Mensuelle</w:t>
            </w:r>
          </w:p>
        </w:tc>
      </w:tr>
    </w:tbl>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Fonts w:ascii="Arial" w:cs="Arial" w:eastAsia="Arial" w:hAnsi="Arial"/>
          <w:color w:val="34495e"/>
          <w:rtl w:val="0"/>
        </w:rPr>
        <w:t xml:space="preserve">7.10. Application et Amélioration Continue</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555555"/>
        </w:rPr>
      </w:pPr>
      <w:r w:rsidDel="00000000" w:rsidR="00000000" w:rsidRPr="00000000">
        <w:rPr>
          <w:rFonts w:ascii="Arial" w:cs="Arial" w:eastAsia="Arial" w:hAnsi="Arial"/>
          <w:color w:val="555555"/>
          <w:rtl w:val="0"/>
        </w:rPr>
        <w:t xml:space="preserve">7.10.1. Cycle PDCA de la Gouvernance des Données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En application du référentiel DAMA-DMBOK v2, CMGP Group adopte un cycle d'amélioration continue (PDCA) pour la gouvernance de ses données : </w:t>
      </w:r>
      <w:r w:rsidDel="00000000" w:rsidR="00000000" w:rsidRPr="00000000">
        <w:rPr>
          <w:rFonts w:ascii="Arial" w:cs="Arial" w:eastAsia="Arial" w:hAnsi="Arial"/>
          <w:b w:val="1"/>
          <w:bCs w:val="1"/>
          <w:rtl w:val="0"/>
        </w:rPr>
        <w:t xml:space="preserve">Plan</w:t>
      </w:r>
      <w:r w:rsidDel="00000000" w:rsidR="00000000" w:rsidRPr="00000000">
        <w:rPr>
          <w:rFonts w:ascii="Arial" w:cs="Arial" w:eastAsia="Arial" w:hAnsi="Arial"/>
          <w:rtl w:val="0"/>
        </w:rPr>
        <w:t xml:space="preserve"> (Définition annuelle des objectifs), </w:t>
      </w:r>
      <w:r w:rsidDel="00000000" w:rsidR="00000000" w:rsidRPr="00000000">
        <w:rPr>
          <w:rFonts w:ascii="Arial" w:cs="Arial" w:eastAsia="Arial" w:hAnsi="Arial"/>
          <w:b w:val="1"/>
          <w:bCs w:val="1"/>
          <w:rtl w:val="0"/>
        </w:rPr>
        <w:t xml:space="preserve">Do</w:t>
      </w:r>
      <w:r w:rsidDel="00000000" w:rsidR="00000000" w:rsidRPr="00000000">
        <w:rPr>
          <w:rFonts w:ascii="Arial" w:cs="Arial" w:eastAsia="Arial" w:hAnsi="Arial"/>
          <w:rtl w:val="0"/>
        </w:rPr>
        <w:t xml:space="preserve"> (Exécution des projets et mise à jour des règles), </w:t>
      </w:r>
      <w:r w:rsidDel="00000000" w:rsidR="00000000" w:rsidRPr="00000000">
        <w:rPr>
          <w:rFonts w:ascii="Arial" w:cs="Arial" w:eastAsia="Arial" w:hAnsi="Arial"/>
          <w:b w:val="1"/>
          <w:bCs w:val="1"/>
          <w:rtl w:val="0"/>
        </w:rPr>
        <w:t xml:space="preserve">Check</w:t>
      </w:r>
      <w:r w:rsidDel="00000000" w:rsidR="00000000" w:rsidRPr="00000000">
        <w:rPr>
          <w:rFonts w:ascii="Arial" w:cs="Arial" w:eastAsia="Arial" w:hAnsi="Arial"/>
          <w:rtl w:val="0"/>
        </w:rPr>
        <w:t xml:space="preserve"> (Mesure des KPI et revue des incidents), </w:t>
      </w:r>
      <w:r w:rsidDel="00000000" w:rsidR="00000000" w:rsidRPr="00000000">
        <w:rPr>
          <w:rFonts w:ascii="Arial" w:cs="Arial" w:eastAsia="Arial" w:hAnsi="Arial"/>
          <w:b w:val="1"/>
          <w:bCs w:val="1"/>
          <w:rtl w:val="0"/>
        </w:rPr>
        <w:t xml:space="preserve">Act</w:t>
      </w:r>
      <w:r w:rsidDel="00000000" w:rsidR="00000000" w:rsidRPr="00000000">
        <w:rPr>
          <w:rFonts w:ascii="Arial" w:cs="Arial" w:eastAsia="Arial" w:hAnsi="Arial"/>
          <w:rtl w:val="0"/>
        </w:rPr>
        <w:t xml:space="preserve"> (Ajustement des processus et des politiques).</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555555"/>
        </w:rPr>
      </w:pPr>
      <w:r w:rsidDel="00000000" w:rsidR="00000000" w:rsidRPr="00000000">
        <w:rPr>
          <w:rFonts w:ascii="Arial" w:cs="Arial" w:eastAsia="Arial" w:hAnsi="Arial"/>
          <w:color w:val="555555"/>
          <w:rtl w:val="0"/>
        </w:rPr>
        <w:t xml:space="preserve">7.10.2. Mécanismes de Contrôle et d'Audit</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Mécanisme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Type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Fréquence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Responsable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Contrôles automatiques à la saisie</w:t>
            </w:r>
          </w:p>
        </w:tc>
        <w:tc>
          <w:tcPr>
            <w:shd w:fill="auto" w:val="clear"/>
            <w:tcMar>
              <w:top w:w="150.0" w:type="dxa"/>
              <w:left w:w="150.0" w:type="dxa"/>
              <w:bottom w:w="150.0" w:type="dxa"/>
              <w:right w:w="15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Préventif</w:t>
            </w:r>
          </w:p>
        </w:tc>
        <w:tc>
          <w:tcPr>
            <w:shd w:fill="auto" w:val="clear"/>
            <w:tcMar>
              <w:top w:w="150.0" w:type="dxa"/>
              <w:left w:w="150.0" w:type="dxa"/>
              <w:bottom w:w="150.0" w:type="dxa"/>
              <w:right w:w="15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En continu</w:t>
            </w:r>
          </w:p>
        </w:tc>
        <w:tc>
          <w:tcPr>
            <w:shd w:fill="auto" w:val="clear"/>
            <w:tcMar>
              <w:top w:w="150.0" w:type="dxa"/>
              <w:left w:w="150.0" w:type="dxa"/>
              <w:bottom w:w="150.0" w:type="dxa"/>
              <w:right w:w="15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Hub MDM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Tableau de bord Data Quality KPIs</w:t>
            </w:r>
          </w:p>
        </w:tc>
        <w:tc>
          <w:tcPr>
            <w:shd w:fill="auto" w:val="clear"/>
            <w:tcMar>
              <w:top w:w="150.0" w:type="dxa"/>
              <w:left w:w="150.0" w:type="dxa"/>
              <w:bottom w:w="150.0" w:type="dxa"/>
              <w:right w:w="15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Détectif</w:t>
            </w:r>
          </w:p>
        </w:tc>
        <w:tc>
          <w:tcPr>
            <w:shd w:fill="auto" w:val="clear"/>
            <w:tcMar>
              <w:top w:w="150.0" w:type="dxa"/>
              <w:left w:w="150.0" w:type="dxa"/>
              <w:bottom w:w="150.0" w:type="dxa"/>
              <w:right w:w="15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Quotidien</w:t>
            </w:r>
          </w:p>
        </w:tc>
        <w:tc>
          <w:tcPr>
            <w:shd w:fill="auto" w:val="clear"/>
            <w:tcMar>
              <w:top w:w="150.0" w:type="dxa"/>
              <w:left w:w="150.0" w:type="dxa"/>
              <w:bottom w:w="150.0" w:type="dxa"/>
              <w:right w:w="15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Data Manager MDM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Audit croisé MDM vs ERP</w:t>
            </w:r>
          </w:p>
        </w:tc>
        <w:tc>
          <w:tcPr>
            <w:shd w:fill="auto" w:val="clear"/>
            <w:tcMar>
              <w:top w:w="150.0" w:type="dxa"/>
              <w:left w:w="150.0" w:type="dxa"/>
              <w:bottom w:w="150.0" w:type="dxa"/>
              <w:right w:w="15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Détectif</w:t>
            </w:r>
          </w:p>
        </w:tc>
        <w:tc>
          <w:tcPr>
            <w:shd w:fill="auto" w:val="clear"/>
            <w:tcMar>
              <w:top w:w="150.0" w:type="dxa"/>
              <w:left w:w="150.0" w:type="dxa"/>
              <w:bottom w:w="150.0" w:type="dxa"/>
              <w:right w:w="15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Trimestriel</w:t>
            </w:r>
          </w:p>
        </w:tc>
        <w:tc>
          <w:tcPr>
            <w:shd w:fill="auto" w:val="clear"/>
            <w:tcMar>
              <w:top w:w="150.0" w:type="dxa"/>
              <w:left w:w="150.0" w:type="dxa"/>
              <w:bottom w:w="150.0" w:type="dxa"/>
              <w:right w:w="15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Data Quality Analyst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Revue annuelle du modèle de données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Préventif</w:t>
            </w:r>
          </w:p>
        </w:tc>
        <w:tc>
          <w:tcPr>
            <w:shd w:fill="auto" w:val="clear"/>
            <w:tcMar>
              <w:top w:w="150.0" w:type="dxa"/>
              <w:left w:w="150.0" w:type="dxa"/>
              <w:bottom w:w="150.0" w:type="dxa"/>
              <w:right w:w="15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Annuel</w:t>
            </w:r>
          </w:p>
        </w:tc>
        <w:tc>
          <w:tcPr>
            <w:shd w:fill="auto" w:val="clear"/>
            <w:tcMar>
              <w:top w:w="150.0" w:type="dxa"/>
              <w:left w:w="150.0" w:type="dxa"/>
              <w:bottom w:w="150.0" w:type="dxa"/>
              <w:right w:w="15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Data Architect + Conseil</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7.11. Gestion des Incidents de Qualité des Données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incident de qualité MDM est défini comme toute situation où une donnée ne respecte pas les standards de qualité définis, compromet un processus métier ou génère un risque de non-conformité réglementaire.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Niveau</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Définition</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Délai de Résolution Cible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P1 - Critique</w:t>
            </w:r>
          </w:p>
        </w:tc>
        <w:tc>
          <w:tcPr>
            <w:shd w:fill="auto" w:val="clear"/>
            <w:tcMar>
              <w:top w:w="150.0" w:type="dxa"/>
              <w:left w:w="150.0" w:type="dxa"/>
              <w:bottom w:w="150.0" w:type="dxa"/>
              <w:right w:w="15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Impact sur le reporting AMMC ou blocage opérationnel majeur</w:t>
            </w:r>
          </w:p>
        </w:tc>
        <w:tc>
          <w:tcPr>
            <w:shd w:fill="auto" w:val="clear"/>
            <w:tcMar>
              <w:top w:w="150.0" w:type="dxa"/>
              <w:left w:w="150.0" w:type="dxa"/>
              <w:bottom w:w="150.0" w:type="dxa"/>
              <w:right w:w="15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4 heures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P2 - Majeur</w:t>
            </w:r>
          </w:p>
        </w:tc>
        <w:tc>
          <w:tcPr>
            <w:shd w:fill="auto" w:val="clear"/>
            <w:tcMar>
              <w:top w:w="150.0" w:type="dxa"/>
              <w:left w:w="150.0" w:type="dxa"/>
              <w:bottom w:w="150.0" w:type="dxa"/>
              <w:right w:w="15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Impact sur plusieurs Business Units ou risque réglementaire</w:t>
            </w:r>
          </w:p>
        </w:tc>
        <w:tc>
          <w:tcPr>
            <w:shd w:fill="auto" w:val="clear"/>
            <w:tcMar>
              <w:top w:w="150.0" w:type="dxa"/>
              <w:left w:w="150.0" w:type="dxa"/>
              <w:bottom w:w="150.0" w:type="dxa"/>
              <w:right w:w="1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2 jours ouvrés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P3 - Mineur</w:t>
            </w:r>
          </w:p>
        </w:tc>
        <w:tc>
          <w:tcPr>
            <w:shd w:fill="auto" w:val="clear"/>
            <w:tcMar>
              <w:top w:w="150.0" w:type="dxa"/>
              <w:left w:w="150.0" w:type="dxa"/>
              <w:bottom w:w="150.0" w:type="dxa"/>
              <w:right w:w="15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Anomalie locale sans impact immédiat sur les opérations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10 jours ouvrés</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9B">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8. APPLICATION ET SUIVI DE LA POLITIQUE :</w:t>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8.1. Date d'Entrée en Vigueur</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Fonts w:ascii="Arial" w:cs="Arial" w:eastAsia="Arial" w:hAnsi="Arial"/>
          <w:rtl w:val="0"/>
        </w:rPr>
        <w:t xml:space="preserve">La présente politique entre en vigueur à compter de sa date d'approbation par le Président Directeur Général. Elle se substitue à toute disposition antérieure relative à la gestion des données du Groupe.</w:t>
      </w:r>
    </w:p>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8.2. Mise à Jour et Révision</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Fonts w:ascii="Arial" w:cs="Arial" w:eastAsia="Arial" w:hAnsi="Arial"/>
          <w:rtl w:val="0"/>
        </w:rPr>
        <w:t xml:space="preserve">La présente politique est revue annuellement par le Data Governance Officer, en concertation avec le DSI et le RSSI. Toute modification substantielle doit être approuvée par la Direction Générale et communiquée à l'ensemble des parties prenantes. Une révision exceptionnelle peut être déclenchée en cas d'évolution réglementaire majeure (nouvelle loi, exigence AMMC) ou de changement structurel significatif du Groupe (nouvelle acquisition, extension géographique).</w:t>
      </w:r>
    </w:p>
    <w:p w:rsidR="00000000" w:rsidDel="00000000" w:rsidP="00000000" w:rsidRDefault="00000000" w:rsidRPr="00000000" w14:paraId="000001A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8.3. Non-Conformités et Sanctions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Tout manquement à la présente politique - notamment la création ou la modification de données maîtresses en dehors des processus officiels, l'accès non autorisé aux données, ou le non-respect des règles de qualité - est traité comme un incident de gouvernance et peut donner lieu à des mesures disciplinaires conformément au règlement intérieur du Groupe.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A3">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9. TABLEAU DES MISES A JOUR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Propriétaire du document :</w:t>
      </w:r>
      <w:r w:rsidDel="00000000" w:rsidR="00000000" w:rsidRPr="00000000">
        <w:rPr>
          <w:rFonts w:ascii="Arial" w:cs="Arial" w:eastAsia="Arial" w:hAnsi="Arial"/>
          <w:rtl w:val="0"/>
        </w:rPr>
        <w:t xml:space="preserve"> Data Governance Officer / Responsable SMI</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Révision</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Nature de changement</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Date d'application</w:t>
            </w:r>
          </w:p>
        </w:tc>
        <w:tc>
          <w:tcPr>
            <w:shd w:fill="f0f4f8" w:val="clear"/>
            <w:tcMar>
              <w:top w:w="150.0" w:type="dxa"/>
              <w:left w:w="150.0" w:type="dxa"/>
              <w:bottom w:w="150.0" w:type="dxa"/>
              <w:right w:w="15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Statut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V.00</w:t>
            </w:r>
          </w:p>
        </w:tc>
        <w:tc>
          <w:tcPr>
            <w:shd w:fill="auto" w:val="clear"/>
            <w:tcMar>
              <w:top w:w="150.0" w:type="dxa"/>
              <w:left w:w="150.0" w:type="dxa"/>
              <w:bottom w:w="150.0" w:type="dxa"/>
              <w:right w:w="15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Création de la Politique Data Management &amp; Charte de Gouvernance des Données (Po.SI.09)</w:t>
            </w:r>
          </w:p>
        </w:tc>
        <w:tc>
          <w:tcPr>
            <w:shd w:fill="auto" w:val="clear"/>
            <w:tcMar>
              <w:top w:w="150.0" w:type="dxa"/>
              <w:left w:w="150.0" w:type="dxa"/>
              <w:bottom w:w="150.0" w:type="dxa"/>
              <w:right w:w="15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2026</w:t>
            </w:r>
          </w:p>
        </w:tc>
        <w:tc>
          <w:tcPr>
            <w:shd w:fill="auto" w:val="clear"/>
            <w:tcMar>
              <w:top w:w="150.0" w:type="dxa"/>
              <w:left w:w="150.0" w:type="dxa"/>
              <w:bottom w:w="150.0" w:type="dxa"/>
              <w:right w:w="15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Création</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