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07</w:t>
      </w:r>
    </w:p>
    <w:p>
      <w:pPr>
        <w:pStyle w:val="Heading2"/>
      </w:pPr>
      <w:r>
        <w:t>GÉRER LES SYSTÈMES D'INFORMATION</w:t>
      </w:r>
    </w:p>
    <w:p>
      <w:pPr>
        <w:pStyle w:val="Heading3"/>
      </w:pPr>
      <w:r>
        <w:t>DOCUMENT : POLITIQUE DE RÉTENTION ET DESTRUCTION DES DONNÉES</w:t>
      </w:r>
    </w:p>
    <w:tbl>
      <w:tblPr>
        <w:tblStyle w:val="TableGrid"/>
        <w:tblW w:type="auto" w:w="0"/>
        <w:tblLook w:firstColumn="1" w:firstRow="1" w:lastColumn="0" w:lastRow="0" w:noHBand="0" w:noVBand="1" w:val="04A0"/>
      </w:tblPr>
      <w:tblGrid>
        <w:gridCol w:w="2880"/>
        <w:gridCol w:w="2880"/>
        <w:gridCol w:w="2880"/>
      </w:tblGrid>
      <w:tr>
        <w:tc>
          <w:tcPr>
            <w:tcW w:type="dxa" w:w="2880"/>
          </w:tcPr>
          <w:p>
            <w:r>
              <w:t>Rédigée par</w:t>
              <w:br/>
              <w:t>27/07/2026</w:t>
            </w:r>
          </w:p>
        </w:tc>
        <w:tc>
          <w:tcPr>
            <w:tcW w:type="dxa" w:w="2880"/>
          </w:tcPr>
          <w:p>
            <w:r>
              <w:t>Vérifiée par</w:t>
              <w:br/>
              <w:t>28/07/2026</w:t>
            </w:r>
          </w:p>
        </w:tc>
        <w:tc>
          <w:tcPr>
            <w:tcW w:type="dxa" w:w="2880"/>
          </w:tcPr>
          <w:p>
            <w:r>
              <w:t>Approuvée par</w:t>
              <w:br/>
              <w:t>30/07/2026</w:t>
            </w:r>
          </w:p>
        </w:tc>
      </w:tr>
    </w:tbl>
    <w:p>
      <w:pPr>
        <w:pStyle w:val="Heading2"/>
      </w:pPr>
      <w:r>
        <w:t>OBJET :</w:t>
      </w:r>
    </w:p>
    <w:p>
      <w:r>
        <w:t>Définir les principes, les durées de conservation (rétention) et les règles de destruction sécurisée des données du CMGP Group. Ce document s'inscrit dans le cadre de la Politique Générale de Gouvernance des Données et vise à assurer la conformité réglementaire (ONSSA, lois fiscales, protection des données personnelles) ainsi que l'optimisation des ressources de stockage.</w:t>
      </w:r>
    </w:p>
    <w:p>
      <w:pPr>
        <w:pStyle w:val="Heading2"/>
      </w:pPr>
      <w:r>
        <w:t>FINALITÉ :</w:t>
      </w:r>
    </w:p>
    <w:p>
      <w:r>
        <w:t>La présente politique constitue le cadre de référence pour la gestion du cycle de vie des données (Data Life Cycle Management), depuis leur archivage jusqu'à leur élimination définitive. Elle s'applique à toutes les données, qu'elles soient sous format numérique ou physique, et à tous les Systèmes d'Information (ERP Sage X3, Odoo, systèmes hérités, etc.).</w:t>
      </w:r>
    </w:p>
    <w:p>
      <w:pPr>
        <w:pStyle w:val="Heading2"/>
      </w:pPr>
      <w:r>
        <w:t>ACTEURS :</w:t>
      </w:r>
    </w:p>
    <w:p>
      <w:r>
        <w:rPr>
          <w:b/>
        </w:rPr>
        <w:t xml:space="preserve">Data Owners : </w:t>
      </w:r>
      <w:r>
        <w:t>Définissent les durées de conservation spécifiques à leur domaine (Client, Produit, RH, etc.) en fonction des obligations légales.</w:t>
        <w:br/>
      </w:r>
      <w:r>
        <w:rPr>
          <w:b/>
        </w:rPr>
        <w:t xml:space="preserve">Data Stewards : </w:t>
      </w:r>
      <w:r>
        <w:t>Supervisent l'identification des données arrivées en fin de cycle de vie.</w:t>
        <w:br/>
      </w:r>
      <w:r>
        <w:rPr>
          <w:b/>
        </w:rPr>
        <w:t xml:space="preserve">Direction des Systèmes d'Information (DSI) : </w:t>
      </w:r>
      <w:r>
        <w:t>Exécute techniquement l'archivage et la destruction numérique selon les standards de sécurité.</w:t>
        <w:br/>
      </w:r>
      <w:r>
        <w:rPr>
          <w:b/>
        </w:rPr>
        <w:t xml:space="preserve">Direction QSE et Juridique : </w:t>
      </w:r>
      <w:r>
        <w:t>Valident les tableaux de durées légales et les procédures d'audit.</w:t>
      </w:r>
    </w:p>
    <w:p>
      <w:pPr>
        <w:pStyle w:val="Heading2"/>
      </w:pPr>
      <w:r>
        <w:t>PRINCIPES DE RÉTENTION ET DE DESTRUCTION :</w:t>
      </w:r>
    </w:p>
    <w:p>
      <w:r>
        <w:t>1. Rétention : Aucune donnée n'est conservée au-delà de sa période d'utilité ou de son obligation légale.</w:t>
      </w:r>
    </w:p>
    <w:p>
      <w:r>
        <w:t>2. Archivage : Les données inactives mais nécessaires légalement sont déplacées vers des supports d'archives.</w:t>
      </w:r>
    </w:p>
    <w:p>
      <w:r>
        <w:t>3. Destruction Sécurisée : L'élimination des données doit rendre leur récupération impossible (effacement certifié, destruction physique des supports).</w:t>
      </w:r>
    </w:p>
    <w:p>
      <w:r>
        <w:t>4. Traçabilité : Toute destruction de données critiques ou de supports physiques doit faire l'objet d'un Certificat de Destruction (Réf: 004F_Po_SI_18).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