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141F" w14:textId="77777777" w:rsidR="00A30B0F" w:rsidRDefault="00A30B0F"/>
    <w:p w14:paraId="34E7E798" w14:textId="77777777" w:rsidR="00A30B0F" w:rsidRDefault="00A30B0F"/>
    <w:p w14:paraId="3FAC6F49" w14:textId="77777777" w:rsidR="00A30B0F" w:rsidRDefault="00A30B0F"/>
    <w:p w14:paraId="55361EC8" w14:textId="77777777" w:rsidR="00A30B0F" w:rsidRDefault="00A30B0F"/>
    <w:p w14:paraId="1847C1A4" w14:textId="77777777" w:rsidR="00A30B0F" w:rsidRDefault="00A30B0F"/>
    <w:p w14:paraId="13DC6209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PS 07</w:t>
      </w:r>
    </w:p>
    <w:p w14:paraId="08A9A241" w14:textId="77777777" w:rsidR="00A30B0F" w:rsidRDefault="00A30B0F"/>
    <w:p w14:paraId="6EC246D1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70AD47"/>
          <w:sz w:val="32"/>
        </w:rPr>
        <w:t>GÉRER LES SYSTÈMES D’INFORMATION</w:t>
      </w:r>
    </w:p>
    <w:p w14:paraId="2E23AA66" w14:textId="77777777" w:rsidR="00A30B0F" w:rsidRDefault="00A30B0F"/>
    <w:p w14:paraId="294CE93E" w14:textId="77777777" w:rsidR="00A30B0F" w:rsidRDefault="00A30B0F"/>
    <w:p w14:paraId="069CAF5E" w14:textId="77777777" w:rsidR="00A30B0F" w:rsidRDefault="00A30B0F"/>
    <w:p w14:paraId="44005355" w14:textId="77777777" w:rsidR="00A30B0F" w:rsidRDefault="00A30B0F"/>
    <w:p w14:paraId="5B89C7D5" w14:textId="77777777" w:rsidR="00A30B0F" w:rsidRDefault="00A30B0F"/>
    <w:p w14:paraId="4FC41C0E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DOCUMENT</w:t>
      </w:r>
    </w:p>
    <w:p w14:paraId="31753195" w14:textId="77777777" w:rsidR="00A30B0F" w:rsidRDefault="00A30B0F"/>
    <w:p w14:paraId="77FBFB90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4472C4"/>
          <w:sz w:val="32"/>
        </w:rPr>
        <w:t>CHARTE DE MODELISATION ET REGLES DE NOMMAGE DES BASES DECISIONNELLES</w:t>
      </w:r>
    </w:p>
    <w:p w14:paraId="18EECCBC" w14:textId="77777777" w:rsidR="00A30B0F" w:rsidRDefault="00A30B0F"/>
    <w:p w14:paraId="1C3100DF" w14:textId="77777777" w:rsidR="00A30B0F" w:rsidRDefault="00A30B0F"/>
    <w:p w14:paraId="1EFB23CF" w14:textId="77777777" w:rsidR="00A30B0F" w:rsidRDefault="00A30B0F"/>
    <w:p w14:paraId="239989E7" w14:textId="77777777" w:rsidR="00A30B0F" w:rsidRDefault="00A30B0F"/>
    <w:p w14:paraId="544C2441" w14:textId="77777777" w:rsidR="00A30B0F" w:rsidRDefault="00A30B0F"/>
    <w:p w14:paraId="0817BA71" w14:textId="77777777" w:rsidR="00A30B0F" w:rsidRDefault="00A30B0F"/>
    <w:p w14:paraId="115838F3" w14:textId="77777777" w:rsidR="00A30B0F" w:rsidRDefault="00A3312A">
      <w:pPr>
        <w:spacing w:after="120" w:line="276" w:lineRule="auto"/>
      </w:pPr>
      <w:r>
        <w:rPr>
          <w:rFonts w:ascii="Arial" w:hAnsi="Arial"/>
          <w:b/>
          <w:color w:val="000000"/>
          <w:sz w:val="22"/>
        </w:rPr>
        <w:t>OBJET :</w:t>
      </w:r>
    </w:p>
    <w:p w14:paraId="008D8917" w14:textId="77777777" w:rsidR="00A30B0F" w:rsidRDefault="00A30B0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87"/>
      </w:tblGrid>
      <w:tr w:rsidR="00A30B0F" w14:paraId="77CB3633" w14:textId="77777777">
        <w:tc>
          <w:tcPr>
            <w:tcW w:w="9497" w:type="dxa"/>
          </w:tcPr>
          <w:p>
            <w:r>
              <w:rPr>
                <w:rFonts w:ascii="Arial" w:hAnsi="Arial"/>
                <w:sz w:val="22"/>
              </w:rPr>
              <w:t>Fixer les règles de conception et de nommage applicables aux bases CMGP_STG, CMGP_DWH et CMGP_DM afin de garantir la cohérence et la lisibilité du socle décisionnel.</w:t>
            </w:r>
          </w:p>
        </w:tc>
      </w:tr>
    </w:tbl>
    <w:p w14:paraId="49EB3026" w14:textId="77777777" w:rsidR="00A30B0F" w:rsidRDefault="00A30B0F"/>
    <w:p w14:paraId="5EA2F1C0" w14:textId="77777777" w:rsidR="00393864" w:rsidRDefault="00393864"/>
    <w:p w14:paraId="2C214BB0" w14:textId="77777777" w:rsidR="00393864" w:rsidRDefault="00393864"/>
    <w:p w14:paraId="146158DC" w14:textId="77777777" w:rsidR="00393864" w:rsidRDefault="00393864"/>
    <w:p w14:paraId="759AB30E" w14:textId="77777777" w:rsidR="00393864" w:rsidRDefault="00393864"/>
    <w:p w14:paraId="4AD416B2" w14:textId="77777777" w:rsidR="00393864" w:rsidRDefault="00393864"/>
    <w:p w14:paraId="4577992F" w14:textId="77777777" w:rsidR="00393864" w:rsidRDefault="00393864"/>
    <w:p w14:paraId="183C76D8" w14:textId="77777777" w:rsidR="00393864" w:rsidRPr="00393864" w:rsidRDefault="00393864">
      <w:pPr>
        <w:rPr>
          <w:b/>
        </w:rPr>
      </w:pPr>
    </w:p>
    <w:p w14:paraId="62A7FCFB" w14:textId="77777777" w:rsidR="00A30B0F" w:rsidRPr="00393864" w:rsidRDefault="00A30B0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3"/>
        <w:gridCol w:w="3162"/>
        <w:gridCol w:w="3162"/>
      </w:tblGrid>
      <w:tr w:rsidR="00A30B0F" w:rsidRPr="00393864" w14:paraId="658BF39F" w14:textId="77777777"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Rédigée par</w:t>
              <w:br/>
              <w:br/>
              <w:br/>
              <w:t>26/06/2026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Vérifiée par</w:t>
              <w:br/>
              <w:br/>
              <w:br/>
              <w:t>28/06/2026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Approuvée par</w:t>
              <w:br/>
              <w:br/>
              <w:br/>
              <w:t>30/06/2026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1. Principes de modélisation</w:t>
      </w:r>
    </w:p>
    <w:p>
      <w:pPr>
        <w:pStyle w:val="Listepuces"/>
      </w:pPr>
      <w:r>
        <w:rPr>
          <w:sz w:val="20"/>
        </w:rPr>
        <w:t>Modélisation dimensionnelle de type Kimball : schéma en étoile (star schema) par domaine métier, schéma en flocon toléré uniquement pour les hiérarchies fortement normalisées.</w:t>
      </w:r>
    </w:p>
    <w:p>
      <w:pPr>
        <w:pStyle w:val="Listepuces"/>
      </w:pPr>
      <w:r>
        <w:rPr>
          <w:sz w:val="20"/>
        </w:rPr>
        <w:t>Une table de faits (fact_) est entourée de ses dimensions (dim_) reliées par des clés de substitution (surrogate keys), jamais par les clés métier natives.</w:t>
      </w:r>
    </w:p>
    <w:p>
      <w:pPr>
        <w:pStyle w:val="Listepuces"/>
      </w:pPr>
      <w:r>
        <w:rPr>
          <w:sz w:val="20"/>
        </w:rPr>
        <w:t>Chaque dimension gère explicitement son type d'historisation (SCD - Slowly Changing Dimension, cf. §4).</w:t>
      </w:r>
    </w:p>
    <w:p>
      <w:pPr>
        <w:pStyle w:val="Listepuces"/>
      </w:pPr>
      <w:r>
        <w:rPr>
          <w:sz w:val="20"/>
        </w:rPr>
        <w:t>Les zones CMGP_STG, CMGP_DWH et CMGP_DM sont physiquement ou logiquement séparées ; aucune application de restitution ne lit directement CMGP_STG.</w:t>
      </w:r>
    </w:p>
    <w:p>
      <w:pPr>
        <w:pStyle w:val="Titre1"/>
      </w:pPr>
      <w:r>
        <w:rPr>
          <w:b/>
          <w:color w:val="1F3864"/>
          <w:sz w:val="26"/>
        </w:rPr>
        <w:t>2. Convention de nommage des bases et environnements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Base / Environnement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Usage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Exemple d'instance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CMGP_STG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Zone de staging, dépôt brut post-ingestion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CMGP_STG_PROD / CMGP_STG_DEV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CMGP_DWH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Entrepôt de données, modèle dimensionnel historisé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CMGP_DWH_PROD / CMGP_DWH_DEV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CMGP_DM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Datamarts métier, données agrégées pour la restitution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CMGP_DM_VENTES_PROD, CMGP_DM_FINANCE_PROD…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3. Convention de nommage des schémas et tables</w:t>
      </w:r>
    </w:p>
    <w:p>
      <w:pPr>
        <w:pStyle w:val="Titre2"/>
      </w:pPr>
      <w:r>
        <w:rPr>
          <w:b/>
          <w:color w:val="2E74B5"/>
          <w:sz w:val="22"/>
        </w:rPr>
        <w:t>3.1 Préfixes standards par type d'objet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Type d'objet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Préfixe / Suffixe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Table de dimension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dim_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dim_client, dim_produit, dim_temps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Table de faits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fact_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fact_ventes, fact_stock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Table de staging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stg_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stg_sap_clients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Table de référence / transcodage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ref_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ref_statut_client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Table d'agrégation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agg_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agg_ventes_mensuel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Vue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vw_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vw_ventes_par_region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Table temporaire / technique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tmp_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tmp_load_ventes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Table de rejets / quarantaine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rej_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rej_stg_clients</w:t>
            </w:r>
          </w:p>
        </w:tc>
      </w:tr>
    </w:tbl>
    <w:p>
      <w:pPr>
        <w:pStyle w:val="Titre2"/>
      </w:pPr>
      <w:r>
        <w:rPr>
          <w:b/>
          <w:color w:val="2E74B5"/>
          <w:sz w:val="22"/>
        </w:rPr>
        <w:t>3.2 Règles générales de nommage</w:t>
      </w:r>
    </w:p>
    <w:p>
      <w:pPr>
        <w:pStyle w:val="Listepuces"/>
      </w:pPr>
      <w:r>
        <w:rPr>
          <w:sz w:val="20"/>
        </w:rPr>
        <w:t>Format snake_case exclusivement : minuscules, mots séparés par underscore (ex. : fact_commande_client).</w:t>
      </w:r>
    </w:p>
    <w:p>
      <w:pPr>
        <w:pStyle w:val="Listepuces"/>
      </w:pPr>
      <w:r>
        <w:rPr>
          <w:sz w:val="20"/>
        </w:rPr>
        <w:t>Pas d'abréviation non référencée : utiliser le lexique d'abréviations validées (annexe à maintenir par la Gouvernance Data).</w:t>
      </w:r>
    </w:p>
    <w:p>
      <w:pPr>
        <w:pStyle w:val="Listepuces"/>
      </w:pPr>
      <w:r>
        <w:rPr>
          <w:sz w:val="20"/>
        </w:rPr>
        <w:t>Nom en anglais ou en français au choix, mais cohérence obligatoire sur l'ensemble du domaine (ne pas mélanger les deux langues dans un même schéma).</w:t>
      </w:r>
    </w:p>
    <w:p>
      <w:pPr>
        <w:pStyle w:val="Listepuces"/>
      </w:pPr>
      <w:r>
        <w:rPr>
          <w:sz w:val="20"/>
        </w:rPr>
        <w:t>Longueur maximale recommandée : 30 caractères pour rester compatible avec l'ensemble des moteurs cibles.</w:t>
      </w:r>
    </w:p>
    <w:p>
      <w:pPr>
        <w:pStyle w:val="Listepuces"/>
      </w:pPr>
      <w:r>
        <w:rPr>
          <w:sz w:val="20"/>
        </w:rPr>
        <w:t>Pas de caractères spéciaux, accents ou espaces dans les identifiants techniques.</w:t>
      </w:r>
    </w:p>
    <w:p>
      <w:pPr>
        <w:pStyle w:val="Titre1"/>
      </w:pPr>
      <w:r>
        <w:rPr>
          <w:b/>
          <w:color w:val="1F3864"/>
          <w:sz w:val="26"/>
        </w:rPr>
        <w:t>4. Convention de nommage des colonnes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Convention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Clé de substitution (surrogate key)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sk_&lt;entité&gt;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sk_client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Clé métier / naturelle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cd_&lt;entité&gt; ou &lt;entité&gt;_id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cd_client, client_id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Clé étrangère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sk_&lt;dimension référencée&gt;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sk_produit dans fact_ventes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Champ date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dt_&lt;libellé&gt;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dt_creation, dt_facturation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Champ montant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mt_&lt;libellé&gt;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mt_ht, mt_ttc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Champ indicateur booléen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fl_&lt;libellé&gt; (flag)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fl_actif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Champ code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cd_&lt;libellé&gt;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cd_devise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Champ libellé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lb_&lt;libellé&gt;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lb_produit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Métadonnées techniques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tech_ (préfixe réservé)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tech_date_maj, tech_source, tech_flux_id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5. Types de dimensions et historisation (SCD)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Type SCD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Comportement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Cas d'usage typique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SCD Type 1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Écrasement de la valeur, pas d'historique conservé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Correction d'erreur de saisie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SCD Type 2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Nouvelle ligne à chaque changement, dates de validité (dt_debut_validite / dt_fin_validite) et flag actif (fl_actif)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Suivi de l'évolution d'un attribut dans le temps (ex. : changement de segment client)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SCD Type 3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Conservation de l'ancienne et de la nouvelle valeur dans deux colonnes distinctes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Besoin de comparaison avant/après limité à un seul changement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6. Clés et intégrité référentielle</w:t>
      </w:r>
    </w:p>
    <w:p>
      <w:pPr>
        <w:pStyle w:val="Listepuces"/>
      </w:pPr>
      <w:r>
        <w:rPr>
          <w:sz w:val="20"/>
        </w:rPr>
        <w:t>Chaque table de dimension possède une clé de substitution technique auto-incrémentée (sk_), indépendante de la clé métier source.</w:t>
      </w:r>
    </w:p>
    <w:p>
      <w:pPr>
        <w:pStyle w:val="Listepuces"/>
      </w:pPr>
      <w:r>
        <w:rPr>
          <w:sz w:val="20"/>
        </w:rPr>
        <w:t>Une ligne technique "Inconnu / Non applicable" est systématiquement créée dans chaque dimension (sk = -1) pour rattacher les faits orphelins.</w:t>
      </w:r>
    </w:p>
    <w:p>
      <w:pPr>
        <w:pStyle w:val="Listepuces"/>
      </w:pPr>
      <w:r>
        <w:rPr>
          <w:sz w:val="20"/>
        </w:rPr>
        <w:t>Les tables de faits ne portent que des clés de substitution en provenance des dimensions, jamais de clé métier brute.</w:t>
      </w:r>
    </w:p>
    <w:p>
      <w:pPr>
        <w:pStyle w:val="Listepuces"/>
      </w:pPr>
      <w:r>
        <w:rPr>
          <w:sz w:val="20"/>
        </w:rPr>
        <w:t>Les contraintes d'intégrité référentielle (FK) sont déclarées dans le DWH même si elles ne sont pas physiquement activées pour des raisons de performance (documentées comme "logiques").</w:t>
      </w:r>
    </w:p>
    <w:p>
      <w:pPr>
        <w:pStyle w:val="Titre1"/>
      </w:pPr>
      <w:r>
        <w:rPr>
          <w:b/>
          <w:color w:val="1F3864"/>
          <w:sz w:val="26"/>
        </w:rPr>
        <w:t>7. Objets techniques (index, vues, procédures, jobs ETL)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Objet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Convention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Index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idx_&lt;table&gt;_&lt;colonne(s)&gt;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idx_fact_ventes_dt_facturation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Clé primaire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pk_&lt;table&gt;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pk_dim_client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Clé étrangère (contrainte)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fk_&lt;table&gt;_&lt;table référencée&gt;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fk_fact_ventes_dim_client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Procédure stockée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sp_&lt;action&gt;_&lt;objet&gt;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sp_load_fact_ventes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Job / Workflow ETL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job_&lt;domaine&gt;_&lt;fréquence&gt;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job_ventes_quotidien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8. Documentation obligatoire</w:t>
      </w:r>
    </w:p>
    <w:p>
      <w:pPr>
        <w:pStyle w:val="Listepuces"/>
      </w:pPr>
      <w:r>
        <w:rPr>
          <w:sz w:val="20"/>
        </w:rPr>
        <w:t>Toute nouvelle table ou colonne créée dans CMGP_DWH ou CMGP_DM doit être immédiatement déclarée dans le Dictionnaire de données et métadonnées (document 002Dc.Po.SI.18.04).</w:t>
      </w:r>
    </w:p>
    <w:p>
      <w:pPr>
        <w:pStyle w:val="Listepuces"/>
      </w:pPr>
      <w:r>
        <w:rPr>
          <w:sz w:val="20"/>
        </w:rPr>
        <w:t>Tout écart à la présente charte doit être validé et tracé par la Gouvernance Data avant mise en production.</w:t>
      </w:r>
    </w:p>
    <w:p>
      <w:pPr>
        <w:pStyle w:val="Titre1"/>
        <w:spacing w:before="360" w:after="120"/>
      </w:pPr>
      <w:r>
        <w:rPr>
          <w:rFonts w:ascii="Arial" w:hAnsi="Arial"/>
          <w:b/>
          <w:sz w:val="28"/>
        </w:rPr>
        <w:t>9. TABLEAU DES MISES A JOUR 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9496"/>
            <w:gridSpan w:val="4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Propriétaire du document : DATA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Révision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Nature de changement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Date d'application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Statut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V0.1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 initiale du document (Charte de Modélisation)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30/06/2026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</w:t>
            </w:r>
          </w:p>
        </w:tc>
      </w:tr>
    </w:tbl>
    <w:sectPr w:rsidR="00A30B0F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C51F9" w14:textId="77777777" w:rsidR="00BC2546" w:rsidRDefault="00BC2546">
      <w:r>
        <w:separator/>
      </w:r>
    </w:p>
  </w:endnote>
  <w:endnote w:type="continuationSeparator" w:id="0">
    <w:p w14:paraId="22899E32" w14:textId="77777777" w:rsidR="00BC2546" w:rsidRDefault="00BC2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4DCE9" w14:textId="77777777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534243">
      <w:rPr>
        <w:rFonts w:ascii="Arial" w:hAnsi="Arial" w:cs="Arial"/>
        <w:b/>
        <w:bCs/>
        <w:noProof/>
      </w:rPr>
      <w:t>3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C61FF2">
      <w:rPr>
        <w:rFonts w:ascii="Arial" w:hAnsi="Arial" w:cs="Arial"/>
      </w:rPr>
      <w:t>3</w:t>
    </w:r>
    <w:r w:rsidRPr="005B7C0A">
      <w:rPr>
        <w:rFonts w:ascii="Arial" w:hAnsi="Arial" w:cs="Arial"/>
      </w:rPr>
      <w:t xml:space="preserve">  </w:t>
    </w:r>
  </w:p>
  <w:p w14:paraId="60CB98F4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7DB7BF53" w14:textId="77777777" w:rsidR="00A824E1" w:rsidRPr="005478E8" w:rsidRDefault="00A824E1" w:rsidP="00E05A88">
    <w:pPr>
      <w:pStyle w:val="Pieddepage"/>
      <w:jc w:val="right"/>
      <w:rPr>
        <w:rFonts w:ascii="Arial" w:hAnsi="Arial" w:cs="Arial"/>
      </w:rPr>
    </w:pPr>
    <w:r>
      <w:rPr>
        <w:rFonts w:ascii="Arial" w:hAnsi="Arial"/>
        <w:i/>
        <w:sz w:val="17"/>
      </w:rPr>
      <w:t>001Dc.Po.SI.18.04/DOCUMENT INTERNE        CHARTE DE MODELISATION                      30/06/2026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DAC71" w14:textId="77777777" w:rsidR="00BC2546" w:rsidRDefault="00BC2546">
      <w:r>
        <w:separator/>
      </w:r>
    </w:p>
  </w:footnote>
  <w:footnote w:type="continuationSeparator" w:id="0">
    <w:p w14:paraId="5352B071" w14:textId="77777777" w:rsidR="00BC2546" w:rsidRDefault="00BC2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343D2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66DBFDF0" wp14:editId="20A9C112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CAE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E6A"/>
    <w:multiLevelType w:val="hybridMultilevel"/>
    <w:tmpl w:val="87065BC6"/>
    <w:lvl w:ilvl="0" w:tplc="29AE4AC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9EF"/>
    <w:multiLevelType w:val="hybridMultilevel"/>
    <w:tmpl w:val="3BCA3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8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90B3D"/>
    <w:multiLevelType w:val="multilevel"/>
    <w:tmpl w:val="959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2BE1935"/>
    <w:multiLevelType w:val="hybridMultilevel"/>
    <w:tmpl w:val="98A0B99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37E04"/>
    <w:multiLevelType w:val="hybridMultilevel"/>
    <w:tmpl w:val="B4F0FE22"/>
    <w:lvl w:ilvl="0" w:tplc="94AE7F9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b/>
        <w:sz w:val="22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27559999">
    <w:abstractNumId w:val="6"/>
  </w:num>
  <w:num w:numId="2" w16cid:durableId="1834907258">
    <w:abstractNumId w:val="9"/>
  </w:num>
  <w:num w:numId="3" w16cid:durableId="2064519243">
    <w:abstractNumId w:val="17"/>
  </w:num>
  <w:num w:numId="4" w16cid:durableId="620309416">
    <w:abstractNumId w:val="12"/>
  </w:num>
  <w:num w:numId="5" w16cid:durableId="631597412">
    <w:abstractNumId w:val="14"/>
  </w:num>
  <w:num w:numId="6" w16cid:durableId="364213698">
    <w:abstractNumId w:val="11"/>
  </w:num>
  <w:num w:numId="7" w16cid:durableId="1397894522">
    <w:abstractNumId w:val="8"/>
  </w:num>
  <w:num w:numId="8" w16cid:durableId="1256790824">
    <w:abstractNumId w:val="10"/>
  </w:num>
  <w:num w:numId="9" w16cid:durableId="681467158">
    <w:abstractNumId w:val="5"/>
  </w:num>
  <w:num w:numId="10" w16cid:durableId="775101407">
    <w:abstractNumId w:val="1"/>
  </w:num>
  <w:num w:numId="11" w16cid:durableId="625235412">
    <w:abstractNumId w:val="3"/>
  </w:num>
  <w:num w:numId="12" w16cid:durableId="350498940">
    <w:abstractNumId w:val="7"/>
    <w:lvlOverride w:ilvl="0">
      <w:startOverride w:val="1"/>
    </w:lvlOverride>
  </w:num>
  <w:num w:numId="13" w16cid:durableId="329336792">
    <w:abstractNumId w:val="0"/>
  </w:num>
  <w:num w:numId="14" w16cid:durableId="1898583894">
    <w:abstractNumId w:val="4"/>
  </w:num>
  <w:num w:numId="15" w16cid:durableId="1487824229">
    <w:abstractNumId w:val="2"/>
  </w:num>
  <w:num w:numId="16" w16cid:durableId="195237686">
    <w:abstractNumId w:val="15"/>
  </w:num>
  <w:num w:numId="17" w16cid:durableId="97919698">
    <w:abstractNumId w:val="16"/>
  </w:num>
  <w:num w:numId="18" w16cid:durableId="212927622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3429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3A08"/>
    <w:rsid w:val="00044C93"/>
    <w:rsid w:val="000461B7"/>
    <w:rsid w:val="000467D7"/>
    <w:rsid w:val="0004723B"/>
    <w:rsid w:val="000478B1"/>
    <w:rsid w:val="00047D90"/>
    <w:rsid w:val="00050724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5F3D"/>
    <w:rsid w:val="000E67A2"/>
    <w:rsid w:val="000E7FCD"/>
    <w:rsid w:val="000F0152"/>
    <w:rsid w:val="000F187C"/>
    <w:rsid w:val="000F2CE6"/>
    <w:rsid w:val="000F496C"/>
    <w:rsid w:val="000F5BC4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511E"/>
    <w:rsid w:val="0011683C"/>
    <w:rsid w:val="00120B4B"/>
    <w:rsid w:val="001218F7"/>
    <w:rsid w:val="00121DC1"/>
    <w:rsid w:val="00121E81"/>
    <w:rsid w:val="00121FD7"/>
    <w:rsid w:val="001226CA"/>
    <w:rsid w:val="0012306A"/>
    <w:rsid w:val="0012423D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1A74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12F"/>
    <w:rsid w:val="001C089E"/>
    <w:rsid w:val="001C0BA5"/>
    <w:rsid w:val="001C156B"/>
    <w:rsid w:val="001C2265"/>
    <w:rsid w:val="001C2525"/>
    <w:rsid w:val="001C2997"/>
    <w:rsid w:val="001C3CDB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D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6E8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754"/>
    <w:rsid w:val="00222B99"/>
    <w:rsid w:val="002233C9"/>
    <w:rsid w:val="002235A5"/>
    <w:rsid w:val="00225543"/>
    <w:rsid w:val="00226D97"/>
    <w:rsid w:val="0022744F"/>
    <w:rsid w:val="00227832"/>
    <w:rsid w:val="00227C18"/>
    <w:rsid w:val="0023263A"/>
    <w:rsid w:val="00232AEE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142C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B785C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43D6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3864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3E11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414"/>
    <w:rsid w:val="004A486F"/>
    <w:rsid w:val="004A4D02"/>
    <w:rsid w:val="004A4DF3"/>
    <w:rsid w:val="004A5A09"/>
    <w:rsid w:val="004A726A"/>
    <w:rsid w:val="004B16AD"/>
    <w:rsid w:val="004B2FAB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4243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3C17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61C6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5A6C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3DC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5D"/>
    <w:rsid w:val="008920B3"/>
    <w:rsid w:val="008934AA"/>
    <w:rsid w:val="008A065C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1E90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8F676E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1635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3FE1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B0F"/>
    <w:rsid w:val="00A30D16"/>
    <w:rsid w:val="00A31828"/>
    <w:rsid w:val="00A31D3E"/>
    <w:rsid w:val="00A31D5B"/>
    <w:rsid w:val="00A31F1E"/>
    <w:rsid w:val="00A3253F"/>
    <w:rsid w:val="00A326E7"/>
    <w:rsid w:val="00A32FDC"/>
    <w:rsid w:val="00A3312A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0354"/>
    <w:rsid w:val="00BB36C7"/>
    <w:rsid w:val="00BB3745"/>
    <w:rsid w:val="00BB3C5E"/>
    <w:rsid w:val="00BB74EB"/>
    <w:rsid w:val="00BC085D"/>
    <w:rsid w:val="00BC1F4B"/>
    <w:rsid w:val="00BC2546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1FF2"/>
    <w:rsid w:val="00C62392"/>
    <w:rsid w:val="00C625D5"/>
    <w:rsid w:val="00C635D7"/>
    <w:rsid w:val="00C63639"/>
    <w:rsid w:val="00C636E8"/>
    <w:rsid w:val="00C64CC1"/>
    <w:rsid w:val="00C64FB5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1FAF"/>
    <w:rsid w:val="00CB2157"/>
    <w:rsid w:val="00CB4718"/>
    <w:rsid w:val="00CB5583"/>
    <w:rsid w:val="00CB74BE"/>
    <w:rsid w:val="00CC04FF"/>
    <w:rsid w:val="00CC18CC"/>
    <w:rsid w:val="00CC23F1"/>
    <w:rsid w:val="00CC3ECD"/>
    <w:rsid w:val="00CC6CEE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36AA"/>
    <w:rsid w:val="00DE4FCE"/>
    <w:rsid w:val="00DE57C5"/>
    <w:rsid w:val="00DE6A5C"/>
    <w:rsid w:val="00DE71FD"/>
    <w:rsid w:val="00DE7661"/>
    <w:rsid w:val="00DF200A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5AEC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21B8"/>
    <w:rsid w:val="00E330B8"/>
    <w:rsid w:val="00E332B2"/>
    <w:rsid w:val="00E36351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1E4"/>
    <w:rsid w:val="00E808F2"/>
    <w:rsid w:val="00E81144"/>
    <w:rsid w:val="00E82A7E"/>
    <w:rsid w:val="00E866D6"/>
    <w:rsid w:val="00E86F3D"/>
    <w:rsid w:val="00E9012F"/>
    <w:rsid w:val="00E912EB"/>
    <w:rsid w:val="00E929AB"/>
    <w:rsid w:val="00EA102E"/>
    <w:rsid w:val="00EA29BB"/>
    <w:rsid w:val="00EA4C40"/>
    <w:rsid w:val="00EA5B6E"/>
    <w:rsid w:val="00EA5DDD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367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3901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4A1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41C8"/>
    <w:rsid w:val="00F95961"/>
    <w:rsid w:val="00F9642A"/>
    <w:rsid w:val="00F967F6"/>
    <w:rsid w:val="00F96E92"/>
    <w:rsid w:val="00F9791C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744"/>
    <w:rsid w:val="00FD39F9"/>
    <w:rsid w:val="00FD3C82"/>
    <w:rsid w:val="00FD4969"/>
    <w:rsid w:val="00FD6402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69A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2A918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  <w:style w:type="paragraph" w:styleId="Listepuces">
    <w:name w:val="List Bullet"/>
    <w:basedOn w:val="Normal"/>
    <w:uiPriority w:val="99"/>
    <w:unhideWhenUsed/>
    <w:rsid w:val="00003429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DE1DE-68A2-4AC5-B6E2-ACF6775E1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844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13</cp:revision>
  <cp:lastPrinted>2022-12-03T09:49:00Z</cp:lastPrinted>
  <dcterms:created xsi:type="dcterms:W3CDTF">2026-06-29T14:04:00Z</dcterms:created>
  <dcterms:modified xsi:type="dcterms:W3CDTF">2026-08-17T11:43:00Z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827815503</vt:i4>
  </property>
</Properties>
</file>