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41F" w14:textId="77777777" w:rsidR="00A30B0F" w:rsidRDefault="00A30B0F"/>
    <w:p w14:paraId="34E7E798" w14:textId="77777777" w:rsidR="00A30B0F" w:rsidRDefault="00A30B0F"/>
    <w:p w14:paraId="3FAC6F49" w14:textId="77777777" w:rsidR="00A30B0F" w:rsidRDefault="00A30B0F"/>
    <w:p w14:paraId="55361EC8" w14:textId="77777777" w:rsidR="00A30B0F" w:rsidRDefault="00A30B0F"/>
    <w:p w14:paraId="1847C1A4" w14:textId="77777777" w:rsidR="00A30B0F" w:rsidRDefault="00A30B0F"/>
    <w:p w14:paraId="13DC6209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PS 07</w:t>
      </w:r>
    </w:p>
    <w:p w14:paraId="08A9A241" w14:textId="77777777" w:rsidR="00A30B0F" w:rsidRDefault="00A30B0F"/>
    <w:p w14:paraId="6EC246D1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2E23AA66" w14:textId="77777777" w:rsidR="00A30B0F" w:rsidRDefault="00A30B0F"/>
    <w:p w14:paraId="294CE93E" w14:textId="77777777" w:rsidR="00A30B0F" w:rsidRDefault="00A30B0F"/>
    <w:p w14:paraId="069CAF5E" w14:textId="77777777" w:rsidR="00A30B0F" w:rsidRDefault="00A30B0F"/>
    <w:p w14:paraId="44005355" w14:textId="77777777" w:rsidR="00A30B0F" w:rsidRDefault="00A30B0F"/>
    <w:p w14:paraId="5B89C7D5" w14:textId="77777777" w:rsidR="00A30B0F" w:rsidRDefault="00A30B0F"/>
    <w:p w14:paraId="4FC41C0E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DOCUMENT</w:t>
      </w:r>
    </w:p>
    <w:p w14:paraId="31753195" w14:textId="77777777" w:rsidR="00A30B0F" w:rsidRDefault="00A30B0F"/>
    <w:p w14:paraId="77FBFB90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4472C4"/>
          <w:sz w:val="32"/>
        </w:rPr>
        <w:t>REGLES DE TRANSFORMATION, D'ALIGNEMENT ET DE TRANSCODAGE DES DONNEES</w:t>
      </w:r>
    </w:p>
    <w:p w14:paraId="18EECCBC" w14:textId="77777777" w:rsidR="00A30B0F" w:rsidRDefault="00A30B0F"/>
    <w:p w14:paraId="1C3100DF" w14:textId="77777777" w:rsidR="00A30B0F" w:rsidRDefault="00A30B0F"/>
    <w:p w14:paraId="1EFB23CF" w14:textId="77777777" w:rsidR="00A30B0F" w:rsidRDefault="00A30B0F"/>
    <w:p w14:paraId="239989E7" w14:textId="77777777" w:rsidR="00A30B0F" w:rsidRDefault="00A30B0F"/>
    <w:p w14:paraId="544C2441" w14:textId="77777777" w:rsidR="00A30B0F" w:rsidRDefault="00A30B0F"/>
    <w:p w14:paraId="0817BA71" w14:textId="77777777" w:rsidR="00A30B0F" w:rsidRDefault="00A30B0F"/>
    <w:p w14:paraId="115838F3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008D8917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77CB3633" w14:textId="77777777">
        <w:tc>
          <w:tcPr>
            <w:tcW w:w="9497" w:type="dxa"/>
          </w:tcPr>
          <w:p>
            <w:r>
              <w:rPr>
                <w:rFonts w:ascii="Arial" w:hAnsi="Arial"/>
                <w:sz w:val="22"/>
              </w:rPr>
              <w:t>Fixer les principes directeurs de nettoyage, standardisation et préparation des données entre la zone de collecte brute et le DWH / les datamarts BI.</w:t>
            </w:r>
          </w:p>
        </w:tc>
      </w:tr>
    </w:tbl>
    <w:p w14:paraId="49EB3026" w14:textId="77777777" w:rsidR="00A30B0F" w:rsidRDefault="00A30B0F"/>
    <w:p w14:paraId="5EA2F1C0" w14:textId="77777777" w:rsidR="00393864" w:rsidRDefault="00393864"/>
    <w:p w14:paraId="2C214BB0" w14:textId="77777777" w:rsidR="00393864" w:rsidRDefault="00393864"/>
    <w:p w14:paraId="146158DC" w14:textId="77777777" w:rsidR="00393864" w:rsidRDefault="00393864"/>
    <w:p w14:paraId="759AB30E" w14:textId="77777777" w:rsidR="00393864" w:rsidRDefault="00393864"/>
    <w:p w14:paraId="4AD416B2" w14:textId="77777777" w:rsidR="00393864" w:rsidRDefault="00393864"/>
    <w:p w14:paraId="4577992F" w14:textId="77777777" w:rsidR="00393864" w:rsidRDefault="00393864"/>
    <w:p w14:paraId="183C76D8" w14:textId="77777777" w:rsidR="00393864" w:rsidRPr="00393864" w:rsidRDefault="00393864">
      <w:pPr>
        <w:rPr>
          <w:b/>
        </w:rPr>
      </w:pPr>
    </w:p>
    <w:p w14:paraId="62A7FCFB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658BF39F" w14:textId="77777777"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  <w:br/>
              <w:br/>
              <w:br/>
              <w:t>26/06/2026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  <w:br/>
              <w:br/>
              <w:br/>
              <w:t>28/06/2026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  <w:br/>
              <w:br/>
              <w:br/>
              <w:t>30/06/2026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1. Principes généraux</w:t>
      </w:r>
    </w:p>
    <w:p>
      <w:pPr>
        <w:pStyle w:val="Listepuces"/>
      </w:pPr>
      <w:r>
        <w:rPr>
          <w:sz w:val="20"/>
        </w:rPr>
        <w:t>Idempotence : chaque traitement de transformation peut être rejoué sans dupliquer ou corrompre la donnée cible.</w:t>
      </w:r>
    </w:p>
    <w:p>
      <w:pPr>
        <w:pStyle w:val="Listepuces"/>
      </w:pPr>
      <w:r>
        <w:rPr>
          <w:sz w:val="20"/>
        </w:rPr>
        <w:t>Traçabilité : chaque enregistrement transformé conserve la référence à sa source et à la version de la règle appliquée (le détail du lignage technique est porté par la cartographie de flux existante, hors périmètre du présent document).</w:t>
      </w:r>
    </w:p>
    <w:p>
      <w:pPr>
        <w:pStyle w:val="Listepuces"/>
      </w:pPr>
      <w:r>
        <w:rPr>
          <w:sz w:val="20"/>
        </w:rPr>
        <w:t>Séparation des zones : aucune donnée n'est modifiée dans la zone brute (Staging) ; toute transformation produit une nouvelle donnée dans la zone suivante.</w:t>
      </w:r>
    </w:p>
    <w:p>
      <w:pPr>
        <w:pStyle w:val="Listepuces"/>
      </w:pPr>
      <w:r>
        <w:rPr>
          <w:sz w:val="20"/>
        </w:rPr>
        <w:t>Réversibilité : possibilité de revenir à la donnée source en cas d'anomalie détectée après chargement.</w:t>
      </w:r>
    </w:p>
    <w:p>
      <w:pPr>
        <w:pStyle w:val="Listepuces"/>
      </w:pPr>
      <w:r>
        <w:rPr>
          <w:sz w:val="20"/>
        </w:rPr>
        <w:t>Documentation : toute règle de transformation appliquée à un attribut est décrite dans le Dictionnaire de données (cf. Axe Data Design).</w:t>
      </w:r>
    </w:p>
    <w:p>
      <w:pPr>
        <w:pStyle w:val="Titre1"/>
      </w:pPr>
      <w:r>
        <w:rPr>
          <w:b/>
          <w:color w:val="1F3864"/>
          <w:sz w:val="26"/>
        </w:rPr>
        <w:t>2. Zones de transformation (STG → DWH → DM)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Rétention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CMGP_STG (Staging)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Réception brute, fidèle à la source, sans transformation métier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Structure proche source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Court terme (ex. : 30 jours glissants)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CMGP_DWH (Entrepôt)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Données nettoyées, standardisées, historisées, modèle en étoile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Modèle dimensionnel (dim_/fact_)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Historique long terme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CMGP_DM (Datamarts)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Données agrégées et orientées métier, prêtes à la restitution BI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Vues / tables agrégées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Aligné sur besoin de reporting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3. Règles de nettoyage (Data Cleansing)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d'anomalie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Règle de traitement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Action sur l'enregistrement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Valeur manquante sur champ obligatoire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 de la valeur par défaut définie dans le dictionnaire de données, sinon rejet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Chargement avec valeur par défaut ou mise en quarantaine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Doublon exact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Déduplication sur la clé métier définie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Conservation du dernier enregistrement (par défaut) selon règle de fraîcheur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Format invalide (date, numérique...)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Tentative de conversion standard, sinon rejet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Chargement si conversion réussie, sinon quarantaine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Valeur hors domaine (référentiel)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Contrôle contre la table de référence associée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Rejet ou correction assistée selon criticité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Encodage / caractères spéciaux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Normalisation UTF-8, suppression des caractères non imprimables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Correction automatique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4. Règles de standardisation et d'harmonisation multi-source</w:t>
      </w:r>
    </w:p>
    <w:p>
      <w:pPr/>
      <w:r>
        <w:rPr>
          <w:i w:val="0"/>
          <w:color w:val="000000"/>
          <w:sz w:val="20"/>
        </w:rPr>
        <w:t>Objectif : garantir une vision unique d'un même concept métier, quelle que soit l'application d'origine (CRM, ERP, etc.).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899"/>
        <w:gridCol w:w="1899"/>
        <w:gridCol w:w="1899"/>
        <w:gridCol w:w="1899"/>
        <w:gridCol w:w="1899"/>
      </w:tblGrid>
      <w:tr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Attribut métier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Source CRM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Source ERP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Règle d'harmonisation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Valeur cible (DWH)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Statut client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Ex. : "Active" / "Inactive"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Ex. : "01" / "00"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correspondance de statuts (cf. §5)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"ACTIF" / "INACTIF"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Devise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Code libre (EUR, Eur, €)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Code ISO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Conversion systématique vers ISO 4217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Ex. : "EUR"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Unité de mesure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Libellé libre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Code interne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référence des unités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Code UN/CEFACT normalisé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Format de date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MM/DD/YYYY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YYYYMMDD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Conversion vers ISO-8601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YYYY-MM-DD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5. Règles de transcodage (tables de correspondance)</w:t>
      </w:r>
    </w:p>
    <w:p>
      <w:pPr/>
      <w:r>
        <w:rPr>
          <w:i w:val="0"/>
          <w:color w:val="000000"/>
          <w:sz w:val="20"/>
        </w:rPr>
        <w:t>Chaque transcodage métier fait l'objet d'une table de correspondance versionnée et administrée par le Data Owner concerné.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Code source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Système source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Code cible (DWH)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Table de référence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ACTIF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REF_STATUT_CLIENT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CRM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ACTIF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REF_STATUT_CLIENT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/>
      <w:r>
        <w:rPr>
          <w:i/>
          <w:color w:val="7F6000"/>
          <w:sz w:val="18"/>
        </w:rPr>
        <w:t>ℹ Le rapprochement, la déduplication (match &amp; merge) et la gestion du golden record des données de référence relèvent du processus Master Data Management (MDM) — voir la documentation dédiée à cet axe.</w:t>
      </w:r>
    </w:p>
    <w:p>
      <w:pPr>
        <w:pStyle w:val="Titre1"/>
      </w:pPr>
      <w:r>
        <w:rPr>
          <w:b/>
          <w:color w:val="1F3864"/>
          <w:sz w:val="26"/>
        </w:rPr>
        <w:t>6. Gestion des valeurs manquantes et valeurs par défaut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de champ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Comportement par défaut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numérique obligatoire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 ou valeur définie dans le dictionnaire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Montant = 0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texte obligatoire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"NON RENSEIGNE" ou clé technique "-1" pour dimension inconnue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Libellé = "NON RENSEIGNE"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étrangère vers dimension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Rattachement à l'enregistrement "Inconnu" de la dimension (ex. : dim_client, sk = -1)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sk_client = -1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optionnel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NULL autorisé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7. Contrôles qualité post-transformation</w:t>
      </w:r>
    </w:p>
    <w:p>
      <w:pPr>
        <w:pStyle w:val="Listepuces"/>
      </w:pPr>
      <w:r>
        <w:rPr>
          <w:sz w:val="20"/>
        </w:rPr>
        <w:t>Contrôle de complétude : nombre de lignes en entrée vs en sortie de chaque étape de transformation.</w:t>
      </w:r>
    </w:p>
    <w:p>
      <w:pPr>
        <w:pStyle w:val="Listepuces"/>
      </w:pPr>
      <w:r>
        <w:rPr>
          <w:sz w:val="20"/>
        </w:rPr>
        <w:t>Contrôle de cohérence : sommes de contrôle sur les indicateurs financiers critiques (rapprochement source / cible).</w:t>
      </w:r>
    </w:p>
    <w:p>
      <w:pPr>
        <w:pStyle w:val="Listepuces"/>
      </w:pPr>
      <w:r>
        <w:rPr>
          <w:sz w:val="20"/>
        </w:rPr>
        <w:t>Contrôle d'unicité sur les clés métier et clés de substitution (surrogate keys).</w:t>
      </w:r>
    </w:p>
    <w:p>
      <w:pPr>
        <w:pStyle w:val="Listepuces"/>
      </w:pPr>
      <w:r>
        <w:rPr>
          <w:sz w:val="20"/>
        </w:rPr>
        <w:t>Ces contrôles alimentent le tableau de bord qualité défini dans le référentiel Data Quality Management (standards, règles, KPI).</w:t>
      </w:r>
    </w:p>
    <w:p>
      <w:pPr>
        <w:pStyle w:val="Titre1"/>
      </w:pPr>
      <w:r>
        <w:rPr>
          <w:b/>
          <w:color w:val="1F3864"/>
          <w:sz w:val="26"/>
        </w:rPr>
        <w:t>8. Diffusion vers le DWH et les datamarts</w:t>
      </w:r>
    </w:p>
    <w:p>
      <w:pPr>
        <w:pStyle w:val="Listepuces"/>
      </w:pPr>
      <w:r>
        <w:rPr>
          <w:sz w:val="20"/>
        </w:rPr>
        <w:t>La diffusion vers CMGP_DWH n'intervient qu'après passage réussi des contrôles qualité définis en section 7.</w:t>
      </w:r>
    </w:p>
    <w:p>
      <w:pPr>
        <w:pStyle w:val="Listepuces"/>
      </w:pPr>
      <w:r>
        <w:rPr>
          <w:sz w:val="20"/>
        </w:rPr>
        <w:t>La diffusion vers CMGP_DM (datamarts BI) applique des règles d'agrégation propres à chaque domaine de reporting, documentées dans le dictionnaire de données.</w:t>
      </w:r>
    </w:p>
    <w:p>
      <w:pPr>
        <w:pStyle w:val="Listepuces"/>
      </w:pPr>
      <w:r>
        <w:rPr>
          <w:sz w:val="20"/>
        </w:rPr>
        <w:t>Toute nouvelle règle de transformation impactant un flux existant est soumise à validation du Data Owner avant mise en production.</w:t>
      </w:r>
    </w:p>
    <w:p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 initiale du document (Règles de Transformation)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sectPr w:rsidR="00A30B0F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51F9" w14:textId="77777777" w:rsidR="00BC2546" w:rsidRDefault="00BC2546">
      <w:r>
        <w:separator/>
      </w:r>
    </w:p>
  </w:endnote>
  <w:endnote w:type="continuationSeparator" w:id="0">
    <w:p w14:paraId="22899E32" w14:textId="77777777" w:rsidR="00BC2546" w:rsidRDefault="00BC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DCE9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60CB98F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7DB7BF53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002Dc.Po.SI.18.03/DOCUMENT INTERNE        REGLES DE TRANSFORMATION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C71" w14:textId="77777777" w:rsidR="00BC2546" w:rsidRDefault="00BC2546">
      <w:r>
        <w:separator/>
      </w:r>
    </w:p>
  </w:footnote>
  <w:footnote w:type="continuationSeparator" w:id="0">
    <w:p w14:paraId="5352B071" w14:textId="77777777" w:rsidR="00BC2546" w:rsidRDefault="00BC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43D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66DBFDF0" wp14:editId="20A9C112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A918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13</cp:revision>
  <cp:lastPrinted>2022-12-03T09:49:00Z</cp:lastPrinted>
  <dcterms:created xsi:type="dcterms:W3CDTF">2026-06-29T14:04:00Z</dcterms:created>
  <dcterms:modified xsi:type="dcterms:W3CDTF">2026-08-17T11:43:00Z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