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cs="Georgia"/>
          <w:b/>
          <w:i w:val="0"/>
          <w:color w:val="1B4332"/>
          <w:sz w:val="32"/>
        </w:rPr>
        <w:t>Methods and data for the life-cycle and economic-impact assessment of biomass-based construction products</w:t>
      </w:r>
    </w:p>
    <w:p>
      <w:pPr>
        <w:jc w:val="left"/>
      </w:pPr>
      <w:r>
        <w:rPr>
          <w:rFonts w:ascii="Calibri" w:hAnsi="Calibri" w:cs="Calibri"/>
          <w:b w:val="0"/>
          <w:i/>
          <w:color w:val="5F6B64"/>
          <w:sz w:val="20"/>
        </w:rPr>
        <w:t>Rasoul Yousefpour · Yasser Elfahli</w:t>
      </w:r>
      <w:r>
        <w:rPr>
          <w:rFonts w:ascii="Calibri" w:hAnsi="Calibri" w:cs="Calibri"/>
          <w:b w:val="0"/>
          <w:i/>
          <w:color w:val="5F6B64"/>
          <w:sz w:val="20"/>
        </w:rPr>
        <w:t xml:space="preserve">  </w:t>
      </w:r>
    </w:p>
    <w:p>
      <w:pPr>
        <w:jc w:val="left"/>
      </w:pPr>
      <w:r>
        <w:rPr>
          <w:rFonts w:ascii="Calibri" w:hAnsi="Calibri" w:cs="Calibri"/>
          <w:b w:val="0"/>
          <w:i/>
          <w:color w:val="5F6B64"/>
          <w:sz w:val="20"/>
        </w:rPr>
        <w:t xml:space="preserve">University of Toronto  </w:t>
      </w:r>
    </w:p>
    <w:p>
      <w:pPr>
        <w:jc w:val="left"/>
      </w:pPr>
      <w:r>
        <w:rPr>
          <w:rFonts w:ascii="Calibri" w:hAnsi="Calibri" w:cs="Calibri"/>
          <w:b w:val="0"/>
          <w:i/>
          <w:color w:val="5F6B64"/>
          <w:sz w:val="20"/>
        </w:rPr>
        <w:t>October 2026</w:t>
      </w:r>
    </w:p>
    <w:p>
      <w:pPr>
        <w:spacing w:before="240" w:after="80"/>
      </w:pPr>
      <w:r>
        <w:rPr>
          <w:rFonts w:ascii="Georgia" w:hAnsi="Georgia" w:cs="Georgia"/>
          <w:b/>
          <w:i w:val="0"/>
          <w:color w:val="1B4332"/>
          <w:sz w:val="26"/>
        </w:rPr>
        <w:t>Abstract</w:t>
      </w:r>
    </w:p>
    <w:p>
      <w:pPr>
        <w:jc w:val="both"/>
      </w:pPr>
      <w:r>
        <w:rPr>
          <w:rFonts w:ascii="Calibri" w:hAnsi="Calibri" w:cs="Calibri"/>
          <w:b w:val="0"/>
          <w:i w:val="0"/>
          <w:color w:val="1F2A24"/>
          <w:sz w:val="22"/>
        </w:rPr>
        <w:t>This note documents the methods and data used in the inventory-stage environmental life cycle assessment (LCA) and economic impact assessment of biomass-based construction products supplied from six Ontario forest management units. The assessment is attributional for the product system that is built and consequential only for the two differences that define a carbon offset: the change in standing-forest carbon and the displaced mineral product. Characterized global-warming scores and input–output multipliers are not computed. The note records the goal and scope, the modular boundary, the foreground factors carried from the forest-sector models, the direct economic account, and the external datasets required before a full score can be produced.</w:t>
      </w:r>
    </w:p>
    <w:p>
      <w:pPr>
        <w:spacing w:before="240" w:after="80"/>
      </w:pPr>
      <w:r>
        <w:rPr>
          <w:rFonts w:ascii="Georgia" w:hAnsi="Georgia" w:cs="Georgia"/>
          <w:b/>
          <w:i w:val="0"/>
          <w:color w:val="1B4332"/>
          <w:sz w:val="26"/>
        </w:rPr>
        <w:t>1. Purpose and standards</w:t>
      </w:r>
    </w:p>
    <w:p>
      <w:pPr>
        <w:jc w:val="both"/>
      </w:pPr>
      <w:r>
        <w:rPr>
          <w:rFonts w:ascii="Calibri" w:hAnsi="Calibri" w:cs="Calibri"/>
          <w:b w:val="0"/>
          <w:i w:val="0"/>
          <w:color w:val="1F2A24"/>
          <w:sz w:val="22"/>
        </w:rPr>
        <w:t>The assessment asks whether biomass-based construction products from the study units can reduce greenhouse-gas emissions relative to the mineral products they would displace, and whether the same development raises rural employment and Indigenous community income beyond the mill gate. The products in scope are cross-laminated timber (CLT), glulam, and community panels. Pellets and bioheat enter the boundary only where they use residues from those products.</w:t>
      </w:r>
    </w:p>
    <w:p>
      <w:pPr>
        <w:jc w:val="both"/>
      </w:pPr>
      <w:r>
        <w:rPr>
          <w:rFonts w:ascii="Calibri" w:hAnsi="Calibri" w:cs="Calibri"/>
          <w:b w:val="0"/>
          <w:i w:val="0"/>
          <w:color w:val="1F2A24"/>
          <w:sz w:val="22"/>
        </w:rPr>
        <w:t>The life-cycle half follows ISO 14040 and ISO 14044 for goal, scope, inventory, impact assessment and interpretation. EN 15804, with EN 16485 for roundwood and ISO 21930 for construction products, sets the modular boundary. EN 15978 informs the 60-year building study period. The economic half is a standard impact account: direct effects, then indirect effects in supplying industries, then induced effects from household spending. Only the direct column is quantified.</w:t>
      </w:r>
    </w:p>
    <w:p>
      <w:pPr>
        <w:jc w:val="both"/>
      </w:pPr>
      <w:r>
        <w:rPr>
          <w:rFonts w:ascii="Calibri" w:hAnsi="Calibri" w:cs="Calibri"/>
          <w:b w:val="0"/>
          <w:i w:val="0"/>
          <w:color w:val="1F2A24"/>
          <w:sz w:val="22"/>
        </w:rPr>
        <w:t>No comparative assertion for public disclosure under ISO 14044 is made, because the impact assessment has not been completed and no critical review has been commissioned.</w:t>
      </w:r>
    </w:p>
    <w:p>
      <w:pPr>
        <w:spacing w:before="240" w:after="80"/>
      </w:pPr>
      <w:r>
        <w:rPr>
          <w:rFonts w:ascii="Georgia" w:hAnsi="Georgia" w:cs="Georgia"/>
          <w:b/>
          <w:i w:val="0"/>
          <w:color w:val="1B4332"/>
          <w:sz w:val="26"/>
        </w:rPr>
        <w:t>2. Study area and activity scenario</w:t>
      </w:r>
    </w:p>
    <w:p>
      <w:pPr>
        <w:jc w:val="both"/>
      </w:pPr>
      <w:r>
        <w:rPr>
          <w:rFonts w:ascii="Calibri" w:hAnsi="Calibri" w:cs="Calibri"/>
          <w:b w:val="0"/>
          <w:i w:val="0"/>
          <w:color w:val="1F2A24"/>
          <w:sz w:val="22"/>
        </w:rPr>
        <w:t>The six forest management units are Trout Lake, Abitibi, Algoma, Kenora, Nipissing and Algonquin. They are the same units used in the utilization study that compares plant and policy packages with an agent-based model. The activity scenario for this assessment is the package taken forward in that study: community panel mills and bioheat in every unit; a large integrated mass-timber hub in each unit, with the Kenora hub treated as conditional on a secured buyer; four public rules taken together (Indigenous allocation priority, contractor capacity building, a procurement uplift, and a clean-heat incentive); and pellet mills only in Trout Lake and Abitibi.</w:t>
      </w:r>
    </w:p>
    <w:p>
      <w:pPr>
        <w:jc w:val="both"/>
      </w:pPr>
      <w:r>
        <w:rPr>
          <w:rFonts w:ascii="Calibri" w:hAnsi="Calibri" w:cs="Calibri"/>
          <w:b w:val="0"/>
          <w:i w:val="0"/>
          <w:color w:val="1F2A24"/>
          <w:sz w:val="22"/>
        </w:rPr>
        <w:t>Candidate activity levels from the utilization study (base demand, means of 50 seeds) are:</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rFonts w:ascii="Calibri" w:hAnsi="Calibri" w:cs="Calibri"/>
                <w:b/>
                <w:i w:val="0"/>
                <w:color w:val="1F2A24"/>
                <w:sz w:val="18"/>
              </w:rPr>
              <w:t>Quantity</w:t>
            </w:r>
          </w:p>
        </w:tc>
        <w:tc>
          <w:tcPr>
            <w:tcW w:type="dxa" w:w="3173"/>
          </w:tcPr>
          <w:p>
            <w:r/>
            <w:r>
              <w:rPr>
                <w:rFonts w:ascii="Calibri" w:hAnsi="Calibri" w:cs="Calibri"/>
                <w:b/>
                <w:i w:val="0"/>
                <w:color w:val="1F2A24"/>
                <w:sz w:val="18"/>
              </w:rPr>
              <w:t>No new plants</w:t>
            </w:r>
          </w:p>
        </w:tc>
        <w:tc>
          <w:tcPr>
            <w:tcW w:type="dxa" w:w="3173"/>
          </w:tcPr>
          <w:p>
            <w:r/>
            <w:r>
              <w:rPr>
                <w:rFonts w:ascii="Calibri" w:hAnsi="Calibri" w:cs="Calibri"/>
                <w:b/>
                <w:i w:val="0"/>
                <w:color w:val="1F2A24"/>
                <w:sz w:val="18"/>
              </w:rPr>
              <w:t>Package taken forward</w:t>
            </w:r>
          </w:p>
        </w:tc>
      </w:tr>
      <w:tr>
        <w:tc>
          <w:tcPr>
            <w:tcW w:type="dxa" w:w="3173"/>
          </w:tcPr>
          <w:p>
            <w:r/>
            <w:r>
              <w:rPr>
                <w:rFonts w:ascii="Calibri" w:hAnsi="Calibri" w:cs="Calibri"/>
                <w:b w:val="0"/>
                <w:i w:val="0"/>
                <w:color w:val="1F2A24"/>
                <w:sz w:val="18"/>
              </w:rPr>
              <w:t>Utilization, 2041–2045</w:t>
            </w:r>
          </w:p>
        </w:tc>
        <w:tc>
          <w:tcPr>
            <w:tcW w:type="dxa" w:w="3173"/>
          </w:tcPr>
          <w:p>
            <w:r/>
            <w:r>
              <w:rPr>
                <w:rFonts w:ascii="Calibri" w:hAnsi="Calibri" w:cs="Calibri"/>
                <w:b w:val="0"/>
                <w:i w:val="0"/>
                <w:color w:val="1F2A24"/>
                <w:sz w:val="18"/>
              </w:rPr>
              <w:t>40.7% of long-term managed volume</w:t>
            </w:r>
          </w:p>
        </w:tc>
        <w:tc>
          <w:tcPr>
            <w:tcW w:type="dxa" w:w="3173"/>
          </w:tcPr>
          <w:p>
            <w:r/>
            <w:r>
              <w:rPr>
                <w:rFonts w:ascii="Calibri" w:hAnsi="Calibri" w:cs="Calibri"/>
                <w:b w:val="0"/>
                <w:i w:val="0"/>
                <w:color w:val="1F2A24"/>
                <w:sz w:val="18"/>
              </w:rPr>
              <w:t>65.7%</w:t>
            </w:r>
          </w:p>
        </w:tc>
      </w:tr>
      <w:tr>
        <w:tc>
          <w:tcPr>
            <w:tcW w:type="dxa" w:w="3173"/>
          </w:tcPr>
          <w:p>
            <w:r/>
            <w:r>
              <w:rPr>
                <w:rFonts w:ascii="Calibri" w:hAnsi="Calibri" w:cs="Calibri"/>
                <w:b w:val="0"/>
                <w:i w:val="0"/>
                <w:color w:val="1F2A24"/>
                <w:sz w:val="18"/>
              </w:rPr>
              <w:t>Cumulative harvest, 2026–2045</w:t>
            </w:r>
          </w:p>
        </w:tc>
        <w:tc>
          <w:tcPr>
            <w:tcW w:type="dxa" w:w="3173"/>
          </w:tcPr>
          <w:p>
            <w:r/>
            <w:r>
              <w:rPr>
                <w:rFonts w:ascii="Calibri" w:hAnsi="Calibri" w:cs="Calibri"/>
                <w:b w:val="0"/>
                <w:i w:val="0"/>
                <w:color w:val="1F2A24"/>
                <w:sz w:val="18"/>
              </w:rPr>
              <w:t>42.3 Mm³</w:t>
            </w:r>
          </w:p>
        </w:tc>
        <w:tc>
          <w:tcPr>
            <w:tcW w:type="dxa" w:w="3173"/>
          </w:tcPr>
          <w:p>
            <w:r/>
            <w:r>
              <w:rPr>
                <w:rFonts w:ascii="Calibri" w:hAnsi="Calibri" w:cs="Calibri"/>
                <w:b w:val="0"/>
                <w:i w:val="0"/>
                <w:color w:val="1F2A24"/>
                <w:sz w:val="18"/>
              </w:rPr>
              <w:t>60.8 Mm³</w:t>
            </w:r>
          </w:p>
        </w:tc>
      </w:tr>
      <w:tr>
        <w:tc>
          <w:tcPr>
            <w:tcW w:type="dxa" w:w="3173"/>
          </w:tcPr>
          <w:p>
            <w:r/>
            <w:r>
              <w:rPr>
                <w:rFonts w:ascii="Calibri" w:hAnsi="Calibri" w:cs="Calibri"/>
                <w:b w:val="0"/>
                <w:i w:val="0"/>
                <w:color w:val="1F2A24"/>
                <w:sz w:val="18"/>
              </w:rPr>
              <w:t>Rural and northern jobs (FTE, late)</w:t>
            </w:r>
          </w:p>
        </w:tc>
        <w:tc>
          <w:tcPr>
            <w:tcW w:type="dxa" w:w="3173"/>
          </w:tcPr>
          <w:p>
            <w:r/>
            <w:r>
              <w:rPr>
                <w:rFonts w:ascii="Calibri" w:hAnsi="Calibri" w:cs="Calibri"/>
                <w:b w:val="0"/>
                <w:i w:val="0"/>
                <w:color w:val="1F2A24"/>
                <w:sz w:val="18"/>
              </w:rPr>
              <w:t>1,709</w:t>
            </w:r>
          </w:p>
        </w:tc>
        <w:tc>
          <w:tcPr>
            <w:tcW w:type="dxa" w:w="3173"/>
          </w:tcPr>
          <w:p>
            <w:r/>
            <w:r>
              <w:rPr>
                <w:rFonts w:ascii="Calibri" w:hAnsi="Calibri" w:cs="Calibri"/>
                <w:b w:val="0"/>
                <w:i w:val="0"/>
                <w:color w:val="1F2A24"/>
                <w:sz w:val="18"/>
              </w:rPr>
              <w:t>4,299</w:t>
            </w:r>
          </w:p>
        </w:tc>
      </w:tr>
      <w:tr>
        <w:tc>
          <w:tcPr>
            <w:tcW w:type="dxa" w:w="3173"/>
          </w:tcPr>
          <w:p>
            <w:r/>
            <w:r>
              <w:rPr>
                <w:rFonts w:ascii="Calibri" w:hAnsi="Calibri" w:cs="Calibri"/>
                <w:b w:val="0"/>
                <w:i w:val="0"/>
                <w:color w:val="1F2A24"/>
                <w:sz w:val="18"/>
              </w:rPr>
              <w:t>Indigenous community income (NPV at 4%)</w:t>
            </w:r>
          </w:p>
        </w:tc>
        <w:tc>
          <w:tcPr>
            <w:tcW w:type="dxa" w:w="3173"/>
          </w:tcPr>
          <w:p>
            <w:r/>
            <w:r>
              <w:rPr>
                <w:rFonts w:ascii="Calibri" w:hAnsi="Calibri" w:cs="Calibri"/>
                <w:b w:val="0"/>
                <w:i w:val="0"/>
                <w:color w:val="1F2A24"/>
                <w:sz w:val="18"/>
              </w:rPr>
              <w:t>$431 million</w:t>
            </w:r>
          </w:p>
        </w:tc>
        <w:tc>
          <w:tcPr>
            <w:tcW w:type="dxa" w:w="3173"/>
          </w:tcPr>
          <w:p>
            <w:r/>
            <w:r>
              <w:rPr>
                <w:rFonts w:ascii="Calibri" w:hAnsi="Calibri" w:cs="Calibri"/>
                <w:b w:val="0"/>
                <w:i w:val="0"/>
                <w:color w:val="1F2A24"/>
                <w:sz w:val="18"/>
              </w:rPr>
              <w:t>$1,838 million</w:t>
            </w:r>
          </w:p>
        </w:tc>
      </w:tr>
      <w:tr>
        <w:tc>
          <w:tcPr>
            <w:tcW w:type="dxa" w:w="3173"/>
          </w:tcPr>
          <w:p>
            <w:r/>
            <w:r>
              <w:rPr>
                <w:rFonts w:ascii="Calibri" w:hAnsi="Calibri" w:cs="Calibri"/>
                <w:b w:val="0"/>
                <w:i w:val="0"/>
                <w:color w:val="1F2A24"/>
                <w:sz w:val="18"/>
              </w:rPr>
              <w:t>Public cost (undiscounted)</w:t>
            </w:r>
          </w:p>
        </w:tc>
        <w:tc>
          <w:tcPr>
            <w:tcW w:type="dxa" w:w="3173"/>
          </w:tcPr>
          <w:p>
            <w:r/>
            <w:r>
              <w:rPr>
                <w:rFonts w:ascii="Calibri" w:hAnsi="Calibri" w:cs="Calibri"/>
                <w:b w:val="0"/>
                <w:i w:val="0"/>
                <w:color w:val="1F2A24"/>
                <w:sz w:val="18"/>
              </w:rPr>
              <w:t>$0</w:t>
            </w:r>
          </w:p>
        </w:tc>
        <w:tc>
          <w:tcPr>
            <w:tcW w:type="dxa" w:w="3173"/>
          </w:tcPr>
          <w:p>
            <w:r/>
            <w:r>
              <w:rPr>
                <w:rFonts w:ascii="Calibri" w:hAnsi="Calibri" w:cs="Calibri"/>
                <w:b w:val="0"/>
                <w:i w:val="0"/>
                <w:color w:val="1F2A24"/>
                <w:sz w:val="18"/>
              </w:rPr>
              <w:t>$331 million</w:t>
            </w:r>
          </w:p>
        </w:tc>
      </w:tr>
    </w:tbl>
    <w:p/>
    <w:p>
      <w:pPr>
        <w:jc w:val="both"/>
      </w:pPr>
      <w:r>
        <w:rPr>
          <w:rFonts w:ascii="Calibri" w:hAnsi="Calibri" w:cs="Calibri"/>
          <w:b w:val="0"/>
          <w:i w:val="0"/>
          <w:color w:val="1F2A24"/>
          <w:sz w:val="22"/>
        </w:rPr>
        <w:t>Those volumes and dollars are candidate activity data. They are not multiplied by the emission factors in this note to produce an offset figure.</w:t>
      </w:r>
    </w:p>
    <w:p>
      <w:pPr>
        <w:spacing w:before="240" w:after="80"/>
      </w:pPr>
      <w:r>
        <w:rPr>
          <w:rFonts w:ascii="Georgia" w:hAnsi="Georgia" w:cs="Georgia"/>
          <w:b/>
          <w:i w:val="0"/>
          <w:color w:val="1B4332"/>
          <w:sz w:val="26"/>
        </w:rPr>
        <w:t>3. Relation to the forest-sector models</w:t>
      </w:r>
    </w:p>
    <w:p>
      <w:pPr>
        <w:jc w:val="both"/>
      </w:pPr>
      <w:r>
        <w:rPr>
          <w:rFonts w:ascii="Calibri" w:hAnsi="Calibri" w:cs="Calibri"/>
          <w:b w:val="0"/>
          <w:i w:val="0"/>
          <w:color w:val="1F2A24"/>
          <w:sz w:val="22"/>
        </w:rPr>
        <w:t>Two models supply the foreground inventory and the direct economic account.</w:t>
      </w:r>
    </w:p>
    <w:p>
      <w:pPr>
        <w:jc w:val="both"/>
      </w:pPr>
      <w:r>
        <w:rPr>
          <w:rFonts w:ascii="Calibri" w:hAnsi="Calibri" w:cs="Calibri"/>
          <w:b/>
          <w:i w:val="0"/>
          <w:color w:val="1F2A24"/>
          <w:sz w:val="22"/>
        </w:rPr>
        <w:t>Planning model (FORBIOM-ON).</w:t>
      </w:r>
      <w:r>
        <w:rPr>
          <w:rFonts w:ascii="Calibri" w:hAnsi="Calibri" w:cs="Calibri"/>
          <w:b w:val="0"/>
          <w:i w:val="0"/>
          <w:color w:val="1F2A24"/>
          <w:sz w:val="22"/>
        </w:rPr>
        <w:t xml:space="preserve"> A spatial optimization model allocates harvest, primary manufacture, secondary manufacture and inter-regional shipments for the six units over 2020–2030. It carries process emission and product storage factors for lumber, CLT and glulam, and conversion ratios used as reference flows (1.20 m³ lumber per m³ CLT; 1.10 per m³ glulam; 1.15 per m³ panel).</w:t>
      </w:r>
    </w:p>
    <w:p>
      <w:pPr>
        <w:jc w:val="both"/>
      </w:pPr>
      <w:r>
        <w:rPr>
          <w:rFonts w:ascii="Calibri" w:hAnsi="Calibri" w:cs="Calibri"/>
          <w:b/>
          <w:i w:val="0"/>
          <w:color w:val="1F2A24"/>
          <w:sz w:val="22"/>
        </w:rPr>
        <w:t>Agent-based model (FORBIOM-ABM).</w:t>
      </w:r>
      <w:r>
        <w:rPr>
          <w:rFonts w:ascii="Calibri" w:hAnsi="Calibri" w:cs="Calibri"/>
          <w:b w:val="0"/>
          <w:i w:val="0"/>
          <w:color w:val="1F2A24"/>
          <w:sz w:val="22"/>
        </w:rPr>
        <w:t xml:space="preserve"> An annual simulation (2026–2045) in which contractors, incumbent mills and investors decide separately under boundedly rational logistic rules. It carries harvest emissions (0.012 tCO₂/m³), freight (0.00005 tCO₂/m³·km), bioheat displacement of heating oil (1.23 tCO₂e/odt), and the direct economic results by strategy. Its carbon account is storage in products, fossil fuel displaced by wood heat, and emissions from harvest, processing and freight. That account is not a life-cycle result for a building: forest carbon stock change and substitution for concrete and steel are outside it.</w:t>
      </w:r>
    </w:p>
    <w:p>
      <w:pPr>
        <w:jc w:val="both"/>
      </w:pPr>
      <w:r>
        <w:rPr>
          <w:rFonts w:ascii="Calibri" w:hAnsi="Calibri" w:cs="Calibri"/>
          <w:b w:val="0"/>
          <w:i w:val="0"/>
          <w:color w:val="1F2A24"/>
          <w:sz w:val="22"/>
        </w:rPr>
        <w:t>This assessment uses the agent-based package as the activity scenario so that carbon and economic lines describe the same plants. Mixing the planner’s allocation with the plants agents actually build would misalign the two accounts.</w:t>
      </w:r>
    </w:p>
    <w:p>
      <w:pPr>
        <w:spacing w:before="240" w:after="80"/>
      </w:pPr>
      <w:r>
        <w:rPr>
          <w:rFonts w:ascii="Georgia" w:hAnsi="Georgia" w:cs="Georgia"/>
          <w:b/>
          <w:i w:val="0"/>
          <w:color w:val="1B4332"/>
          <w:sz w:val="26"/>
        </w:rPr>
        <w:t>4. Life cycle assessment method</w:t>
      </w:r>
    </w:p>
    <w:p>
      <w:pPr>
        <w:spacing w:before="160" w:after="40"/>
      </w:pPr>
      <w:r>
        <w:rPr>
          <w:rFonts w:ascii="Georgia" w:hAnsi="Georgia" w:cs="Georgia"/>
          <w:b/>
          <w:i/>
          <w:color w:val="1B4332"/>
          <w:sz w:val="23"/>
        </w:rPr>
        <w:t>4.1 Goal</w:t>
      </w:r>
    </w:p>
    <w:p>
      <w:pPr>
        <w:jc w:val="both"/>
      </w:pPr>
      <w:r>
        <w:rPr>
          <w:rFonts w:ascii="Calibri" w:hAnsi="Calibri" w:cs="Calibri"/>
          <w:b w:val="0"/>
          <w:i w:val="0"/>
          <w:color w:val="1F2A24"/>
          <w:sz w:val="22"/>
        </w:rPr>
        <w:t>Evaluate the carbon-offset potential of biomass-based construction products from the six units on a basis that can later be compared with a functionally equivalent concrete or steel assembly. Audience: technical readers of the utilization study and of the forest-sector models.</w:t>
      </w:r>
    </w:p>
    <w:p>
      <w:pPr>
        <w:spacing w:before="160" w:after="40"/>
      </w:pPr>
      <w:r>
        <w:rPr>
          <w:rFonts w:ascii="Georgia" w:hAnsi="Georgia" w:cs="Georgia"/>
          <w:b/>
          <w:i/>
          <w:color w:val="1B4332"/>
          <w:sz w:val="23"/>
        </w:rPr>
        <w:t>4.2 Functional unit and reference flow</w:t>
      </w:r>
    </w:p>
    <w:p>
      <w:pPr>
        <w:jc w:val="both"/>
      </w:pPr>
      <w:r>
        <w:rPr>
          <w:rFonts w:ascii="Calibri" w:hAnsi="Calibri" w:cs="Calibri"/>
          <w:b/>
          <w:i w:val="0"/>
          <w:color w:val="1F2A24"/>
          <w:sz w:val="22"/>
        </w:rPr>
        <w:t>Primary functional unit.</w:t>
      </w:r>
      <w:r>
        <w:rPr>
          <w:rFonts w:ascii="Calibri" w:hAnsi="Calibri" w:cs="Calibri"/>
          <w:b w:val="0"/>
          <w:i w:val="0"/>
          <w:color w:val="1F2A24"/>
          <w:sz w:val="22"/>
        </w:rPr>
        <w:t xml:space="preserve"> One cubic metre of structural CLT or glulam, manufactured from lumber sawn in the six units, delivered to a building site in the Greater Toronto Area or used in northern housing, providing equivalent structural function to a reference concrete or steel assembly over a 60-year study period.</w:t>
      </w:r>
    </w:p>
    <w:p>
      <w:pPr>
        <w:jc w:val="both"/>
      </w:pPr>
      <w:r>
        <w:rPr>
          <w:rFonts w:ascii="Calibri" w:hAnsi="Calibri" w:cs="Calibri"/>
          <w:b/>
          <w:i w:val="0"/>
          <w:color w:val="1F2A24"/>
          <w:sz w:val="22"/>
        </w:rPr>
        <w:t>Secondary functional unit (required for an offset, not yet specified as a bill of materials).</w:t>
      </w:r>
      <w:r>
        <w:rPr>
          <w:rFonts w:ascii="Calibri" w:hAnsi="Calibri" w:cs="Calibri"/>
          <w:b w:val="0"/>
          <w:i w:val="0"/>
          <w:color w:val="1F2A24"/>
          <w:sz w:val="22"/>
        </w:rPr>
        <w:t xml:space="preserve"> One structural bay of defined span, load and fire rating. Until that bay is specified, no claim of the form “one cubic metre of CLT avoids a stated mass of concrete” is available.</w:t>
      </w:r>
    </w:p>
    <w:p>
      <w:pPr>
        <w:spacing w:before="160" w:after="40"/>
      </w:pPr>
      <w:r>
        <w:rPr>
          <w:rFonts w:ascii="Georgia" w:hAnsi="Georgia" w:cs="Georgia"/>
          <w:b/>
          <w:i/>
          <w:color w:val="1B4332"/>
          <w:sz w:val="23"/>
        </w:rPr>
        <w:t>4.3 System boundary</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rFonts w:ascii="Calibri" w:hAnsi="Calibri" w:cs="Calibri"/>
                <w:b/>
                <w:i w:val="0"/>
                <w:color w:val="1F2A24"/>
                <w:sz w:val="18"/>
              </w:rPr>
              <w:t>Module</w:t>
            </w:r>
          </w:p>
        </w:tc>
        <w:tc>
          <w:tcPr>
            <w:tcW w:type="dxa" w:w="3173"/>
          </w:tcPr>
          <w:p>
            <w:r/>
            <w:r>
              <w:rPr>
                <w:rFonts w:ascii="Calibri" w:hAnsi="Calibri" w:cs="Calibri"/>
                <w:b/>
                <w:i w:val="0"/>
                <w:color w:val="1F2A24"/>
                <w:sz w:val="18"/>
              </w:rPr>
              <w:t>Coverage</w:t>
            </w:r>
          </w:p>
        </w:tc>
        <w:tc>
          <w:tcPr>
            <w:tcW w:type="dxa" w:w="3173"/>
          </w:tcPr>
          <w:p>
            <w:r/>
            <w:r>
              <w:rPr>
                <w:rFonts w:ascii="Calibri" w:hAnsi="Calibri" w:cs="Calibri"/>
                <w:b/>
                <w:i w:val="0"/>
                <w:color w:val="1F2A24"/>
                <w:sz w:val="18"/>
              </w:rPr>
              <w:t>Status</w:t>
            </w:r>
          </w:p>
        </w:tc>
      </w:tr>
      <w:tr>
        <w:tc>
          <w:tcPr>
            <w:tcW w:type="dxa" w:w="3173"/>
          </w:tcPr>
          <w:p>
            <w:r/>
            <w:r>
              <w:rPr>
                <w:rFonts w:ascii="Calibri" w:hAnsi="Calibri" w:cs="Calibri"/>
                <w:b w:val="0"/>
                <w:i w:val="0"/>
                <w:color w:val="1F2A24"/>
                <w:sz w:val="18"/>
              </w:rPr>
              <w:t>A1</w:t>
            </w:r>
          </w:p>
        </w:tc>
        <w:tc>
          <w:tcPr>
            <w:tcW w:type="dxa" w:w="3173"/>
          </w:tcPr>
          <w:p>
            <w:r/>
            <w:r>
              <w:rPr>
                <w:rFonts w:ascii="Calibri" w:hAnsi="Calibri" w:cs="Calibri"/>
                <w:b w:val="0"/>
                <w:i w:val="0"/>
                <w:color w:val="1F2A24"/>
                <w:sz w:val="18"/>
              </w:rPr>
              <w:t>Harvest, forwarding; standing-forest carbon consequence of the extra cut</w:t>
            </w:r>
          </w:p>
        </w:tc>
        <w:tc>
          <w:tcPr>
            <w:tcW w:type="dxa" w:w="3173"/>
          </w:tcPr>
          <w:p>
            <w:r/>
            <w:r>
              <w:rPr>
                <w:rFonts w:ascii="Calibri" w:hAnsi="Calibri" w:cs="Calibri"/>
                <w:b w:val="0"/>
                <w:i w:val="0"/>
                <w:color w:val="1F2A24"/>
                <w:sz w:val="18"/>
              </w:rPr>
              <w:t>Harvest emissions held; forest carbon not in the record</w:t>
            </w:r>
          </w:p>
        </w:tc>
      </w:tr>
      <w:tr>
        <w:tc>
          <w:tcPr>
            <w:tcW w:type="dxa" w:w="3173"/>
          </w:tcPr>
          <w:p>
            <w:r/>
            <w:r>
              <w:rPr>
                <w:rFonts w:ascii="Calibri" w:hAnsi="Calibri" w:cs="Calibri"/>
                <w:b w:val="0"/>
                <w:i w:val="0"/>
                <w:color w:val="1F2A24"/>
                <w:sz w:val="18"/>
              </w:rPr>
              <w:t>A2</w:t>
            </w:r>
          </w:p>
        </w:tc>
        <w:tc>
          <w:tcPr>
            <w:tcW w:type="dxa" w:w="3173"/>
          </w:tcPr>
          <w:p>
            <w:r/>
            <w:r>
              <w:rPr>
                <w:rFonts w:ascii="Calibri" w:hAnsi="Calibri" w:cs="Calibri"/>
                <w:b w:val="0"/>
                <w:i w:val="0"/>
                <w:color w:val="1F2A24"/>
                <w:sz w:val="18"/>
              </w:rPr>
              <w:t>Haul stump to mill</w:t>
            </w:r>
          </w:p>
        </w:tc>
        <w:tc>
          <w:tcPr>
            <w:tcW w:type="dxa" w:w="3173"/>
          </w:tcPr>
          <w:p>
            <w:r/>
            <w:r>
              <w:rPr>
                <w:rFonts w:ascii="Calibri" w:hAnsi="Calibri" w:cs="Calibri"/>
                <w:b w:val="0"/>
                <w:i w:val="0"/>
                <w:color w:val="1F2A24"/>
                <w:sz w:val="18"/>
              </w:rPr>
              <w:t>Factor held; applied inside the unit</w:t>
            </w:r>
          </w:p>
        </w:tc>
      </w:tr>
      <w:tr>
        <w:tc>
          <w:tcPr>
            <w:tcW w:type="dxa" w:w="3173"/>
          </w:tcPr>
          <w:p>
            <w:r/>
            <w:r>
              <w:rPr>
                <w:rFonts w:ascii="Calibri" w:hAnsi="Calibri" w:cs="Calibri"/>
                <w:b w:val="0"/>
                <w:i w:val="0"/>
                <w:color w:val="1F2A24"/>
                <w:sz w:val="18"/>
              </w:rPr>
              <w:t>A3</w:t>
            </w:r>
          </w:p>
        </w:tc>
        <w:tc>
          <w:tcPr>
            <w:tcW w:type="dxa" w:w="3173"/>
          </w:tcPr>
          <w:p>
            <w:r/>
            <w:r>
              <w:rPr>
                <w:rFonts w:ascii="Calibri" w:hAnsi="Calibri" w:cs="Calibri"/>
                <w:b w:val="0"/>
                <w:i w:val="0"/>
                <w:color w:val="1F2A24"/>
                <w:sz w:val="18"/>
              </w:rPr>
              <w:t>Sawmilling and manufacture of CLT, glulam or panels</w:t>
            </w:r>
          </w:p>
        </w:tc>
        <w:tc>
          <w:tcPr>
            <w:tcW w:type="dxa" w:w="3173"/>
          </w:tcPr>
          <w:p>
            <w:r/>
            <w:r>
              <w:rPr>
                <w:rFonts w:ascii="Calibri" w:hAnsi="Calibri" w:cs="Calibri"/>
                <w:b w:val="0"/>
                <w:i w:val="0"/>
                <w:color w:val="1F2A24"/>
                <w:sz w:val="18"/>
              </w:rPr>
              <w:t>Process factors held</w:t>
            </w:r>
          </w:p>
        </w:tc>
      </w:tr>
      <w:tr>
        <w:tc>
          <w:tcPr>
            <w:tcW w:type="dxa" w:w="3173"/>
          </w:tcPr>
          <w:p>
            <w:r/>
            <w:r>
              <w:rPr>
                <w:rFonts w:ascii="Calibri" w:hAnsi="Calibri" w:cs="Calibri"/>
                <w:b w:val="0"/>
                <w:i w:val="0"/>
                <w:color w:val="1F2A24"/>
                <w:sz w:val="18"/>
              </w:rPr>
              <w:t>A4</w:t>
            </w:r>
          </w:p>
        </w:tc>
        <w:tc>
          <w:tcPr>
            <w:tcW w:type="dxa" w:w="3173"/>
          </w:tcPr>
          <w:p>
            <w:r/>
            <w:r>
              <w:rPr>
                <w:rFonts w:ascii="Calibri" w:hAnsi="Calibri" w:cs="Calibri"/>
                <w:b w:val="0"/>
                <w:i w:val="0"/>
                <w:color w:val="1F2A24"/>
                <w:sz w:val="18"/>
              </w:rPr>
              <w:t>Delivery to the building site</w:t>
            </w:r>
          </w:p>
        </w:tc>
        <w:tc>
          <w:tcPr>
            <w:tcW w:type="dxa" w:w="3173"/>
          </w:tcPr>
          <w:p>
            <w:r/>
            <w:r>
              <w:rPr>
                <w:rFonts w:ascii="Calibri" w:hAnsi="Calibri" w:cs="Calibri"/>
                <w:b w:val="0"/>
                <w:i w:val="0"/>
                <w:color w:val="1F2A24"/>
                <w:sz w:val="18"/>
              </w:rPr>
              <w:t>Freight factor held for represented shipments</w:t>
            </w:r>
          </w:p>
        </w:tc>
      </w:tr>
      <w:tr>
        <w:tc>
          <w:tcPr>
            <w:tcW w:type="dxa" w:w="3173"/>
          </w:tcPr>
          <w:p>
            <w:r/>
            <w:r>
              <w:rPr>
                <w:rFonts w:ascii="Calibri" w:hAnsi="Calibri" w:cs="Calibri"/>
                <w:b w:val="0"/>
                <w:i w:val="0"/>
                <w:color w:val="1F2A24"/>
                <w:sz w:val="18"/>
              </w:rPr>
              <w:t>A5</w:t>
            </w:r>
          </w:p>
        </w:tc>
        <w:tc>
          <w:tcPr>
            <w:tcW w:type="dxa" w:w="3173"/>
          </w:tcPr>
          <w:p>
            <w:r/>
            <w:r>
              <w:rPr>
                <w:rFonts w:ascii="Calibri" w:hAnsi="Calibri" w:cs="Calibri"/>
                <w:b w:val="0"/>
                <w:i w:val="0"/>
                <w:color w:val="1F2A24"/>
                <w:sz w:val="18"/>
              </w:rPr>
              <w:t>Erection, fixings, site waste</w:t>
            </w:r>
          </w:p>
        </w:tc>
        <w:tc>
          <w:tcPr>
            <w:tcW w:type="dxa" w:w="3173"/>
          </w:tcPr>
          <w:p>
            <w:r/>
            <w:r>
              <w:rPr>
                <w:rFonts w:ascii="Calibri" w:hAnsi="Calibri" w:cs="Calibri"/>
                <w:b w:val="0"/>
                <w:i w:val="0"/>
                <w:color w:val="1F2A24"/>
                <w:sz w:val="18"/>
              </w:rPr>
              <w:t>Not in the record</w:t>
            </w:r>
          </w:p>
        </w:tc>
      </w:tr>
      <w:tr>
        <w:tc>
          <w:tcPr>
            <w:tcW w:type="dxa" w:w="3173"/>
          </w:tcPr>
          <w:p>
            <w:r/>
            <w:r>
              <w:rPr>
                <w:rFonts w:ascii="Calibri" w:hAnsi="Calibri" w:cs="Calibri"/>
                <w:b w:val="0"/>
                <w:i w:val="0"/>
                <w:color w:val="1F2A24"/>
                <w:sz w:val="18"/>
              </w:rPr>
              <w:t>B</w:t>
            </w:r>
          </w:p>
        </w:tc>
        <w:tc>
          <w:tcPr>
            <w:tcW w:type="dxa" w:w="3173"/>
          </w:tcPr>
          <w:p>
            <w:r/>
            <w:r>
              <w:rPr>
                <w:rFonts w:ascii="Calibri" w:hAnsi="Calibri" w:cs="Calibri"/>
                <w:b w:val="0"/>
                <w:i w:val="0"/>
                <w:color w:val="1F2A24"/>
                <w:sz w:val="18"/>
              </w:rPr>
              <w:t>Use, maintenance, repair, replacement (60 years)</w:t>
            </w:r>
          </w:p>
        </w:tc>
        <w:tc>
          <w:tcPr>
            <w:tcW w:type="dxa" w:w="3173"/>
          </w:tcPr>
          <w:p>
            <w:r/>
            <w:r>
              <w:rPr>
                <w:rFonts w:ascii="Calibri" w:hAnsi="Calibri" w:cs="Calibri"/>
                <w:b w:val="0"/>
                <w:i w:val="0"/>
                <w:color w:val="1F2A24"/>
                <w:sz w:val="18"/>
              </w:rPr>
              <w:t>Not in the record</w:t>
            </w:r>
          </w:p>
        </w:tc>
      </w:tr>
      <w:tr>
        <w:tc>
          <w:tcPr>
            <w:tcW w:type="dxa" w:w="3173"/>
          </w:tcPr>
          <w:p>
            <w:r/>
            <w:r>
              <w:rPr>
                <w:rFonts w:ascii="Calibri" w:hAnsi="Calibri" w:cs="Calibri"/>
                <w:b w:val="0"/>
                <w:i w:val="0"/>
                <w:color w:val="1F2A24"/>
                <w:sz w:val="18"/>
              </w:rPr>
              <w:t>C</w:t>
            </w:r>
          </w:p>
        </w:tc>
        <w:tc>
          <w:tcPr>
            <w:tcW w:type="dxa" w:w="3173"/>
          </w:tcPr>
          <w:p>
            <w:r/>
            <w:r>
              <w:rPr>
                <w:rFonts w:ascii="Calibri" w:hAnsi="Calibri" w:cs="Calibri"/>
                <w:b w:val="0"/>
                <w:i w:val="0"/>
                <w:color w:val="1F2A24"/>
                <w:sz w:val="18"/>
              </w:rPr>
              <w:t>Deconstruction, waste transport, end of life</w:t>
            </w:r>
          </w:p>
        </w:tc>
        <w:tc>
          <w:tcPr>
            <w:tcW w:type="dxa" w:w="3173"/>
          </w:tcPr>
          <w:p>
            <w:r/>
            <w:r>
              <w:rPr>
                <w:rFonts w:ascii="Calibri" w:hAnsi="Calibri" w:cs="Calibri"/>
                <w:b w:val="0"/>
                <w:i w:val="0"/>
                <w:color w:val="1F2A24"/>
                <w:sz w:val="18"/>
              </w:rPr>
              <w:t>Not in the record</w:t>
            </w:r>
          </w:p>
        </w:tc>
      </w:tr>
      <w:tr>
        <w:tc>
          <w:tcPr>
            <w:tcW w:type="dxa" w:w="3173"/>
          </w:tcPr>
          <w:p>
            <w:r/>
            <w:r>
              <w:rPr>
                <w:rFonts w:ascii="Calibri" w:hAnsi="Calibri" w:cs="Calibri"/>
                <w:b w:val="0"/>
                <w:i w:val="0"/>
                <w:color w:val="1F2A24"/>
                <w:sz w:val="18"/>
              </w:rPr>
              <w:t>D</w:t>
            </w:r>
          </w:p>
        </w:tc>
        <w:tc>
          <w:tcPr>
            <w:tcW w:type="dxa" w:w="3173"/>
          </w:tcPr>
          <w:p>
            <w:r/>
            <w:r>
              <w:rPr>
                <w:rFonts w:ascii="Calibri" w:hAnsi="Calibri" w:cs="Calibri"/>
                <w:b w:val="0"/>
                <w:i w:val="0"/>
                <w:color w:val="1F2A24"/>
                <w:sz w:val="18"/>
              </w:rPr>
              <w:t>Displaced concrete or steel; recovered energy or material</w:t>
            </w:r>
          </w:p>
        </w:tc>
        <w:tc>
          <w:tcPr>
            <w:tcW w:type="dxa" w:w="3173"/>
          </w:tcPr>
          <w:p>
            <w:r/>
            <w:r>
              <w:rPr>
                <w:rFonts w:ascii="Calibri" w:hAnsi="Calibri" w:cs="Calibri"/>
                <w:b w:val="0"/>
                <w:i w:val="0"/>
                <w:color w:val="1F2A24"/>
                <w:sz w:val="18"/>
              </w:rPr>
              <w:t>Not in the record</w:t>
            </w:r>
          </w:p>
        </w:tc>
      </w:tr>
    </w:tbl>
    <w:p/>
    <w:p>
      <w:pPr>
        <w:jc w:val="both"/>
      </w:pPr>
      <w:r>
        <w:rPr>
          <w:rFonts w:ascii="Calibri" w:hAnsi="Calibri" w:cs="Calibri"/>
          <w:b w:val="0"/>
          <w:i w:val="0"/>
          <w:color w:val="1F2A24"/>
          <w:sz w:val="22"/>
        </w:rPr>
        <w:t>Biogenic carbon is reported separately from fossil greenhouse gases (EN 16485, ISO 21930). Storage in the product is not netted against fossil emissions inside a single indicator in this assessment.</w:t>
      </w:r>
    </w:p>
    <w:p>
      <w:pPr>
        <w:spacing w:before="160" w:after="40"/>
      </w:pPr>
      <w:r>
        <w:rPr>
          <w:rFonts w:ascii="Georgia" w:hAnsi="Georgia" w:cs="Georgia"/>
          <w:b/>
          <w:i/>
          <w:color w:val="1B4332"/>
          <w:sz w:val="23"/>
        </w:rPr>
        <w:t>4.4 Definition of carbon-offset potential</w:t>
      </w:r>
    </w:p>
    <w:p>
      <w:pPr>
        <w:jc w:val="both"/>
      </w:pPr>
      <w:r>
        <w:rPr>
          <w:rFonts w:ascii="Calibri" w:hAnsi="Calibri" w:cs="Calibri"/>
          <w:b w:val="0"/>
          <w:i w:val="0"/>
          <w:color w:val="1F2A24"/>
          <w:sz w:val="22"/>
        </w:rPr>
        <w:t>The offset potential is three differences, left unevaluated numerically:</w:t>
      </w:r>
    </w:p>
    <w:p>
      <w:pPr>
        <w:pStyle w:val="ListNumber"/>
      </w:pPr>
      <w:r>
        <w:rPr>
          <w:rFonts w:ascii="Calibri" w:hAnsi="Calibri" w:cs="Calibri"/>
          <w:b w:val="0"/>
          <w:i w:val="0"/>
          <w:color w:val="1F2A24"/>
          <w:sz w:val="22"/>
        </w:rPr>
        <w:t>Fossil emissions of the wood product system minus fossil emissions of the reference assembly, over the same bay and 60 years.</w:t>
      </w:r>
    </w:p>
    <w:p>
      <w:pPr>
        <w:pStyle w:val="ListNumber"/>
      </w:pPr>
      <w:r>
        <w:rPr>
          <w:rFonts w:ascii="Calibri" w:hAnsi="Calibri" w:cs="Calibri"/>
          <w:b w:val="0"/>
          <w:i w:val="0"/>
          <w:color w:val="1F2A24"/>
          <w:sz w:val="22"/>
        </w:rPr>
        <w:t>Biogenic carbon held in the wood product (and any wood residue that remains in use), reported on its own line.</w:t>
      </w:r>
    </w:p>
    <w:p>
      <w:pPr>
        <w:pStyle w:val="ListNumber"/>
      </w:pPr>
      <w:r>
        <w:rPr>
          <w:rFonts w:ascii="Calibri" w:hAnsi="Calibri" w:cs="Calibri"/>
          <w:b w:val="0"/>
          <w:i w:val="0"/>
          <w:color w:val="1F2A24"/>
          <w:sz w:val="22"/>
        </w:rPr>
        <w:t>Change in carbon in the standing forest caused by the extra harvest, including regrowth.</w:t>
      </w:r>
    </w:p>
    <w:p>
      <w:pPr>
        <w:jc w:val="both"/>
      </w:pPr>
      <w:r>
        <w:rPr>
          <w:rFonts w:ascii="Calibri" w:hAnsi="Calibri" w:cs="Calibri"/>
          <w:b w:val="0"/>
          <w:i w:val="0"/>
          <w:color w:val="1F2A24"/>
          <w:sz w:val="22"/>
        </w:rPr>
        <w:t>A result with only (2) is a storage account. A result with (1) and (2) but not (3) is a building account with an open forest boundary. Neither is the offset potential named in the goal.</w:t>
      </w:r>
    </w:p>
    <w:p>
      <w:pPr>
        <w:spacing w:before="160" w:after="40"/>
      </w:pPr>
      <w:r>
        <w:rPr>
          <w:rFonts w:ascii="Georgia" w:hAnsi="Georgia" w:cs="Georgia"/>
          <w:b/>
          <w:i/>
          <w:color w:val="1B4332"/>
          <w:sz w:val="23"/>
        </w:rPr>
        <w:t>4.5 Foreground factors</w:t>
      </w:r>
    </w:p>
    <w:tbl>
      <w:tblPr>
        <w:tblStyle w:val="TableGrid"/>
        <w:tblW w:type="auto" w:w="0"/>
        <w:tblLook w:firstColumn="1" w:firstRow="1" w:lastColumn="0" w:lastRow="0" w:noHBand="0" w:noVBand="1" w:val="04A0"/>
      </w:tblPr>
      <w:tblGrid>
        <w:gridCol w:w="3173"/>
        <w:gridCol w:w="3173"/>
        <w:gridCol w:w="3173"/>
      </w:tblGrid>
      <w:tr>
        <w:tc>
          <w:tcPr>
            <w:tcW w:type="dxa" w:w="3173"/>
          </w:tcPr>
          <w:p>
            <w:r/>
            <w:r>
              <w:rPr>
                <w:rFonts w:ascii="Calibri" w:hAnsi="Calibri" w:cs="Calibri"/>
                <w:b/>
                <w:i w:val="0"/>
                <w:color w:val="1F2A24"/>
                <w:sz w:val="18"/>
              </w:rPr>
              <w:t>Flow</w:t>
            </w:r>
          </w:p>
        </w:tc>
        <w:tc>
          <w:tcPr>
            <w:tcW w:type="dxa" w:w="3173"/>
          </w:tcPr>
          <w:p>
            <w:r/>
            <w:r>
              <w:rPr>
                <w:rFonts w:ascii="Calibri" w:hAnsi="Calibri" w:cs="Calibri"/>
                <w:b/>
                <w:i w:val="0"/>
                <w:color w:val="1F2A24"/>
                <w:sz w:val="18"/>
              </w:rPr>
              <w:t>Factor</w:t>
            </w:r>
          </w:p>
        </w:tc>
        <w:tc>
          <w:tcPr>
            <w:tcW w:type="dxa" w:w="3173"/>
          </w:tcPr>
          <w:p>
            <w:r/>
            <w:r>
              <w:rPr>
                <w:rFonts w:ascii="Calibri" w:hAnsi="Calibri" w:cs="Calibri"/>
                <w:b/>
                <w:i w:val="0"/>
                <w:color w:val="1F2A24"/>
                <w:sz w:val="18"/>
              </w:rPr>
              <w:t>Role</w:t>
            </w:r>
          </w:p>
        </w:tc>
      </w:tr>
      <w:tr>
        <w:tc>
          <w:tcPr>
            <w:tcW w:type="dxa" w:w="3173"/>
          </w:tcPr>
          <w:p>
            <w:r/>
            <w:r>
              <w:rPr>
                <w:rFonts w:ascii="Calibri" w:hAnsi="Calibri" w:cs="Calibri"/>
                <w:b w:val="0"/>
                <w:i w:val="0"/>
                <w:color w:val="1F2A24"/>
                <w:sz w:val="18"/>
              </w:rPr>
              <w:t>CLT, process emissions</w:t>
            </w:r>
          </w:p>
        </w:tc>
        <w:tc>
          <w:tcPr>
            <w:tcW w:type="dxa" w:w="3173"/>
          </w:tcPr>
          <w:p>
            <w:r/>
            <w:r>
              <w:rPr>
                <w:rFonts w:ascii="Calibri" w:hAnsi="Calibri" w:cs="Calibri"/>
                <w:b w:val="0"/>
                <w:i w:val="0"/>
                <w:color w:val="1F2A24"/>
                <w:sz w:val="18"/>
              </w:rPr>
              <w:t>0.150 tCO₂/m³</w:t>
            </w:r>
          </w:p>
        </w:tc>
        <w:tc>
          <w:tcPr>
            <w:tcW w:type="dxa" w:w="3173"/>
          </w:tcPr>
          <w:p>
            <w:r/>
            <w:r>
              <w:rPr>
                <w:rFonts w:ascii="Calibri" w:hAnsi="Calibri" w:cs="Calibri"/>
                <w:b w:val="0"/>
                <w:i w:val="0"/>
                <w:color w:val="1F2A24"/>
                <w:sz w:val="18"/>
              </w:rPr>
              <w:t>A3, fossil</w:t>
            </w:r>
          </w:p>
        </w:tc>
      </w:tr>
      <w:tr>
        <w:tc>
          <w:tcPr>
            <w:tcW w:type="dxa" w:w="3173"/>
          </w:tcPr>
          <w:p>
            <w:r/>
            <w:r>
              <w:rPr>
                <w:rFonts w:ascii="Calibri" w:hAnsi="Calibri" w:cs="Calibri"/>
                <w:b w:val="0"/>
                <w:i w:val="0"/>
                <w:color w:val="1F2A24"/>
                <w:sz w:val="18"/>
              </w:rPr>
              <w:t>CLT, carbon storage</w:t>
            </w:r>
          </w:p>
        </w:tc>
        <w:tc>
          <w:tcPr>
            <w:tcW w:type="dxa" w:w="3173"/>
          </w:tcPr>
          <w:p>
            <w:r/>
            <w:r>
              <w:rPr>
                <w:rFonts w:ascii="Calibri" w:hAnsi="Calibri" w:cs="Calibri"/>
                <w:b w:val="0"/>
                <w:i w:val="0"/>
                <w:color w:val="1F2A24"/>
                <w:sz w:val="18"/>
              </w:rPr>
              <w:t>0.70 tCO₂/m³</w:t>
            </w:r>
          </w:p>
        </w:tc>
        <w:tc>
          <w:tcPr>
            <w:tcW w:type="dxa" w:w="3173"/>
          </w:tcPr>
          <w:p>
            <w:r/>
            <w:r>
              <w:rPr>
                <w:rFonts w:ascii="Calibri" w:hAnsi="Calibri" w:cs="Calibri"/>
                <w:b w:val="0"/>
                <w:i w:val="0"/>
                <w:color w:val="1F2A24"/>
                <w:sz w:val="18"/>
              </w:rPr>
              <w:t>Biogenic, separate</w:t>
            </w:r>
          </w:p>
        </w:tc>
      </w:tr>
      <w:tr>
        <w:tc>
          <w:tcPr>
            <w:tcW w:type="dxa" w:w="3173"/>
          </w:tcPr>
          <w:p>
            <w:r/>
            <w:r>
              <w:rPr>
                <w:rFonts w:ascii="Calibri" w:hAnsi="Calibri" w:cs="Calibri"/>
                <w:b w:val="0"/>
                <w:i w:val="0"/>
                <w:color w:val="1F2A24"/>
                <w:sz w:val="18"/>
              </w:rPr>
              <w:t>Glulam, process emissions</w:t>
            </w:r>
          </w:p>
        </w:tc>
        <w:tc>
          <w:tcPr>
            <w:tcW w:type="dxa" w:w="3173"/>
          </w:tcPr>
          <w:p>
            <w:r/>
            <w:r>
              <w:rPr>
                <w:rFonts w:ascii="Calibri" w:hAnsi="Calibri" w:cs="Calibri"/>
                <w:b w:val="0"/>
                <w:i w:val="0"/>
                <w:color w:val="1F2A24"/>
                <w:sz w:val="18"/>
              </w:rPr>
              <w:t>0.170 tCO₂/m³</w:t>
            </w:r>
          </w:p>
        </w:tc>
        <w:tc>
          <w:tcPr>
            <w:tcW w:type="dxa" w:w="3173"/>
          </w:tcPr>
          <w:p>
            <w:r/>
            <w:r>
              <w:rPr>
                <w:rFonts w:ascii="Calibri" w:hAnsi="Calibri" w:cs="Calibri"/>
                <w:b w:val="0"/>
                <w:i w:val="0"/>
                <w:color w:val="1F2A24"/>
                <w:sz w:val="18"/>
              </w:rPr>
              <w:t>A3, fossil</w:t>
            </w:r>
          </w:p>
        </w:tc>
      </w:tr>
      <w:tr>
        <w:tc>
          <w:tcPr>
            <w:tcW w:type="dxa" w:w="3173"/>
          </w:tcPr>
          <w:p>
            <w:r/>
            <w:r>
              <w:rPr>
                <w:rFonts w:ascii="Calibri" w:hAnsi="Calibri" w:cs="Calibri"/>
                <w:b w:val="0"/>
                <w:i w:val="0"/>
                <w:color w:val="1F2A24"/>
                <w:sz w:val="18"/>
              </w:rPr>
              <w:t>Glulam, carbon storage</w:t>
            </w:r>
          </w:p>
        </w:tc>
        <w:tc>
          <w:tcPr>
            <w:tcW w:type="dxa" w:w="3173"/>
          </w:tcPr>
          <w:p>
            <w:r/>
            <w:r>
              <w:rPr>
                <w:rFonts w:ascii="Calibri" w:hAnsi="Calibri" w:cs="Calibri"/>
                <w:b w:val="0"/>
                <w:i w:val="0"/>
                <w:color w:val="1F2A24"/>
                <w:sz w:val="18"/>
              </w:rPr>
              <w:t>0.70 tCO₂/m³</w:t>
            </w:r>
          </w:p>
        </w:tc>
        <w:tc>
          <w:tcPr>
            <w:tcW w:type="dxa" w:w="3173"/>
          </w:tcPr>
          <w:p>
            <w:r/>
            <w:r>
              <w:rPr>
                <w:rFonts w:ascii="Calibri" w:hAnsi="Calibri" w:cs="Calibri"/>
                <w:b w:val="0"/>
                <w:i w:val="0"/>
                <w:color w:val="1F2A24"/>
                <w:sz w:val="18"/>
              </w:rPr>
              <w:t>Biogenic, separate</w:t>
            </w:r>
          </w:p>
        </w:tc>
      </w:tr>
      <w:tr>
        <w:tc>
          <w:tcPr>
            <w:tcW w:type="dxa" w:w="3173"/>
          </w:tcPr>
          <w:p>
            <w:r/>
            <w:r>
              <w:rPr>
                <w:rFonts w:ascii="Calibri" w:hAnsi="Calibri" w:cs="Calibri"/>
                <w:b w:val="0"/>
                <w:i w:val="0"/>
                <w:color w:val="1F2A24"/>
                <w:sz w:val="18"/>
              </w:rPr>
              <w:t>Lumber, process emissions</w:t>
            </w:r>
          </w:p>
        </w:tc>
        <w:tc>
          <w:tcPr>
            <w:tcW w:type="dxa" w:w="3173"/>
          </w:tcPr>
          <w:p>
            <w:r/>
            <w:r>
              <w:rPr>
                <w:rFonts w:ascii="Calibri" w:hAnsi="Calibri" w:cs="Calibri"/>
                <w:b w:val="0"/>
                <w:i w:val="0"/>
                <w:color w:val="1F2A24"/>
                <w:sz w:val="18"/>
              </w:rPr>
              <w:t>0.065 tCO₂/m³</w:t>
            </w:r>
          </w:p>
        </w:tc>
        <w:tc>
          <w:tcPr>
            <w:tcW w:type="dxa" w:w="3173"/>
          </w:tcPr>
          <w:p>
            <w:r/>
            <w:r>
              <w:rPr>
                <w:rFonts w:ascii="Calibri" w:hAnsi="Calibri" w:cs="Calibri"/>
                <w:b w:val="0"/>
                <w:i w:val="0"/>
                <w:color w:val="1F2A24"/>
                <w:sz w:val="18"/>
              </w:rPr>
              <w:t>A3, primary</w:t>
            </w:r>
          </w:p>
        </w:tc>
      </w:tr>
      <w:tr>
        <w:tc>
          <w:tcPr>
            <w:tcW w:type="dxa" w:w="3173"/>
          </w:tcPr>
          <w:p>
            <w:r/>
            <w:r>
              <w:rPr>
                <w:rFonts w:ascii="Calibri" w:hAnsi="Calibri" w:cs="Calibri"/>
                <w:b w:val="0"/>
                <w:i w:val="0"/>
                <w:color w:val="1F2A24"/>
                <w:sz w:val="18"/>
              </w:rPr>
              <w:t>Lumber, carbon storage</w:t>
            </w:r>
          </w:p>
        </w:tc>
        <w:tc>
          <w:tcPr>
            <w:tcW w:type="dxa" w:w="3173"/>
          </w:tcPr>
          <w:p>
            <w:r/>
            <w:r>
              <w:rPr>
                <w:rFonts w:ascii="Calibri" w:hAnsi="Calibri" w:cs="Calibri"/>
                <w:b w:val="0"/>
                <w:i w:val="0"/>
                <w:color w:val="1F2A24"/>
                <w:sz w:val="18"/>
              </w:rPr>
              <w:t>0.40 tCO₂/m³</w:t>
            </w:r>
          </w:p>
        </w:tc>
        <w:tc>
          <w:tcPr>
            <w:tcW w:type="dxa" w:w="3173"/>
          </w:tcPr>
          <w:p>
            <w:r/>
            <w:r>
              <w:rPr>
                <w:rFonts w:ascii="Calibri" w:hAnsi="Calibri" w:cs="Calibri"/>
                <w:b w:val="0"/>
                <w:i w:val="0"/>
                <w:color w:val="1F2A24"/>
                <w:sz w:val="18"/>
              </w:rPr>
              <w:t>Biogenic, separate</w:t>
            </w:r>
          </w:p>
        </w:tc>
      </w:tr>
      <w:tr>
        <w:tc>
          <w:tcPr>
            <w:tcW w:type="dxa" w:w="3173"/>
          </w:tcPr>
          <w:p>
            <w:r/>
            <w:r>
              <w:rPr>
                <w:rFonts w:ascii="Calibri" w:hAnsi="Calibri" w:cs="Calibri"/>
                <w:b w:val="0"/>
                <w:i w:val="0"/>
                <w:color w:val="1F2A24"/>
                <w:sz w:val="18"/>
              </w:rPr>
              <w:t>Harvest</w:t>
            </w:r>
          </w:p>
        </w:tc>
        <w:tc>
          <w:tcPr>
            <w:tcW w:type="dxa" w:w="3173"/>
          </w:tcPr>
          <w:p>
            <w:r/>
            <w:r>
              <w:rPr>
                <w:rFonts w:ascii="Calibri" w:hAnsi="Calibri" w:cs="Calibri"/>
                <w:b w:val="0"/>
                <w:i w:val="0"/>
                <w:color w:val="1F2A24"/>
                <w:sz w:val="18"/>
              </w:rPr>
              <w:t>0.012 tCO₂/m³</w:t>
            </w:r>
          </w:p>
        </w:tc>
        <w:tc>
          <w:tcPr>
            <w:tcW w:type="dxa" w:w="3173"/>
          </w:tcPr>
          <w:p>
            <w:r/>
            <w:r>
              <w:rPr>
                <w:rFonts w:ascii="Calibri" w:hAnsi="Calibri" w:cs="Calibri"/>
                <w:b w:val="0"/>
                <w:i w:val="0"/>
                <w:color w:val="1F2A24"/>
                <w:sz w:val="18"/>
              </w:rPr>
              <w:t>A1, fossil</w:t>
            </w:r>
          </w:p>
        </w:tc>
      </w:tr>
      <w:tr>
        <w:tc>
          <w:tcPr>
            <w:tcW w:type="dxa" w:w="3173"/>
          </w:tcPr>
          <w:p>
            <w:r/>
            <w:r>
              <w:rPr>
                <w:rFonts w:ascii="Calibri" w:hAnsi="Calibri" w:cs="Calibri"/>
                <w:b w:val="0"/>
                <w:i w:val="0"/>
                <w:color w:val="1F2A24"/>
                <w:sz w:val="18"/>
              </w:rPr>
              <w:t>Freight</w:t>
            </w:r>
          </w:p>
        </w:tc>
        <w:tc>
          <w:tcPr>
            <w:tcW w:type="dxa" w:w="3173"/>
          </w:tcPr>
          <w:p>
            <w:r/>
            <w:r>
              <w:rPr>
                <w:rFonts w:ascii="Calibri" w:hAnsi="Calibri" w:cs="Calibri"/>
                <w:b w:val="0"/>
                <w:i w:val="0"/>
                <w:color w:val="1F2A24"/>
                <w:sz w:val="18"/>
              </w:rPr>
              <w:t>0.00005 tCO₂/m³·km</w:t>
            </w:r>
          </w:p>
        </w:tc>
        <w:tc>
          <w:tcPr>
            <w:tcW w:type="dxa" w:w="3173"/>
          </w:tcPr>
          <w:p>
            <w:r/>
            <w:r>
              <w:rPr>
                <w:rFonts w:ascii="Calibri" w:hAnsi="Calibri" w:cs="Calibri"/>
                <w:b w:val="0"/>
                <w:i w:val="0"/>
                <w:color w:val="1F2A24"/>
                <w:sz w:val="18"/>
              </w:rPr>
              <w:t>A2, A4</w:t>
            </w:r>
          </w:p>
        </w:tc>
      </w:tr>
      <w:tr>
        <w:tc>
          <w:tcPr>
            <w:tcW w:type="dxa" w:w="3173"/>
          </w:tcPr>
          <w:p>
            <w:r/>
            <w:r>
              <w:rPr>
                <w:rFonts w:ascii="Calibri" w:hAnsi="Calibri" w:cs="Calibri"/>
                <w:b w:val="0"/>
                <w:i w:val="0"/>
                <w:color w:val="1F2A24"/>
                <w:sz w:val="18"/>
              </w:rPr>
              <w:t>Bioheat displacing oil</w:t>
            </w:r>
          </w:p>
        </w:tc>
        <w:tc>
          <w:tcPr>
            <w:tcW w:type="dxa" w:w="3173"/>
          </w:tcPr>
          <w:p>
            <w:r/>
            <w:r>
              <w:rPr>
                <w:rFonts w:ascii="Calibri" w:hAnsi="Calibri" w:cs="Calibri"/>
                <w:b w:val="0"/>
                <w:i w:val="0"/>
                <w:color w:val="1F2A24"/>
                <w:sz w:val="18"/>
              </w:rPr>
              <w:t>1.23 tCO₂e/odt</w:t>
            </w:r>
          </w:p>
        </w:tc>
        <w:tc>
          <w:tcPr>
            <w:tcW w:type="dxa" w:w="3173"/>
          </w:tcPr>
          <w:p>
            <w:r/>
            <w:r>
              <w:rPr>
                <w:rFonts w:ascii="Calibri" w:hAnsi="Calibri" w:cs="Calibri"/>
                <w:b w:val="0"/>
                <w:i w:val="0"/>
                <w:color w:val="1F2A24"/>
                <w:sz w:val="18"/>
              </w:rPr>
              <w:t>Only substitution already counted</w:t>
            </w:r>
          </w:p>
        </w:tc>
      </w:tr>
    </w:tbl>
    <w:p/>
    <w:p>
      <w:pPr>
        <w:jc w:val="both"/>
      </w:pPr>
      <w:r>
        <w:rPr>
          <w:rFonts w:ascii="Calibri" w:hAnsi="Calibri" w:cs="Calibri"/>
          <w:b w:val="0"/>
          <w:i w:val="0"/>
          <w:color w:val="1F2A24"/>
          <w:sz w:val="22"/>
        </w:rPr>
        <w:t>Process and storage factors are the 2020 product parameters in the planning model. Harvest and freight factors and bioheat displacement are those used in the agent-based model.</w:t>
      </w:r>
    </w:p>
    <w:p>
      <w:pPr>
        <w:spacing w:before="160" w:after="40"/>
      </w:pPr>
      <w:r>
        <w:rPr>
          <w:rFonts w:ascii="Georgia" w:hAnsi="Georgia" w:cs="Georgia"/>
          <w:b/>
          <w:i/>
          <w:color w:val="1B4332"/>
          <w:sz w:val="23"/>
        </w:rPr>
        <w:t>4.6 Impact categories</w:t>
      </w:r>
    </w:p>
    <w:p>
      <w:pPr>
        <w:jc w:val="both"/>
      </w:pPr>
      <w:r>
        <w:rPr>
          <w:rFonts w:ascii="Calibri" w:hAnsi="Calibri" w:cs="Calibri"/>
          <w:b w:val="0"/>
          <w:i w:val="0"/>
          <w:color w:val="1F2A24"/>
          <w:sz w:val="22"/>
        </w:rPr>
        <w:t>The category required for the carbon question is global warming, split into fossil, biogenic and land-use change, over 100 years. Acidification, eutrophication, smog and particulate matter are listed for a later construction-product declaration under EN 15804 and are not evaluated here.</w:t>
      </w:r>
    </w:p>
    <w:p>
      <w:pPr>
        <w:spacing w:before="160" w:after="40"/>
      </w:pPr>
      <w:r>
        <w:rPr>
          <w:rFonts w:ascii="Georgia" w:hAnsi="Georgia" w:cs="Georgia"/>
          <w:b/>
          <w:i/>
          <w:color w:val="1B4332"/>
          <w:sz w:val="23"/>
        </w:rPr>
        <w:t>4.7 External data required before a score</w:t>
      </w:r>
    </w:p>
    <w:p>
      <w:pPr>
        <w:pStyle w:val="ListNumber"/>
      </w:pPr>
      <w:r>
        <w:rPr>
          <w:rFonts w:ascii="Calibri" w:hAnsi="Calibri" w:cs="Calibri"/>
          <w:b w:val="0"/>
          <w:i w:val="0"/>
          <w:color w:val="1F2A24"/>
          <w:sz w:val="22"/>
        </w:rPr>
        <w:t>Reference assemblies: Canadian EPD or equivalent bill of materials for concrete and steel bays of the same function (Module D).</w:t>
      </w:r>
    </w:p>
    <w:p>
      <w:pPr>
        <w:pStyle w:val="ListNumber"/>
      </w:pPr>
      <w:r>
        <w:rPr>
          <w:rFonts w:ascii="Calibri" w:hAnsi="Calibri" w:cs="Calibri"/>
          <w:b w:val="0"/>
          <w:i w:val="0"/>
          <w:color w:val="1F2A24"/>
          <w:sz w:val="22"/>
        </w:rPr>
        <w:t>Site works: crane, fixings, membranes, site waste for wood and reference bays (A5).</w:t>
      </w:r>
    </w:p>
    <w:p>
      <w:pPr>
        <w:pStyle w:val="ListNumber"/>
      </w:pPr>
      <w:r>
        <w:rPr>
          <w:rFonts w:ascii="Calibri" w:hAnsi="Calibri" w:cs="Calibri"/>
          <w:b w:val="0"/>
          <w:i w:val="0"/>
          <w:color w:val="1F2A24"/>
          <w:sz w:val="22"/>
        </w:rPr>
        <w:t>Use and end of life: replacements over 60 years and fate of wood at demolition (B, C).</w:t>
      </w:r>
    </w:p>
    <w:p>
      <w:pPr>
        <w:pStyle w:val="ListNumber"/>
      </w:pPr>
      <w:r>
        <w:rPr>
          <w:rFonts w:ascii="Calibri" w:hAnsi="Calibri" w:cs="Calibri"/>
          <w:b w:val="0"/>
          <w:i w:val="0"/>
          <w:color w:val="1F2A24"/>
          <w:sz w:val="22"/>
        </w:rPr>
        <w:t>Forest carbon: unit-level stock change from the extra harvest by softwood, poplar and hardwood, including regrowth.</w:t>
      </w:r>
    </w:p>
    <w:p>
      <w:pPr>
        <w:pStyle w:val="ListNumber"/>
      </w:pPr>
      <w:r>
        <w:rPr>
          <w:rFonts w:ascii="Calibri" w:hAnsi="Calibri" w:cs="Calibri"/>
          <w:b w:val="0"/>
          <w:i w:val="0"/>
          <w:color w:val="1F2A24"/>
          <w:sz w:val="22"/>
        </w:rPr>
        <w:t>Adhesives and connectors: resin mass and steel in plates and screws inside A3.</w:t>
      </w:r>
    </w:p>
    <w:p>
      <w:pPr>
        <w:pStyle w:val="ListNumber"/>
      </w:pPr>
      <w:r>
        <w:rPr>
          <w:rFonts w:ascii="Calibri" w:hAnsi="Calibri" w:cs="Calibri"/>
          <w:b w:val="0"/>
          <w:i w:val="0"/>
          <w:color w:val="1F2A24"/>
          <w:sz w:val="22"/>
        </w:rPr>
        <w:t>Timing of each emission and storage flow (no carbon discount rate is applied in this assessment).</w:t>
      </w:r>
    </w:p>
    <w:p>
      <w:pPr>
        <w:spacing w:before="240" w:after="80"/>
      </w:pPr>
      <w:r>
        <w:rPr>
          <w:rFonts w:ascii="Georgia" w:hAnsi="Georgia" w:cs="Georgia"/>
          <w:b/>
          <w:i w:val="0"/>
          <w:color w:val="1B4332"/>
          <w:sz w:val="26"/>
        </w:rPr>
        <w:t>5. Economic impact method</w:t>
      </w:r>
    </w:p>
    <w:p>
      <w:pPr>
        <w:spacing w:before="160" w:after="40"/>
      </w:pPr>
      <w:r>
        <w:rPr>
          <w:rFonts w:ascii="Georgia" w:hAnsi="Georgia" w:cs="Georgia"/>
          <w:b/>
          <w:i/>
          <w:color w:val="1B4332"/>
          <w:sz w:val="23"/>
        </w:rPr>
        <w:t>5.1 Direct effects</w:t>
      </w:r>
    </w:p>
    <w:p>
      <w:pPr>
        <w:jc w:val="both"/>
      </w:pPr>
      <w:r>
        <w:rPr>
          <w:rFonts w:ascii="Calibri" w:hAnsi="Calibri" w:cs="Calibri"/>
          <w:b w:val="0"/>
          <w:i w:val="0"/>
          <w:color w:val="1F2A24"/>
          <w:sz w:val="22"/>
        </w:rPr>
        <w:t>Direct effects are the jobs, Indigenous community income and public cost that arise in the six units and in the plants the strategies allow. They are carried forward from the utilization study (provincial means, base demand, 50 seeds). Income is a present value at 4% per year. Jobs are full-time equivalents late in the horizon, excluding the Greater Toronto Area. Public cost is the undiscounted sum of capital grants and capacity-building programme payments. The job total is net of incumbent exits produced by the agent model.</w:t>
      </w:r>
    </w:p>
    <w:p>
      <w:pPr>
        <w:jc w:val="both"/>
      </w:pPr>
      <w:r>
        <w:rPr>
          <w:rFonts w:ascii="Calibri" w:hAnsi="Calibri" w:cs="Calibri"/>
          <w:b w:val="0"/>
          <w:i w:val="0"/>
          <w:color w:val="1F2A24"/>
          <w:sz w:val="22"/>
        </w:rPr>
        <w:t>Indigenous income comprises wages of Indigenous workers (with stated local-hiring shares), margins of Indigenous-owned contractors, and the equity share of plant profits after capital charges. Equity losses are counted.</w:t>
      </w:r>
    </w:p>
    <w:p>
      <w:pPr>
        <w:spacing w:before="160" w:after="40"/>
      </w:pPr>
      <w:r>
        <w:rPr>
          <w:rFonts w:ascii="Georgia" w:hAnsi="Georgia" w:cs="Georgia"/>
          <w:b/>
          <w:i/>
          <w:color w:val="1B4332"/>
          <w:sz w:val="23"/>
        </w:rPr>
        <w:t>5.2 Accounts specified and not estimated</w:t>
      </w:r>
    </w:p>
    <w:tbl>
      <w:tblPr>
        <w:tblStyle w:val="TableGrid"/>
        <w:tblW w:type="auto" w:w="0"/>
        <w:tblLook w:firstColumn="1" w:firstRow="1" w:lastColumn="0" w:lastRow="0" w:noHBand="0" w:noVBand="1" w:val="04A0"/>
      </w:tblPr>
      <w:tblGrid>
        <w:gridCol w:w="4759"/>
        <w:gridCol w:w="4759"/>
      </w:tblGrid>
      <w:tr>
        <w:tc>
          <w:tcPr>
            <w:tcW w:type="dxa" w:w="4759"/>
          </w:tcPr>
          <w:p>
            <w:r/>
            <w:r>
              <w:rPr>
                <w:rFonts w:ascii="Calibri" w:hAnsi="Calibri" w:cs="Calibri"/>
                <w:b/>
                <w:i w:val="0"/>
                <w:color w:val="1F2A24"/>
                <w:sz w:val="18"/>
              </w:rPr>
              <w:t>Channel</w:t>
            </w:r>
          </w:p>
        </w:tc>
        <w:tc>
          <w:tcPr>
            <w:tcW w:type="dxa" w:w="4759"/>
          </w:tcPr>
          <w:p>
            <w:r/>
            <w:r>
              <w:rPr>
                <w:rFonts w:ascii="Calibri" w:hAnsi="Calibri" w:cs="Calibri"/>
                <w:b/>
                <w:i w:val="0"/>
                <w:color w:val="1F2A24"/>
                <w:sz w:val="18"/>
              </w:rPr>
              <w:t>Status</w:t>
            </w:r>
          </w:p>
        </w:tc>
      </w:tr>
      <w:tr>
        <w:tc>
          <w:tcPr>
            <w:tcW w:type="dxa" w:w="4759"/>
          </w:tcPr>
          <w:p>
            <w:r/>
            <w:r>
              <w:rPr>
                <w:rFonts w:ascii="Calibri" w:hAnsi="Calibri" w:cs="Calibri"/>
                <w:b w:val="0"/>
                <w:i w:val="0"/>
                <w:color w:val="1F2A24"/>
                <w:sz w:val="18"/>
              </w:rPr>
              <w:t>Direct output (harvest, products, residues)</w:t>
            </w:r>
          </w:p>
        </w:tc>
        <w:tc>
          <w:tcPr>
            <w:tcW w:type="dxa" w:w="4759"/>
          </w:tcPr>
          <w:p>
            <w:r/>
            <w:r>
              <w:rPr>
                <w:rFonts w:ascii="Calibri" w:hAnsi="Calibri" w:cs="Calibri"/>
                <w:b w:val="0"/>
                <w:i w:val="0"/>
                <w:color w:val="1F2A24"/>
                <w:sz w:val="18"/>
              </w:rPr>
              <w:t>Activity data held; not valued as GDP</w:t>
            </w:r>
          </w:p>
        </w:tc>
      </w:tr>
      <w:tr>
        <w:tc>
          <w:tcPr>
            <w:tcW w:type="dxa" w:w="4759"/>
          </w:tcPr>
          <w:p>
            <w:r/>
            <w:r>
              <w:rPr>
                <w:rFonts w:ascii="Calibri" w:hAnsi="Calibri" w:cs="Calibri"/>
                <w:b w:val="0"/>
                <w:i w:val="0"/>
                <w:color w:val="1F2A24"/>
                <w:sz w:val="18"/>
              </w:rPr>
              <w:t>Direct jobs and income</w:t>
            </w:r>
          </w:p>
        </w:tc>
        <w:tc>
          <w:tcPr>
            <w:tcW w:type="dxa" w:w="4759"/>
          </w:tcPr>
          <w:p>
            <w:r/>
            <w:r>
              <w:rPr>
                <w:rFonts w:ascii="Calibri" w:hAnsi="Calibri" w:cs="Calibri"/>
                <w:b w:val="0"/>
                <w:i w:val="0"/>
                <w:color w:val="1F2A24"/>
                <w:sz w:val="18"/>
              </w:rPr>
              <w:t>Quantified</w:t>
            </w:r>
          </w:p>
        </w:tc>
      </w:tr>
      <w:tr>
        <w:tc>
          <w:tcPr>
            <w:tcW w:type="dxa" w:w="4759"/>
          </w:tcPr>
          <w:p>
            <w:r/>
            <w:r>
              <w:rPr>
                <w:rFonts w:ascii="Calibri" w:hAnsi="Calibri" w:cs="Calibri"/>
                <w:b w:val="0"/>
                <w:i w:val="0"/>
                <w:color w:val="1F2A24"/>
                <w:sz w:val="18"/>
              </w:rPr>
              <w:t>Direct public cost</w:t>
            </w:r>
          </w:p>
        </w:tc>
        <w:tc>
          <w:tcPr>
            <w:tcW w:type="dxa" w:w="4759"/>
          </w:tcPr>
          <w:p>
            <w:r/>
            <w:r>
              <w:rPr>
                <w:rFonts w:ascii="Calibri" w:hAnsi="Calibri" w:cs="Calibri"/>
                <w:b w:val="0"/>
                <w:i w:val="0"/>
                <w:color w:val="1F2A24"/>
                <w:sz w:val="18"/>
              </w:rPr>
              <w:t>Quantified</w:t>
            </w:r>
          </w:p>
        </w:tc>
      </w:tr>
      <w:tr>
        <w:tc>
          <w:tcPr>
            <w:tcW w:type="dxa" w:w="4759"/>
          </w:tcPr>
          <w:p>
            <w:r/>
            <w:r>
              <w:rPr>
                <w:rFonts w:ascii="Calibri" w:hAnsi="Calibri" w:cs="Calibri"/>
                <w:b w:val="0"/>
                <w:i w:val="0"/>
                <w:color w:val="1F2A24"/>
                <w:sz w:val="18"/>
              </w:rPr>
              <w:t>Indirect (supplying industries)</w:t>
            </w:r>
          </w:p>
        </w:tc>
        <w:tc>
          <w:tcPr>
            <w:tcW w:type="dxa" w:w="4759"/>
          </w:tcPr>
          <w:p>
            <w:r/>
            <w:r>
              <w:rPr>
                <w:rFonts w:ascii="Calibri" w:hAnsi="Calibri" w:cs="Calibri"/>
                <w:b w:val="0"/>
                <w:i w:val="0"/>
                <w:color w:val="1F2A24"/>
                <w:sz w:val="18"/>
              </w:rPr>
              <w:t>Not estimated</w:t>
            </w:r>
          </w:p>
        </w:tc>
      </w:tr>
      <w:tr>
        <w:tc>
          <w:tcPr>
            <w:tcW w:type="dxa" w:w="4759"/>
          </w:tcPr>
          <w:p>
            <w:r/>
            <w:r>
              <w:rPr>
                <w:rFonts w:ascii="Calibri" w:hAnsi="Calibri" w:cs="Calibri"/>
                <w:b w:val="0"/>
                <w:i w:val="0"/>
                <w:color w:val="1F2A24"/>
                <w:sz w:val="18"/>
              </w:rPr>
              <w:t>Induced (household spending)</w:t>
            </w:r>
          </w:p>
        </w:tc>
        <w:tc>
          <w:tcPr>
            <w:tcW w:type="dxa" w:w="4759"/>
          </w:tcPr>
          <w:p>
            <w:r/>
            <w:r>
              <w:rPr>
                <w:rFonts w:ascii="Calibri" w:hAnsi="Calibri" w:cs="Calibri"/>
                <w:b w:val="0"/>
                <w:i w:val="0"/>
                <w:color w:val="1F2A24"/>
                <w:sz w:val="18"/>
              </w:rPr>
              <w:t>Not estimated</w:t>
            </w:r>
          </w:p>
        </w:tc>
      </w:tr>
      <w:tr>
        <w:tc>
          <w:tcPr>
            <w:tcW w:type="dxa" w:w="4759"/>
          </w:tcPr>
          <w:p>
            <w:r/>
            <w:r>
              <w:rPr>
                <w:rFonts w:ascii="Calibri" w:hAnsi="Calibri" w:cs="Calibri"/>
                <w:b w:val="0"/>
                <w:i w:val="0"/>
                <w:color w:val="1F2A24"/>
                <w:sz w:val="18"/>
              </w:rPr>
              <w:t>Tax</w:t>
            </w:r>
          </w:p>
        </w:tc>
        <w:tc>
          <w:tcPr>
            <w:tcW w:type="dxa" w:w="4759"/>
          </w:tcPr>
          <w:p>
            <w:r/>
            <w:r>
              <w:rPr>
                <w:rFonts w:ascii="Calibri" w:hAnsi="Calibri" w:cs="Calibri"/>
                <w:b w:val="0"/>
                <w:i w:val="0"/>
                <w:color w:val="1F2A24"/>
                <w:sz w:val="18"/>
              </w:rPr>
              <w:t>Not estimated</w:t>
            </w:r>
          </w:p>
        </w:tc>
      </w:tr>
      <w:tr>
        <w:tc>
          <w:tcPr>
            <w:tcW w:type="dxa" w:w="4759"/>
          </w:tcPr>
          <w:p>
            <w:r/>
            <w:r>
              <w:rPr>
                <w:rFonts w:ascii="Calibri" w:hAnsi="Calibri" w:cs="Calibri"/>
                <w:b w:val="0"/>
                <w:i w:val="0"/>
                <w:color w:val="1F2A24"/>
                <w:sz w:val="18"/>
              </w:rPr>
              <w:t>Distribution (Indigenous share of direct income)</w:t>
            </w:r>
          </w:p>
        </w:tc>
        <w:tc>
          <w:tcPr>
            <w:tcW w:type="dxa" w:w="4759"/>
          </w:tcPr>
          <w:p>
            <w:r/>
            <w:r>
              <w:rPr>
                <w:rFonts w:ascii="Calibri" w:hAnsi="Calibri" w:cs="Calibri"/>
                <w:b w:val="0"/>
                <w:i w:val="0"/>
                <w:color w:val="1F2A24"/>
                <w:sz w:val="18"/>
              </w:rPr>
              <w:t>Quantified for Indigenous income</w:t>
            </w:r>
          </w:p>
        </w:tc>
      </w:tr>
    </w:tbl>
    <w:p/>
    <w:p>
      <w:pPr>
        <w:spacing w:before="160" w:after="40"/>
      </w:pPr>
      <w:r>
        <w:rPr>
          <w:rFonts w:ascii="Georgia" w:hAnsi="Georgia" w:cs="Georgia"/>
          <w:b/>
          <w:i/>
          <w:color w:val="1B4332"/>
          <w:sz w:val="23"/>
        </w:rPr>
        <w:t>5.3 Multiplier sequence (for a later estimate)</w:t>
      </w:r>
    </w:p>
    <w:p>
      <w:pPr>
        <w:jc w:val="both"/>
      </w:pPr>
      <w:r>
        <w:rPr>
          <w:rFonts w:ascii="Calibri" w:hAnsi="Calibri" w:cs="Calibri"/>
          <w:b w:val="0"/>
          <w:i w:val="0"/>
          <w:color w:val="1F2A24"/>
          <w:sz w:val="22"/>
        </w:rPr>
        <w:t>When a Statistics Canada supply-use table is available:</w:t>
      </w:r>
    </w:p>
    <w:p>
      <w:pPr>
        <w:pStyle w:val="ListNumber"/>
      </w:pPr>
      <w:r>
        <w:rPr>
          <w:rFonts w:ascii="Calibri" w:hAnsi="Calibri" w:cs="Calibri"/>
          <w:b w:val="0"/>
          <w:i w:val="0"/>
          <w:color w:val="1F2A24"/>
          <w:sz w:val="22"/>
        </w:rPr>
        <w:t>Classify each new plant as hub, spoke, bioheat or pellet.</w:t>
      </w:r>
    </w:p>
    <w:p>
      <w:pPr>
        <w:pStyle w:val="ListNumber"/>
      </w:pPr>
      <w:r>
        <w:rPr>
          <w:rFonts w:ascii="Calibri" w:hAnsi="Calibri" w:cs="Calibri"/>
          <w:b w:val="0"/>
          <w:i w:val="0"/>
          <w:color w:val="1F2A24"/>
          <w:sz w:val="22"/>
        </w:rPr>
        <w:t>Take purchases from the cost structure used in the investment decision (logs, energy, freight, non-wood capital).</w:t>
      </w:r>
    </w:p>
    <w:p>
      <w:pPr>
        <w:pStyle w:val="ListNumber"/>
      </w:pPr>
      <w:r>
        <w:rPr>
          <w:rFonts w:ascii="Calibri" w:hAnsi="Calibri" w:cs="Calibri"/>
          <w:b w:val="0"/>
          <w:i w:val="0"/>
          <w:color w:val="1F2A24"/>
          <w:sz w:val="22"/>
        </w:rPr>
        <w:t>Map purchases onto supply-use industries.</w:t>
      </w:r>
    </w:p>
    <w:p>
      <w:pPr>
        <w:pStyle w:val="ListNumber"/>
      </w:pPr>
      <w:r>
        <w:rPr>
          <w:rFonts w:ascii="Calibri" w:hAnsi="Calibri" w:cs="Calibri"/>
          <w:b w:val="0"/>
          <w:i w:val="0"/>
          <w:color w:val="1F2A24"/>
          <w:sz w:val="22"/>
        </w:rPr>
        <w:t>Apply open-model multipliers for indirect effects; closed-model multipliers only for the induced column; report the two columns separately.</w:t>
      </w:r>
    </w:p>
    <w:p>
      <w:pPr>
        <w:pStyle w:val="ListNumber"/>
      </w:pPr>
      <w:r>
        <w:rPr>
          <w:rFonts w:ascii="Calibri" w:hAnsi="Calibri" w:cs="Calibri"/>
          <w:b w:val="0"/>
          <w:i w:val="0"/>
          <w:color w:val="1F2A24"/>
          <w:sz w:val="22"/>
        </w:rPr>
        <w:t>Subtract public cost after the gross effects. Do not multiply grants by an employment factor.</w:t>
      </w:r>
    </w:p>
    <w:p>
      <w:pPr>
        <w:pStyle w:val="ListNumber"/>
      </w:pPr>
      <w:r>
        <w:rPr>
          <w:rFonts w:ascii="Calibri" w:hAnsi="Calibri" w:cs="Calibri"/>
          <w:b w:val="0"/>
          <w:i w:val="0"/>
          <w:color w:val="1F2A24"/>
          <w:sz w:val="22"/>
        </w:rPr>
        <w:t>Treat imports (resin, connectors, non-Ontario machinery) as leakage out of the Ontario indirect column.</w:t>
      </w:r>
    </w:p>
    <w:p>
      <w:pPr>
        <w:jc w:val="both"/>
      </w:pPr>
      <w:r>
        <w:rPr>
          <w:rFonts w:ascii="Calibri" w:hAnsi="Calibri" w:cs="Calibri"/>
          <w:b w:val="0"/>
          <w:i w:val="0"/>
          <w:color w:val="1F2A24"/>
          <w:sz w:val="22"/>
        </w:rPr>
        <w:t>The industry list is forestry and logging, sawmilling, engineered-wood manufacture, construction, and truck and rail transport. Resin and connector manufacture belongs in the indirect column, not in the direct forest account.</w:t>
      </w:r>
    </w:p>
    <w:p>
      <w:pPr>
        <w:spacing w:before="240" w:after="80"/>
      </w:pPr>
      <w:r>
        <w:rPr>
          <w:rFonts w:ascii="Georgia" w:hAnsi="Georgia" w:cs="Georgia"/>
          <w:b/>
          <w:i w:val="0"/>
          <w:color w:val="1B4332"/>
          <w:sz w:val="26"/>
        </w:rPr>
        <w:t>6. Data sources</w:t>
      </w:r>
    </w:p>
    <w:tbl>
      <w:tblPr>
        <w:tblStyle w:val="TableGrid"/>
        <w:tblW w:type="auto" w:w="0"/>
        <w:tblLook w:firstColumn="1" w:firstRow="1" w:lastColumn="0" w:lastRow="0" w:noHBand="0" w:noVBand="1" w:val="04A0"/>
      </w:tblPr>
      <w:tblGrid>
        <w:gridCol w:w="4759"/>
        <w:gridCol w:w="4759"/>
      </w:tblGrid>
      <w:tr>
        <w:tc>
          <w:tcPr>
            <w:tcW w:type="dxa" w:w="4759"/>
          </w:tcPr>
          <w:p>
            <w:r/>
            <w:r>
              <w:rPr>
                <w:rFonts w:ascii="Calibri" w:hAnsi="Calibri" w:cs="Calibri"/>
                <w:b/>
                <w:i w:val="0"/>
                <w:color w:val="1F2A24"/>
                <w:sz w:val="18"/>
              </w:rPr>
              <w:t>Dataset</w:t>
            </w:r>
          </w:p>
        </w:tc>
        <w:tc>
          <w:tcPr>
            <w:tcW w:type="dxa" w:w="4759"/>
          </w:tcPr>
          <w:p>
            <w:r/>
            <w:r>
              <w:rPr>
                <w:rFonts w:ascii="Calibri" w:hAnsi="Calibri" w:cs="Calibri"/>
                <w:b/>
                <w:i w:val="0"/>
                <w:color w:val="1F2A24"/>
                <w:sz w:val="18"/>
              </w:rPr>
              <w:t>Use in this assessment</w:t>
            </w:r>
          </w:p>
        </w:tc>
      </w:tr>
      <w:tr>
        <w:tc>
          <w:tcPr>
            <w:tcW w:type="dxa" w:w="4759"/>
          </w:tcPr>
          <w:p>
            <w:r/>
            <w:r>
              <w:rPr>
                <w:rFonts w:ascii="Calibri" w:hAnsi="Calibri" w:cs="Calibri"/>
                <w:b w:val="0"/>
                <w:i w:val="0"/>
                <w:color w:val="1F2A24"/>
                <w:sz w:val="18"/>
              </w:rPr>
              <w:t>ARWoodS (Ontario MNR, FY2019–2024 means)</w:t>
            </w:r>
          </w:p>
        </w:tc>
        <w:tc>
          <w:tcPr>
            <w:tcW w:type="dxa" w:w="4759"/>
          </w:tcPr>
          <w:p>
            <w:r/>
            <w:r>
              <w:rPr>
                <w:rFonts w:ascii="Calibri" w:hAnsi="Calibri" w:cs="Calibri"/>
                <w:b w:val="0"/>
                <w:i w:val="0"/>
                <w:color w:val="1F2A24"/>
                <w:sz w:val="18"/>
              </w:rPr>
              <w:t>Long-term managed volume and recent harvest used to calibrate the agent model and to set activity levels</w:t>
            </w:r>
          </w:p>
        </w:tc>
      </w:tr>
      <w:tr>
        <w:tc>
          <w:tcPr>
            <w:tcW w:type="dxa" w:w="4759"/>
          </w:tcPr>
          <w:p>
            <w:r/>
            <w:r>
              <w:rPr>
                <w:rFonts w:ascii="Calibri" w:hAnsi="Calibri" w:cs="Calibri"/>
                <w:b w:val="0"/>
                <w:i w:val="0"/>
                <w:color w:val="1F2A24"/>
                <w:sz w:val="18"/>
              </w:rPr>
              <w:t>eFAR (Ontario MNR, Sept 2024 release)</w:t>
            </w:r>
          </w:p>
        </w:tc>
        <w:tc>
          <w:tcPr>
            <w:tcW w:type="dxa" w:w="4759"/>
          </w:tcPr>
          <w:p>
            <w:r/>
            <w:r>
              <w:rPr>
                <w:rFonts w:ascii="Calibri" w:hAnsi="Calibri" w:cs="Calibri"/>
                <w:b w:val="0"/>
                <w:i w:val="0"/>
                <w:color w:val="1F2A24"/>
                <w:sz w:val="18"/>
              </w:rPr>
              <w:t>Mill and woodlands employment intensities; wood flows</w:t>
            </w:r>
          </w:p>
        </w:tc>
      </w:tr>
      <w:tr>
        <w:tc>
          <w:tcPr>
            <w:tcW w:type="dxa" w:w="4759"/>
          </w:tcPr>
          <w:p>
            <w:r/>
            <w:r>
              <w:rPr>
                <w:rFonts w:ascii="Calibri" w:hAnsi="Calibri" w:cs="Calibri"/>
                <w:b w:val="0"/>
                <w:i w:val="0"/>
                <w:color w:val="1F2A24"/>
                <w:sz w:val="18"/>
              </w:rPr>
              <w:t>Planning model product parameters (2020)</w:t>
            </w:r>
          </w:p>
        </w:tc>
        <w:tc>
          <w:tcPr>
            <w:tcW w:type="dxa" w:w="4759"/>
          </w:tcPr>
          <w:p>
            <w:r/>
            <w:r>
              <w:rPr>
                <w:rFonts w:ascii="Calibri" w:hAnsi="Calibri" w:cs="Calibri"/>
                <w:b w:val="0"/>
                <w:i w:val="0"/>
                <w:color w:val="1F2A24"/>
                <w:sz w:val="18"/>
              </w:rPr>
              <w:t>Process emissions and biogenic storage for lumber, CLT, glulam</w:t>
            </w:r>
          </w:p>
        </w:tc>
      </w:tr>
      <w:tr>
        <w:tc>
          <w:tcPr>
            <w:tcW w:type="dxa" w:w="4759"/>
          </w:tcPr>
          <w:p>
            <w:r/>
            <w:r>
              <w:rPr>
                <w:rFonts w:ascii="Calibri" w:hAnsi="Calibri" w:cs="Calibri"/>
                <w:b w:val="0"/>
                <w:i w:val="0"/>
                <w:color w:val="1F2A24"/>
                <w:sz w:val="18"/>
              </w:rPr>
              <w:t>Agent model parameters</w:t>
            </w:r>
          </w:p>
        </w:tc>
        <w:tc>
          <w:tcPr>
            <w:tcW w:type="dxa" w:w="4759"/>
          </w:tcPr>
          <w:p>
            <w:r/>
            <w:r>
              <w:rPr>
                <w:rFonts w:ascii="Calibri" w:hAnsi="Calibri" w:cs="Calibri"/>
                <w:b w:val="0"/>
                <w:i w:val="0"/>
                <w:color w:val="1F2A24"/>
                <w:sz w:val="18"/>
              </w:rPr>
              <w:t>Harvest and freight emission factors; bioheat displacement; grant rates; ownership shares</w:t>
            </w:r>
          </w:p>
        </w:tc>
      </w:tr>
      <w:tr>
        <w:tc>
          <w:tcPr>
            <w:tcW w:type="dxa" w:w="4759"/>
          </w:tcPr>
          <w:p>
            <w:r/>
            <w:r>
              <w:rPr>
                <w:rFonts w:ascii="Calibri" w:hAnsi="Calibri" w:cs="Calibri"/>
                <w:b w:val="0"/>
                <w:i w:val="0"/>
                <w:color w:val="1F2A24"/>
                <w:sz w:val="18"/>
              </w:rPr>
              <w:t>Utilization study provincial means</w:t>
            </w:r>
          </w:p>
        </w:tc>
        <w:tc>
          <w:tcPr>
            <w:tcW w:type="dxa" w:w="4759"/>
          </w:tcPr>
          <w:p>
            <w:r/>
            <w:r>
              <w:rPr>
                <w:rFonts w:ascii="Calibri" w:hAnsi="Calibri" w:cs="Calibri"/>
                <w:b w:val="0"/>
                <w:i w:val="0"/>
                <w:color w:val="1F2A24"/>
                <w:sz w:val="18"/>
              </w:rPr>
              <w:t>Direct jobs, Indigenous income, public cost, utilization, cumulative harvest</w:t>
            </w:r>
          </w:p>
        </w:tc>
      </w:tr>
      <w:tr>
        <w:tc>
          <w:tcPr>
            <w:tcW w:type="dxa" w:w="4759"/>
          </w:tcPr>
          <w:p>
            <w:r/>
            <w:r>
              <w:rPr>
                <w:rFonts w:ascii="Calibri" w:hAnsi="Calibri" w:cs="Calibri"/>
                <w:b w:val="0"/>
                <w:i w:val="0"/>
                <w:color w:val="1F2A24"/>
                <w:sz w:val="18"/>
              </w:rPr>
              <w:t>ISO / EN / ISO construction-product rules</w:t>
            </w:r>
          </w:p>
        </w:tc>
        <w:tc>
          <w:tcPr>
            <w:tcW w:type="dxa" w:w="4759"/>
          </w:tcPr>
          <w:p>
            <w:r/>
            <w:r>
              <w:rPr>
                <w:rFonts w:ascii="Calibri" w:hAnsi="Calibri" w:cs="Calibri"/>
                <w:b w:val="0"/>
                <w:i w:val="0"/>
                <w:color w:val="1F2A24"/>
                <w:sz w:val="18"/>
              </w:rPr>
              <w:t>Goal–scope structure and modular boundary</w:t>
            </w:r>
          </w:p>
        </w:tc>
      </w:tr>
    </w:tbl>
    <w:p/>
    <w:p>
      <w:pPr>
        <w:jc w:val="both"/>
      </w:pPr>
      <w:r>
        <w:rPr>
          <w:rFonts w:ascii="Calibri" w:hAnsi="Calibri" w:cs="Calibri"/>
          <w:b w:val="0"/>
          <w:i w:val="0"/>
          <w:color w:val="1F2A24"/>
          <w:sz w:val="22"/>
        </w:rPr>
        <w:t>Raw ARWoodS and eFAR extracts and Forest Resources Inventory geodatabases are not redistributed. Derived calibration tables and summary results are in the public repository.</w:t>
      </w:r>
    </w:p>
    <w:p>
      <w:pPr>
        <w:spacing w:before="240" w:after="80"/>
      </w:pPr>
      <w:r>
        <w:rPr>
          <w:rFonts w:ascii="Georgia" w:hAnsi="Georgia" w:cs="Georgia"/>
          <w:b/>
          <w:i w:val="0"/>
          <w:color w:val="1B4332"/>
          <w:sz w:val="26"/>
        </w:rPr>
        <w:t>7. Software and reproduction</w:t>
      </w:r>
    </w:p>
    <w:p>
      <w:pPr>
        <w:pStyle w:val="ListBullet"/>
      </w:pPr>
      <w:r>
        <w:rPr>
          <w:rFonts w:ascii="Calibri" w:hAnsi="Calibri" w:cs="Calibri"/>
          <w:b w:val="0"/>
          <w:i w:val="0"/>
          <w:color w:val="1F2A24"/>
          <w:sz w:val="22"/>
        </w:rPr>
        <w:t>Planning model: GAMS (`FORBIOM_ON.gms`, `SA15.gms`).</w:t>
      </w:r>
    </w:p>
    <w:p>
      <w:pPr>
        <w:pStyle w:val="ListBullet"/>
      </w:pPr>
      <w:r>
        <w:rPr>
          <w:rFonts w:ascii="Calibri" w:hAnsi="Calibri" w:cs="Calibri"/>
          <w:b w:val="0"/>
          <w:i w:val="0"/>
          <w:color w:val="1F2A24"/>
          <w:sz w:val="22"/>
        </w:rPr>
        <w:t>Agent-based model: Python 3.11 (`abm.py`, `calibrate.py`, `experiments.py`, `analysis.py`).</w:t>
      </w:r>
    </w:p>
    <w:p>
      <w:pPr>
        <w:pStyle w:val="ListBullet"/>
      </w:pPr>
      <w:r>
        <w:rPr>
          <w:rFonts w:ascii="Calibri" w:hAnsi="Calibri" w:cs="Calibri"/>
          <w:b w:val="0"/>
          <w:i w:val="0"/>
          <w:color w:val="1F2A24"/>
          <w:sz w:val="22"/>
        </w:rPr>
        <w:t>Assessment report: `scripts/build_lca_econ_report_docx.py` (python-docx).</w:t>
      </w:r>
    </w:p>
    <w:p>
      <w:pPr>
        <w:pStyle w:val="ListBullet"/>
      </w:pPr>
      <w:r>
        <w:rPr>
          <w:rFonts w:ascii="Calibri" w:hAnsi="Calibri" w:cs="Calibri"/>
          <w:b w:val="0"/>
          <w:i w:val="0"/>
          <w:color w:val="1F2A24"/>
          <w:sz w:val="22"/>
        </w:rPr>
        <w:t>This methods note: `docs/LCA_Economic_Impact_Methods_and_Data.md`.</w:t>
      </w:r>
    </w:p>
    <w:p>
      <w:pPr>
        <w:jc w:val="both"/>
      </w:pPr>
      <w:r>
        <w:rPr>
          <w:rFonts w:ascii="Calibri" w:hAnsi="Calibri" w:cs="Calibri"/>
          <w:b w:val="0"/>
          <w:i w:val="0"/>
          <w:color w:val="1F2A24"/>
          <w:sz w:val="22"/>
        </w:rPr>
        <w:t xml:space="preserve">Public package: </w:t>
      </w:r>
      <w:r>
        <w:rPr>
          <w:rFonts w:ascii="Calibri" w:hAnsi="Calibri" w:cs="Calibri"/>
          <w:b w:val="0"/>
          <w:i/>
          <w:color w:val="2D6A4F"/>
          <w:sz w:val="22"/>
        </w:rPr>
        <w:t>https://github.com/yassirelfahli/forbiom-on</w:t>
      </w:r>
    </w:p>
    <w:p>
      <w:pPr>
        <w:spacing w:before="240" w:after="80"/>
      </w:pPr>
      <w:r>
        <w:rPr>
          <w:rFonts w:ascii="Georgia" w:hAnsi="Georgia" w:cs="Georgia"/>
          <w:b/>
          <w:i w:val="0"/>
          <w:color w:val="1B4332"/>
          <w:sz w:val="26"/>
        </w:rPr>
        <w:t>8. Limits</w:t>
      </w:r>
    </w:p>
    <w:p>
      <w:pPr>
        <w:pStyle w:val="ListBullet"/>
      </w:pPr>
      <w:r>
        <w:rPr>
          <w:rFonts w:ascii="Calibri" w:hAnsi="Calibri" w:cs="Calibri"/>
          <w:b w:val="0"/>
          <w:i w:val="0"/>
          <w:color w:val="1F2A24"/>
          <w:sz w:val="22"/>
        </w:rPr>
        <w:t>The six units are not Ontario; results must not be scaled by a constant to the provincial harvest.</w:t>
      </w:r>
    </w:p>
    <w:p>
      <w:pPr>
        <w:pStyle w:val="ListBullet"/>
      </w:pPr>
      <w:r>
        <w:rPr>
          <w:rFonts w:ascii="Calibri" w:hAnsi="Calibri" w:cs="Calibri"/>
          <w:b w:val="0"/>
          <w:i w:val="0"/>
          <w:color w:val="1F2A24"/>
          <w:sz w:val="22"/>
        </w:rPr>
        <w:t>Logs do not move between units in the agent model; haul in the inventory may understate Kenora and Trout Lake.</w:t>
      </w:r>
    </w:p>
    <w:p>
      <w:pPr>
        <w:pStyle w:val="ListBullet"/>
      </w:pPr>
      <w:r>
        <w:rPr>
          <w:rFonts w:ascii="Calibri" w:hAnsi="Calibri" w:cs="Calibri"/>
          <w:b w:val="0"/>
          <w:i w:val="0"/>
          <w:color w:val="1F2A24"/>
          <w:sz w:val="22"/>
        </w:rPr>
        <w:t>Hardwood and poplar engineered products are outside the product system.</w:t>
      </w:r>
    </w:p>
    <w:p>
      <w:pPr>
        <w:pStyle w:val="ListBullet"/>
      </w:pPr>
      <w:r>
        <w:rPr>
          <w:rFonts w:ascii="Calibri" w:hAnsi="Calibri" w:cs="Calibri"/>
          <w:b w:val="0"/>
          <w:i w:val="0"/>
          <w:color w:val="1F2A24"/>
          <w:sz w:val="22"/>
        </w:rPr>
        <w:t>Carbon storage factors credit the product; they do not describe forest regrowth timing or end-of-life fate.</w:t>
      </w:r>
    </w:p>
    <w:p>
      <w:pPr>
        <w:pStyle w:val="ListBullet"/>
      </w:pPr>
      <w:r>
        <w:rPr>
          <w:rFonts w:ascii="Calibri" w:hAnsi="Calibri" w:cs="Calibri"/>
          <w:b w:val="0"/>
          <w:i w:val="0"/>
          <w:color w:val="1F2A24"/>
          <w:sz w:val="22"/>
        </w:rPr>
        <w:t>Direct dollars depend on housing need, heat demand, prices and grant rates treated as assumptions in the utilization study.</w:t>
      </w:r>
    </w:p>
    <w:p>
      <w:pPr>
        <w:pStyle w:val="ListBullet"/>
      </w:pPr>
      <w:r>
        <w:rPr>
          <w:rFonts w:ascii="Calibri" w:hAnsi="Calibri" w:cs="Calibri"/>
          <w:b w:val="0"/>
          <w:i w:val="0"/>
          <w:color w:val="1F2A24"/>
          <w:sz w:val="22"/>
        </w:rPr>
        <w:t>Nothing in the parent report is a life-cycle result for a building, a carbon-offset credit, or a provincial GDP impact.</w:t>
      </w:r>
    </w:p>
    <w:p>
      <w:pPr>
        <w:spacing w:before="240" w:after="80"/>
      </w:pPr>
      <w:r>
        <w:rPr>
          <w:rFonts w:ascii="Georgia" w:hAnsi="Georgia" w:cs="Georgia"/>
          <w:b/>
          <w:i w:val="0"/>
          <w:color w:val="1B4332"/>
          <w:sz w:val="26"/>
        </w:rPr>
        <w:t>References</w:t>
      </w:r>
    </w:p>
    <w:p>
      <w:pPr>
        <w:pStyle w:val="ListNumber"/>
      </w:pPr>
      <w:r>
        <w:rPr>
          <w:rFonts w:ascii="Calibri" w:hAnsi="Calibri" w:cs="Calibri"/>
          <w:b w:val="0"/>
          <w:i w:val="0"/>
          <w:color w:val="1F2A24"/>
          <w:sz w:val="22"/>
        </w:rPr>
        <w:t>ISO 14040:2006 and ISO 14044:2006. Environmental management — Life cycle assessment.</w:t>
      </w:r>
    </w:p>
    <w:p>
      <w:pPr>
        <w:pStyle w:val="ListNumber"/>
      </w:pPr>
      <w:r>
        <w:rPr>
          <w:rFonts w:ascii="Calibri" w:hAnsi="Calibri" w:cs="Calibri"/>
          <w:b w:val="0"/>
          <w:i w:val="0"/>
          <w:color w:val="1F2A24"/>
          <w:sz w:val="22"/>
        </w:rPr>
        <w:t>EN 15804. Sustainability of construction works — Core rules for environmental product declarations.</w:t>
      </w:r>
    </w:p>
    <w:p>
      <w:pPr>
        <w:pStyle w:val="ListNumber"/>
      </w:pPr>
      <w:r>
        <w:rPr>
          <w:rFonts w:ascii="Calibri" w:hAnsi="Calibri" w:cs="Calibri"/>
          <w:b w:val="0"/>
          <w:i w:val="0"/>
          <w:color w:val="1F2A24"/>
          <w:sz w:val="22"/>
        </w:rPr>
        <w:t>EN 16485. Round and sawn timber — Environmental product declarations — Product category rules.</w:t>
      </w:r>
    </w:p>
    <w:p>
      <w:pPr>
        <w:pStyle w:val="ListNumber"/>
      </w:pPr>
      <w:r>
        <w:rPr>
          <w:rFonts w:ascii="Calibri" w:hAnsi="Calibri" w:cs="Calibri"/>
          <w:b w:val="0"/>
          <w:i w:val="0"/>
          <w:color w:val="1F2A24"/>
          <w:sz w:val="22"/>
        </w:rPr>
        <w:t>ISO 21930. Sustainability in buildings and civil engineering works — Core rules for environmental product declarations of construction products and services.</w:t>
      </w:r>
    </w:p>
    <w:p>
      <w:pPr>
        <w:pStyle w:val="ListNumber"/>
      </w:pPr>
      <w:r>
        <w:rPr>
          <w:rFonts w:ascii="Calibri" w:hAnsi="Calibri" w:cs="Calibri"/>
          <w:b w:val="0"/>
          <w:i w:val="0"/>
          <w:color w:val="1F2A24"/>
          <w:sz w:val="22"/>
        </w:rPr>
        <w:t>EN 15978. Sustainability of construction works — Assessment of environmental performance of buildings.</w:t>
      </w:r>
    </w:p>
    <w:p>
      <w:pPr>
        <w:pStyle w:val="ListNumber"/>
      </w:pPr>
      <w:r>
        <w:rPr>
          <w:rFonts w:ascii="Calibri" w:hAnsi="Calibri" w:cs="Calibri"/>
          <w:b w:val="0"/>
          <w:i w:val="0"/>
          <w:color w:val="1F2A24"/>
          <w:sz w:val="22"/>
        </w:rPr>
        <w:t>Yousefpour, R. &amp; Elfahli, Y. (2026). Biomass utilization strategies for Ontario: plants, harvest, jobs and Indigenous income, 2026–2045. Accompanying utilization study and code package.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and data for the life-cycle and economic-impact assessment</dc:title>
  <dc:subject/>
  <dc:creator>Rasoul Yousefpour; Yasser Elfahli</dc:creator>
  <cp:keywords/>
  <dc:description>generated by python-docx</dc:description>
  <cp:lastModifiedBy/>
  <cp:revision>1</cp:revision>
  <dcterms:created xsi:type="dcterms:W3CDTF">2013-12-23T23:15:00Z</dcterms:created>
  <dcterms:modified xsi:type="dcterms:W3CDTF">2013-12-23T23:15:00Z</dcterms:modified>
  <cp:category/>
</cp:coreProperties>
</file>