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Appendix I - Activity 3 "Detailed Results" (replacement text)</w:t>
      </w:r>
    </w:p>
    <w:p>
      <w:pPr>
        <w:pStyle w:val="ListBullet"/>
      </w:pPr>
      <w:r>
        <w:t>Status and variation: Completed October 2026 (milestone date March 31, 2026). By March 31 the data compilation and ABM framework were in place, as presented in the preliminary results report. The additional time was used to calibrate the model to observed FMU-level harvest and employment, align it with the FORBIOM-ON model developed under Activity 2, and run the full simulation experiments. The milestone deliverable, the ABM simulation report identifying optimal biomass utilization strategies, is attached.</w:t>
      </w:r>
    </w:p>
    <w:p>
      <w:pPr>
        <w:pStyle w:val="ListBullet"/>
      </w:pPr>
      <w:r>
        <w:t>Compiled and structured FMU-level fibre supply data (LTMD and actual harvest by species group, ARWoodS, 2019-2024), facility employment and wood-flow data (eFAR, 2020-2022), and technical, cost, demand and carbon parameters shared with FORBIOM-ON (Activity 2), for six study FMUs: Trout Lake, Abitibi River, Algoma, Kenora, Nipissing and Algonquin Park.</w:t>
      </w:r>
    </w:p>
    <w:p>
      <w:pPr>
        <w:pStyle w:val="ListBullet"/>
      </w:pPr>
      <w:r>
        <w:t>Developed FORBIOM-ABM, an agent-based model representing FMU managers, harvest contractors (Indigenous-owned and other), incumbent mills, new processing investors (northern mass-timber hubs, urban CLT plants, community log-to-panel plants, community bioheat, pellet plants), product and heat markets, and a policy agent. Agents interact annually from 2026 to 2045 through regional fibre markets with endogenous log prices and through southern mass-timber and prefab markets.</w:t>
      </w:r>
    </w:p>
    <w:p>
      <w:pPr>
        <w:pStyle w:val="ListBullet"/>
      </w:pPr>
      <w:r>
        <w:t>Implemented behavioural decision rules: logistic (bounded-rationality) supply, capacity-utilization and investment rules; adaptive price expectations; NPV-based investment with learning-by-doing and build lags; exit after sustained losses; and FMU allocation rules including an Indigenous allocation-priority option. Indigenous employment, contractor income and equity returns are tracked explicitly.</w:t>
      </w:r>
    </w:p>
    <w:p>
      <w:pPr>
        <w:pStyle w:val="ListBullet"/>
      </w:pPr>
      <w:r>
        <w:t>Calibrated the model to observed harvest. Simulated start-year harvest matches ARWoodS within 1.4% in every FMU, and business-as-usual runs reproduce the persistent gap between harvest and LTMD (46% utilization across the six FMUs).</w:t>
      </w:r>
    </w:p>
    <w:p>
      <w:pPr>
        <w:pStyle w:val="ListBullet"/>
      </w:pPr>
      <w:r>
        <w:t>Simulated seven biomass utilization strategies, combining technology options and policy instruments, with 50 Monte Carlo replications under three mass-timber demand scenarios and six sensitivity cases. Strategies were evaluated with a seven-criterion multi-criteria analysis: utilization, value added, rural jobs, Indigenous income, carbon, public cost and investment risk.</w:t>
      </w:r>
    </w:p>
    <w:p>
      <w:pPr>
        <w:pStyle w:val="ListBullet"/>
      </w:pPr>
      <w:r>
        <w:t>Results: the optimal strategy is a regionally differentiated hub-and-spoke portfolio. It combines northern log-to-mass-timber hubs, Indigenous-majority community panel and bioheat plants, and pellet plants in Abitibi River and Trout Lake only, backed by Indigenous allocation priority, contractor capacity building and public procurement. Relative to business as usual it raises utilization from 41% to 66%, rural jobs from 1,709 to 4,299, Indigenous jobs from 415 to 1,799, Indigenous community income from $431 M to $1,838 M (NPV) and value added by $3,133 M (NPV), for about $331 M in public support. It ranked first under all demand scenarios, sensitivity cases and stakeholder weightings.</w:t>
      </w:r>
    </w:p>
    <w:p>
      <w:pPr>
        <w:pStyle w:val="ListBullet"/>
      </w:pPr>
      <w:r>
        <w:t>Identified region-specific strategies: Abitibi River as the anchor hub region; early hubs and full spoke networks in Nipissing and Algoma; a hub plus residue-based bioheat and pellets in Trout Lake; a smaller portfolio in Algonquin Park; and Indigenous-led spokes first in Kenora, with a hub conditional on secured offtake because of distance-driven risk.</w:t>
      </w:r>
    </w:p>
    <w:p>
      <w:pPr>
        <w:pStyle w:val="ListBullet"/>
      </w:pPr>
      <w:r>
        <w:t>Key outputs feed Activities 4-6: carbon results for the LCA; community-level assumptions (housing need, heat demand, Indigenous participation) to be validated through the Activity 5 consultations; and the poplar/hardwood utilization gap as a priority for the Activity 6 policy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