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800e2e8dd7e443d7"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a9b32db8525d4289"/>
                    <a:stretch>
                      <a:fillRect/>
                    </a:stretch>
                  </pic:blipFill>
                  <pic:spPr>
                    <a:xfrm>
                      <a:off x="0" y="0"/>
                      <a:ext cx="7560000" cy="10692000"/>
                    </a:xfrm>
                    <a:prstGeom prst="rect"/>
                  </pic:spPr>
                </pic:pic>
              </a:graphicData>
            </a:graphic>
          </wp:anchor>
        </w:drawing>
      </w:r>
    </w:p>
    <w:p>
      <w:pPr>
        <w:spacing w:before="5500"/>
      </w:pPr>
      <w:r/>
    </w:p>
    <w:p>
      <w:pPr>
        <w:spacing w:after="200"/>
        <w:jc w:val="center"/>
      </w:pPr>
      <w:r>
        <w:rPr>
          <w:b/>
          <w:color w:val="ffffff"/>
          <w:spacing w:val="30"/>
          <w:sz w:val="80"/>
        </w:rPr>
        <w:t>MA SANTÉ EN CHAÎNE</w:t>
      </w:r>
    </w:p>
    <w:p>
      <w:pPr>
        <w:spacing w:after="400"/>
        <w:jc w:val="center"/>
      </w:pPr>
      <w:r>
        <w:rPr>
          <w:color w:val="c9a227"/>
          <w:spacing w:val="50"/>
          <w:sz w:val="32"/>
        </w:rPr>
        <w:t>CAHIER DES CHARGES</w:t>
      </w:r>
    </w:p>
    <w:p>
      <w:pPr>
        <w:spacing w:after="600"/>
        <w:jc w:val="center"/>
      </w:pPr>
      <w:r>
        <w:rPr>
          <w:color w:val="aeb6bf"/>
          <w:sz w:val="24"/>
        </w:rPr>
        <w:t>Système Décentralisé de Traçabilité des Actes Médicaux</w:t>
      </w:r>
    </w:p>
    <w:p>
      <w:pPr>
        <w:spacing w:after="200"/>
        <w:jc w:val="center"/>
      </w:pPr>
      <w:r>
        <w:rPr>
          <w:color w:val="aeb6bf"/>
          <w:sz w:val="22"/>
        </w:rPr>
        <w:t>sur Infrastructure Blockchain</w:t>
      </w:r>
    </w:p>
    <w:p>
      <w:pPr>
        <w:spacing w:before="2500"/>
      </w:pPr>
      <w:r/>
    </w:p>
    <w:p>
      <w:pPr>
        <w:jc w:val="center"/>
      </w:pPr>
      <w:r>
        <w:rPr>
          <w:color w:val="aeb6bf"/>
          <w:sz w:val="20"/>
        </w:rPr>
        <w:t>Version 1.0  |  Avril 2026</w:t>
      </w:r>
    </w:p>
    <w:p>
      <w:pPr>
        <w:jc w:val="center"/>
      </w:pPr>
      <w:r>
        <w:rPr>
          <w:color w:val="aeb6bf"/>
          <w:sz w:val="18"/>
        </w:rPr>
        <w:t>Royaume du Maroc</w:t>
      </w:r>
    </w:p>
    <w:p>
      <w:pPr>
        <w:sectPr>
          <w:type w:val="nextPage"/>
          <w:pgSz w:w="11906" w:h="16838"/>
          <w:pgMar w:top="0" w:right="0" w:bottom="0" w:left="0" w:header="0" w:footer="0"/>
          <w:titlePg/>
        </w:sectPr>
      </w:pPr>
    </w:p>
    <w:p>
      <w:pPr>
        <w:spacing w:before="400" w:after="400"/>
        <w:jc w:val="center"/>
      </w:pPr>
      <w:r>
        <w:rPr>
          <w:b/>
          <w:color w:val="1a5276"/>
          <w:sz w:val="36"/>
        </w:rPr>
        <w:t>TABLE DES MATIÈRES</w:t>
      </w:r>
    </w:p>
    <w:p>
      <w:pPr>
        <w:spacing w:after="300"/>
      </w:pPr>
      <w:r>
        <w:rPr>
          <w:color w:val="85929e"/>
          <w:sz w:val="18"/>
        </w:rPr>
        <w:t>Clic droit sur la table des matières &gt; Mettre à jour les champs</w:t>
      </w:r>
    </w:p>
    <w:p>
      <w:r>
        <w:fldChar w:fldCharType="begin"/>
      </w:r>
      <w:r>
        <w:instrText xml:space="preserve"> TOC \o "1-3" \h \z \u </w:instrText>
      </w:r>
      <w:r>
        <w:fldChar w:fldCharType="separate"/>
      </w:r>
    </w:p>
    <w:p>
      <w:pPr>
        <w:pStyle w:val="TOC1"/>
      </w:pPr>
      <w:r>
        <w:t>1. Introduction et Contexte du Projet</w:t>
      </w:r>
      <w:r>
        <w:tab/>
      </w:r>
      <w:r>
        <w:t>3</w:t>
      </w:r>
    </w:p>
    <w:p>
      <w:pPr>
        <w:pStyle w:val="TOC1"/>
      </w:pPr>
      <w:r>
        <w:t>2. Périmètre Fonctionnel Détaillé</w:t>
      </w:r>
      <w:r>
        <w:tab/>
      </w:r>
      <w:r>
        <w:t>4</w:t>
      </w:r>
    </w:p>
    <w:p>
      <w:pPr>
        <w:pStyle w:val="TOC2"/>
      </w:pPr>
      <w:r>
        <w:t>2.1 Module d'Authentification et d'Identification</w:t>
      </w:r>
      <w:r>
        <w:tab/>
      </w:r>
      <w:r>
        <w:t>4</w:t>
      </w:r>
    </w:p>
    <w:p>
      <w:pPr>
        <w:pStyle w:val="TOC2"/>
      </w:pPr>
      <w:r>
        <w:t>2.2 Module de Génération de Prescription</w:t>
      </w:r>
      <w:r>
        <w:tab/>
      </w:r>
      <w:r>
        <w:t>5</w:t>
      </w:r>
    </w:p>
    <w:p>
      <w:pPr>
        <w:pStyle w:val="TOC2"/>
      </w:pPr>
      <w:r>
        <w:t>2.3 Module de Délivrance Pharmaceutique</w:t>
      </w:r>
      <w:r>
        <w:tab/>
      </w:r>
      <w:r>
        <w:t>6</w:t>
      </w:r>
    </w:p>
    <w:p>
      <w:pPr>
        <w:pStyle w:val="TOC2"/>
      </w:pPr>
      <w:r>
        <w:t>2.4 Module de Remboursement et Tiers Payant</w:t>
      </w:r>
      <w:r>
        <w:tab/>
      </w:r>
      <w:r>
        <w:t>7</w:t>
      </w:r>
    </w:p>
    <w:p>
      <w:pPr>
        <w:pStyle w:val="TOC1"/>
      </w:pPr>
      <w:r>
        <w:t>3. Rôles des Acteurs du Système</w:t>
      </w:r>
      <w:r>
        <w:tab/>
      </w:r>
      <w:r>
        <w:t>8</w:t>
      </w:r>
    </w:p>
    <w:p>
      <w:pPr>
        <w:pStyle w:val="TOC1"/>
      </w:pPr>
      <w:r>
        <w:t>4. Architecture Technique Hybride</w:t>
      </w:r>
      <w:r>
        <w:tab/>
      </w:r>
      <w:r>
        <w:t>10</w:t>
      </w:r>
    </w:p>
    <w:p>
      <w:pPr>
        <w:pStyle w:val="TOC2"/>
      </w:pPr>
      <w:r>
        <w:t>4.1 Stockage Off-Chain (IPFS / Cloud)</w:t>
      </w:r>
      <w:r>
        <w:tab/>
      </w:r>
      <w:r>
        <w:t>10</w:t>
      </w:r>
    </w:p>
    <w:p>
      <w:pPr>
        <w:pStyle w:val="TOC2"/>
      </w:pPr>
      <w:r>
        <w:t>4.2 Stockage On-Chain (Hash / Smart Contracts)</w:t>
      </w:r>
      <w:r>
        <w:tab/>
      </w:r>
      <w:r>
        <w:t>11</w:t>
      </w:r>
    </w:p>
    <w:p>
      <w:pPr>
        <w:pStyle w:val="TOC1"/>
      </w:pPr>
      <w:r>
        <w:t>5. Maîtrise d'Ouvrage et Maîtrise d'Œuvre</w:t>
      </w:r>
      <w:r>
        <w:tab/>
      </w:r>
      <w:r>
        <w:t>12</w:t>
      </w:r>
    </w:p>
    <w:p>
      <w:pPr>
        <w:pStyle w:val="TOC1"/>
      </w:pPr>
      <w:r>
        <w:t>6. Équipe Projet et Main-d'Œuvre</w:t>
      </w:r>
      <w:r>
        <w:tab/>
      </w:r>
      <w:r>
        <w:t>14</w:t>
      </w:r>
    </w:p>
    <w:p>
      <w:pPr>
        <w:pStyle w:val="TOC1"/>
      </w:pPr>
      <w:r>
        <w:t>7. Équipements et Stack Technique</w:t>
      </w:r>
      <w:r>
        <w:tab/>
      </w:r>
      <w:r>
        <w:t>16</w:t>
      </w:r>
    </w:p>
    <w:p>
      <w:pPr>
        <w:pStyle w:val="TOC1"/>
      </w:pPr>
      <w:r>
        <w:t>8. Planning et Durée du Projet</w:t>
      </w:r>
      <w:r>
        <w:tab/>
      </w:r>
      <w:r>
        <w:t>19</w:t>
      </w:r>
    </w:p>
    <w:p>
      <w:pPr>
        <w:pStyle w:val="TOC1"/>
      </w:pPr>
      <w:r>
        <w:t>9. Diagramme de Gantt</w:t>
      </w:r>
      <w:r>
        <w:tab/>
      </w:r>
      <w:r>
        <w:t>21</w:t>
      </w:r>
    </w:p>
    <w:p>
      <w:pPr>
        <w:pStyle w:val="TOC1"/>
      </w:pPr>
      <w:r>
        <w:t>10. Support et Maintenance</w:t>
      </w:r>
      <w:r>
        <w:tab/>
      </w:r>
      <w:r>
        <w:t>22</w:t>
      </w:r>
    </w:p>
    <w:p>
      <w:r>
        <w:fldChar w:fldCharType="end"/>
      </w:r>
    </w:p>
    <w:p>
      <w:pPr>
        <w:sectPr>
          <w:type w:val="nextPage"/>
          <w:pgSz w:w="11906" w:h="16838"/>
          <w:pgMar w:top="1800" w:right="1440" w:bottom="1440" w:left="1440" w:header="720" w:footer="720"/>
        </w:sectPr>
      </w:pPr>
    </w:p>
    <w:p>
      <w:pPr>
        <w:pStyle w:val="Heading1"/>
      </w:pPr>
      <w:r>
        <w:t>1. Introduction et Contexte du Projet</w:t>
      </w:r>
      <w:bookmarkStart w:name="_Toc001" w:id="1"/>
      <w:bookmarkEnd w:id="1"/>
    </w:p>
    <w:p>
      <w:r>
        <w:t>Le présent document constitue le Cahier des Charges Technique et Fonctionnel du projet « Ma Santé en Chaîne », initiative stratégique nationale visant à moderniser l'infrastructure de partage des données de santé au Royaume du Maroc. Ce projet s'inscrit dans le cadre de la stratégie digitale du Maroc et de la réforme de l'écosystème de santé nationale.</w:t>
      </w:r>
    </w:p>
    <w:p>
      <w:pPr>
        <w:pStyle w:val="Heading2"/>
      </w:pPr>
      <w:r>
        <w:t>1.1 Contexte et Problématique</w:t>
      </w:r>
    </w:p>
    <w:p>
      <w:r>
        <w:t>Le parcours de soins au Maroc fait face à des défis structurels majeurs : fragmentation des données médicales, absence de traçabilité centralisée des actes de santé, risques d'erreurs médicales liés à l'incompletude des dossiers patients, fraude aux prestations de soins, et manque de souveraineté des patients sur leurs propres données de santé.</w:t>
      </w:r>
    </w:p>
    <w:p>
      <w:r>
        <w:t>Actuellement, un patient consultant plusieurs médecins ou établissements de santé se retrouve avec des dossiers dispersés, sans interopérabilité ni garantie d'authenticité des prescriptions et actes médicaux. Cette situation engendre des coûts financiers importants pour le système de santé et l'ANAM (Agence Nationale d'Assurance Maladie), tout en présentant des risques pour la sécurité des patients.</w:t>
      </w:r>
    </w:p>
    <w:p>
      <w:pPr>
        <w:pStyle w:val="Heading2"/>
      </w:pPr>
      <w:r>
        <w:t>1.2 Vision et Objectifs du Projet</w:t>
      </w:r>
    </w:p>
    <w:p>
      <w:r>
        <w:t>Le projet « Ma Santé en Chaîne » vise à construire une infrastructure de santé numérique décentralisée, sécurisée et interopérable, garantissant l'authenticité, la traçabilité et la souveraineté des données de santé pour chaque citoyen marocain.</w:t>
      </w:r>
    </w:p>
    <w:p>
      <w:r>
        <w:rPr>
          <w:b/>
        </w:rPr>
        <w:t>Objectifs stratégiques :</w:t>
      </w:r>
    </w:p>
    <w:p>
      <w:pPr>
        <w:numPr>
          <w:ilvl w:val="0"/>
          <w:numId w:val="1"/>
        </w:numPr>
      </w:pPr>
      <w:r>
        <w:t>Garantir l'authenticité irréfutable de chaque acte médical (prescription, délivrance, remboursement) via la technologie blockchain</w:t>
      </w:r>
    </w:p>
    <w:p>
      <w:pPr>
        <w:numPr>
          <w:ilvl w:val="0"/>
          <w:numId w:val="1"/>
        </w:numPr>
      </w:pPr>
      <w:r>
        <w:t>Redonner au patient la souveraineté complète sur ses données de santé grâce à un consentement explicite et révocable</w:t>
      </w:r>
    </w:p>
    <w:p>
      <w:pPr>
        <w:numPr>
          <w:ilvl w:val="0"/>
          <w:numId w:val="1"/>
        </w:numPr>
      </w:pPr>
      <w:r>
        <w:t>Éliminer la fraude aux prestations de santé par traçabilité immuable de la chaîne de valeur</w:t>
      </w:r>
    </w:p>
    <w:p>
      <w:pPr>
        <w:numPr>
          <w:ilvl w:val="0"/>
          <w:numId w:val="1"/>
        </w:numPr>
      </w:pPr>
      <w:r>
        <w:t>Réduire les coûts administratifs de l'ANAM et des organismes d'assurance via l'automatisation par smart contracts</w:t>
      </w:r>
    </w:p>
    <w:p>
      <w:pPr>
        <w:numPr>
          <w:ilvl w:val="0"/>
          <w:numId w:val="1"/>
        </w:numPr>
      </w:pPr>
      <w:r>
        <w:t>Assurer l'interopérabilité entre tous les acteurs du système de santé (médecins, pharmaciens, assurances, administration)</w:t>
      </w:r>
    </w:p>
    <w:p>
      <w:pPr>
        <w:pStyle w:val="Heading2"/>
      </w:pPr>
      <w:r>
        <w:t>1.3 Champ d'Application</w:t>
      </w:r>
    </w:p>
    <w:p>
      <w:r>
        <w:t>Le périmètre du projet couvre l'ensemble du territoire national et cible en première phase les 45 millions de bénéficiaires du régime d'assurance maladie obligatoire (AMO), incluant les professionnels de santé (médecins généralistes et spécialistes), les officines de pharmacie, les organismes assureurs (CNSS, CNOPS, assureurs privés), et les entités régulatrices (ANAM, Ministère de la Santé).</w:t>
      </w:r>
    </w:p>
    <w:p>
      <w:pPr>
        <w:pStyle w:val="Heading1"/>
      </w:pPr>
      <w:r>
        <w:t>2. Périmètre Fonctionnel Détaillé</w:t>
      </w:r>
      <w:bookmarkStart w:name="_Toc002" w:id="2"/>
      <w:bookmarkEnd w:id="2"/>
    </w:p>
    <w:p>
      <w:r>
        <w:t>Le système « Ma Santé en Chaîne » est structuré en quatre modules fonctionnels principaux, couvrant l'intégralité du parcours de soins : authentification, génération de prescription, délivrance pharmaceutique, et remboursement. Chaque module est conçu pour garantir la traçabilité blockchain de bout en bout.</w:t>
      </w:r>
    </w:p>
    <w:p>
      <w:pPr>
        <w:pStyle w:val="Heading2"/>
      </w:pPr>
      <w:r>
        <w:t>2.1 Module d'Authentification et d'Identification</w:t>
      </w:r>
    </w:p>
    <w:p>
      <w:r>
        <w:t>Ce module constitue la fondation de confiance du système. Il assure l'identification sécurisée de chaque acteur et l'authentification cryptographique de chaque transaction.</w:t>
      </w:r>
    </w:p>
    <w:p>
      <w:r>
        <w:rPr>
          <w:b/>
        </w:rPr>
        <w:t>Fonctionnalités clés :</w:t>
      </w:r>
    </w:p>
    <w:p>
      <w:pPr>
        <w:numPr>
          <w:ilvl w:val="0"/>
          <w:numId w:val="1"/>
        </w:numPr>
      </w:pPr>
      <w:r>
        <w:t>Création d'identités décentralisées (DID - Decentralized Identifiers) pour chaque patient et professionnel de santé</w:t>
      </w:r>
    </w:p>
    <w:p>
      <w:pPr>
        <w:numPr>
          <w:ilvl w:val="0"/>
          <w:numId w:val="1"/>
        </w:numPr>
      </w:pPr>
      <w:r>
        <w:t>Vérification d'identité via le système national d'identification (CNIE) avec double facteur d'authentification</w:t>
      </w:r>
    </w:p>
    <w:p>
      <w:pPr>
        <w:numPr>
          <w:ilvl w:val="0"/>
          <w:numId w:val="1"/>
        </w:numPr>
      </w:pPr>
      <w:r>
        <w:t>Gestion des portefeuilles cryptographiques (wallets) pour chaque utilisateur avec clés privées stockées de manière sécurisée (HSM / enclaves sécurisées)</w:t>
      </w:r>
    </w:p>
    <w:p>
      <w:pPr>
        <w:numPr>
          <w:ilvl w:val="0"/>
          <w:numId w:val="1"/>
        </w:numPr>
      </w:pPr>
      <w:r>
        <w:t>Attribution de rôles et permissions basée sur les attributs vérifiés (médecin, pharmacien, assureur, patient)</w:t>
      </w:r>
    </w:p>
    <w:p>
      <w:pPr>
        <w:numPr>
          <w:ilvl w:val="0"/>
          <w:numId w:val="1"/>
        </w:numPr>
      </w:pPr>
      <w:r>
        <w:t>Consentement explicite du patient pour chaque partage de données avec traçabilité horodatée sur la blockchain</w:t>
      </w:r>
    </w:p>
    <w:p>
      <w:pPr>
        <w:numPr>
          <w:ilvl w:val="0"/>
          <w:numId w:val="1"/>
        </w:numPr>
      </w:pPr>
      <w:r>
        <w:t>Tableau de bord patient permettant de visualiser et révoquer les accès aux données en temps réel</w:t>
      </w:r>
    </w:p>
    <w:p>
      <w:pPr>
        <w:pStyle w:val="Heading2"/>
      </w:pPr>
      <w:r>
        <w:t>2.2 Module de Génération de Prescription</w:t>
      </w:r>
    </w:p>
    <w:p>
      <w:r>
        <w:t>Ce module permet aux médecins de générer des ordonnances électroniques sécurisées, immuables et traçables sur la blockchain.</w:t>
      </w:r>
    </w:p>
    <w:p>
      <w:r>
        <w:rPr>
          <w:b/>
        </w:rPr>
        <w:t>Fonctionnalités clés :</w:t>
      </w:r>
    </w:p>
    <w:p>
      <w:pPr>
        <w:numPr>
          <w:ilvl w:val="0"/>
          <w:numId w:val="1"/>
        </w:numPr>
      </w:pPr>
      <w:r>
        <w:t>Interface médecin permettant la saisie électronique de l'ordonnance avec base de données des médicaments agréés (référentiel DMP/ANAM)</w:t>
      </w:r>
    </w:p>
    <w:p>
      <w:pPr>
        <w:numPr>
          <w:ilvl w:val="0"/>
          <w:numId w:val="1"/>
        </w:numPr>
      </w:pPr>
      <w:r>
        <w:t>Signature cryptographique de l'ordonnance par le médecin prescripteur avec certificat numérique vérifié</w:t>
      </w:r>
    </w:p>
    <w:p>
      <w:pPr>
        <w:numPr>
          <w:ilvl w:val="0"/>
          <w:numId w:val="1"/>
        </w:numPr>
      </w:pPr>
      <w:r>
        <w:t>Hachage cryptographique (SHA-256) du contenu de l'ordonnance et inscription du hash sur la blockchain</w:t>
      </w:r>
    </w:p>
    <w:p>
      <w:pPr>
        <w:numPr>
          <w:ilvl w:val="0"/>
          <w:numId w:val="1"/>
        </w:numPr>
      </w:pPr>
      <w:r>
        <w:t>Génération d'un QR code unique et d'un identifiant de transaction (TxID) pour traçabilité en officine</w:t>
      </w:r>
    </w:p>
    <w:p>
      <w:pPr>
        <w:numPr>
          <w:ilvl w:val="0"/>
          <w:numId w:val="1"/>
        </w:numPr>
      </w:pPr>
      <w:r>
        <w:t>Enregistrement des métadonnées : identité du médecin (anonymisée), identité du patient (anonymisée), médicaments prescrits, dosages, durée, date et heure</w:t>
      </w:r>
    </w:p>
    <w:p>
      <w:pPr>
        <w:numPr>
          <w:ilvl w:val="0"/>
          <w:numId w:val="1"/>
        </w:numPr>
      </w:pPr>
      <w:r>
        <w:t>Notifications au patient via application mobile et SMS lors de la génération d'une prescription</w:t>
      </w:r>
    </w:p>
    <w:p>
      <w:pPr>
        <w:numPr>
          <w:ilvl w:val="0"/>
          <w:numId w:val="1"/>
        </w:numPr>
      </w:pPr>
      <w:r>
        <w:t>Vérification automatique des interactions médicamenteuses et des contre-indications via le dossier médical partagé</w:t>
      </w:r>
    </w:p>
    <w:p>
      <w:pPr>
        <w:pStyle w:val="Heading2"/>
      </w:pPr>
      <w:r>
        <w:t>2.3 Module de Délivrance Pharmaceutique</w:t>
      </w:r>
    </w:p>
    <w:p>
      <w:r>
        <w:t>Ce module assure la traçabilité complète de la délivrance des médicaments en officine, depuis la vérification de l'ordonnance jusqu'à la confirmation de remise au patient.</w:t>
      </w:r>
    </w:p>
    <w:p>
      <w:r>
        <w:rPr>
          <w:b/>
        </w:rPr>
        <w:t>Fonctionnalités clés :</w:t>
      </w:r>
    </w:p>
    <w:p>
      <w:pPr>
        <w:numPr>
          <w:ilvl w:val="0"/>
          <w:numId w:val="1"/>
        </w:numPr>
      </w:pPr>
      <w:r>
        <w:t>Scan du QR code de l'ordonnance par le pharmacien pour vérification de l'authenticité sur la blockchain</w:t>
      </w:r>
    </w:p>
    <w:p>
      <w:pPr>
        <w:numPr>
          <w:ilvl w:val="0"/>
          <w:numId w:val="1"/>
        </w:numPr>
      </w:pPr>
      <w:r>
        <w:t>Vérification en temps réel de la validité de l'ordonnance (non utilisée, non expirée, non révoquée)</w:t>
      </w:r>
    </w:p>
    <w:p>
      <w:pPr>
        <w:numPr>
          <w:ilvl w:val="0"/>
          <w:numId w:val="1"/>
        </w:numPr>
      </w:pPr>
      <w:r>
        <w:t>Enregistrement de la délivrance sur la blockchain : identifiant du pharmacien, médicaments délivrés, quantités, date/heure</w:t>
      </w:r>
    </w:p>
    <w:p>
      <w:pPr>
        <w:numPr>
          <w:ilvl w:val="0"/>
          <w:numId w:val="1"/>
        </w:numPr>
      </w:pPr>
      <w:r>
        <w:t>Mise à jour automatique du statut de l'ordonnance (en attente &gt; délivrée &gt; partiellement délivrée)</w:t>
      </w:r>
    </w:p>
    <w:p>
      <w:pPr>
        <w:numPr>
          <w:ilvl w:val="0"/>
          <w:numId w:val="1"/>
        </w:numPr>
      </w:pPr>
      <w:r>
        <w:t>Gestion des substituts génériques avec enregistrement du choix et accord patient</w:t>
      </w:r>
    </w:p>
    <w:p>
      <w:pPr>
        <w:numPr>
          <w:ilvl w:val="0"/>
          <w:numId w:val="1"/>
        </w:numPr>
      </w:pPr>
      <w:r>
        <w:t>Génération d'un reçu de délivrance électronique avec hash blockchain pour le remboursement</w:t>
      </w:r>
    </w:p>
    <w:p>
      <w:pPr>
        <w:numPr>
          <w:ilvl w:val="0"/>
          <w:numId w:val="1"/>
        </w:numPr>
      </w:pPr>
      <w:r>
        <w:t>Alertes de rappel pour renouvellement de traitements chroniques</w:t>
      </w:r>
    </w:p>
    <w:p>
      <w:pPr>
        <w:pStyle w:val="Heading2"/>
      </w:pPr>
      <w:r>
        <w:t>2.4 Module de Remboursement et Tiers Payant</w:t>
      </w:r>
    </w:p>
    <w:p>
      <w:r>
        <w:t>Ce module automatise le processus de remboursement des soins via l'exécution de smart contracts, réduisant les délais et éliminant les fraudes au remboursement.</w:t>
      </w:r>
    </w:p>
    <w:p>
      <w:r>
        <w:rPr>
          <w:b/>
        </w:rPr>
        <w:t>Fonctionnalités clés :</w:t>
      </w:r>
    </w:p>
    <w:p>
      <w:pPr>
        <w:numPr>
          <w:ilvl w:val="0"/>
          <w:numId w:val="1"/>
        </w:numPr>
      </w:pPr>
      <w:r>
        <w:t>Exécution automatique des smart contracts de remboursement dès validation de la délivrance on-chain</w:t>
      </w:r>
    </w:p>
    <w:p>
      <w:pPr>
        <w:numPr>
          <w:ilvl w:val="0"/>
          <w:numId w:val="1"/>
        </w:numPr>
      </w:pPr>
      <w:r>
        <w:t>Calcul automatique du montant remboursable selon le régime d'assurance (CNSS, CNOPS, privé)</w:t>
      </w:r>
    </w:p>
    <w:p>
      <w:pPr>
        <w:numPr>
          <w:ilvl w:val="0"/>
          <w:numId w:val="1"/>
        </w:numPr>
      </w:pPr>
      <w:r>
        <w:t>Transmission sécurisée des données de remboursement à l'ANAM et aux organismes assureurs</w:t>
      </w:r>
    </w:p>
    <w:p>
      <w:pPr>
        <w:numPr>
          <w:ilvl w:val="0"/>
          <w:numId w:val="1"/>
        </w:numPr>
      </w:pPr>
      <w:r>
        <w:t>Tableau de bord assureur pour le suivi des remboursements et la détection d'anomalies</w:t>
      </w:r>
    </w:p>
    <w:p>
      <w:pPr>
        <w:numPr>
          <w:ilvl w:val="0"/>
          <w:numId w:val="1"/>
        </w:numPr>
      </w:pPr>
      <w:r>
        <w:t>Gestion du tiers payant avec coordination automatique entre assurance principale et complémentaire</w:t>
      </w:r>
    </w:p>
    <w:p>
      <w:pPr>
        <w:numPr>
          <w:ilvl w:val="0"/>
          <w:numId w:val="1"/>
        </w:numPr>
      </w:pPr>
      <w:r>
        <w:t>Historique immuable de tous les remboursements accessible au patient et aux auditeurs agréés</w:t>
      </w:r>
    </w:p>
    <w:p>
      <w:pPr>
        <w:numPr>
          <w:ilvl w:val="0"/>
          <w:numId w:val="1"/>
        </w:numPr>
      </w:pPr>
      <w:r>
        <w:t>Génération de rapports statistiques pour l'ANAM et le Ministère de la Santé</w:t>
      </w:r>
    </w:p>
    <w:p>
      <w:pPr>
        <w:pStyle w:val="Heading1"/>
      </w:pPr>
      <w:r>
        <w:t>3. Rôles des Acteurs du Système</w:t>
      </w:r>
      <w:bookmarkStart w:name="_Toc003" w:id="3"/>
      <w:bookmarkEnd w:id="3"/>
    </w:p>
    <w:p>
      <w:r>
        <w:t>Le système implique cinq catégories d'acteurs, chacun disposant de droits, responsabilités et accès spécifiques définis par smart contract.</w:t>
      </w:r>
    </w:p>
    <w:p>
      <w:pPr>
        <w:pStyle w:val="Heading2"/>
      </w:pPr>
      <w:r>
        <w:t>3.1 Le Patient (Citoyen)</w:t>
      </w:r>
    </w:p>
    <w:p>
      <w:r>
        <w:rPr>
          <w:b/>
        </w:rPr>
        <w:t>Rôle : Bénéficiaire final et souverain de ses données</w:t>
      </w:r>
    </w:p>
    <w:p>
      <w:pPr>
        <w:numPr>
          <w:ilvl w:val="0"/>
          <w:numId w:val="1"/>
        </w:numPr>
      </w:pPr>
      <w:r>
        <w:t>Accède à son tableau de bord personnel via application web/mobile</w:t>
      </w:r>
    </w:p>
    <w:p>
      <w:pPr>
        <w:numPr>
          <w:ilvl w:val="0"/>
          <w:numId w:val="1"/>
        </w:numPr>
      </w:pPr>
      <w:r>
        <w:t>Visualise l'historique complet de ses actes médicaux (prescriptions, délivrances, remboursements)</w:t>
      </w:r>
    </w:p>
    <w:p>
      <w:pPr>
        <w:numPr>
          <w:ilvl w:val="0"/>
          <w:numId w:val="1"/>
        </w:numPr>
      </w:pPr>
      <w:r>
        <w:t>Accorde ou révoque son consentement pour le partage de données avec des professionnels de santé</w:t>
      </w:r>
    </w:p>
    <w:p>
      <w:pPr>
        <w:numPr>
          <w:ilvl w:val="0"/>
          <w:numId w:val="1"/>
        </w:numPr>
      </w:pPr>
      <w:r>
        <w:t>Consulte ses droits de remboursement et le suivi de ses demandes</w:t>
      </w:r>
    </w:p>
    <w:p>
      <w:pPr>
        <w:numPr>
          <w:ilvl w:val="0"/>
          <w:numId w:val="1"/>
        </w:numPr>
      </w:pPr>
      <w:r>
        <w:t>Reçoit des alertes et notifications liées à ses traitements</w:t>
      </w:r>
    </w:p>
    <w:p>
      <w:pPr>
        <w:numPr>
          <w:ilvl w:val="0"/>
          <w:numId w:val="1"/>
        </w:numPr>
      </w:pPr>
      <w:r>
        <w:t>Possède les clés privées de son portefeuille blockchain (avec mécanisme de récupération)</w:t>
      </w:r>
    </w:p>
    <w:p>
      <w:pPr>
        <w:pStyle w:val="Heading2"/>
      </w:pPr>
      <w:r>
        <w:t>3.2 Le Médecin</w:t>
      </w:r>
    </w:p>
    <w:p>
      <w:r>
        <w:rPr>
          <w:b/>
        </w:rPr>
        <w:t>Rôle : Prescripteur et acteur clinique</w:t>
      </w:r>
    </w:p>
    <w:p>
      <w:pPr>
        <w:numPr>
          <w:ilvl w:val="0"/>
          <w:numId w:val="1"/>
        </w:numPr>
      </w:pPr>
      <w:r>
        <w:t>S'authentifie via son certificat numérique délivré par l'Ordre des Médecins</w:t>
      </w:r>
    </w:p>
    <w:p>
      <w:pPr>
        <w:numPr>
          <w:ilvl w:val="0"/>
          <w:numId w:val="1"/>
        </w:numPr>
      </w:pPr>
      <w:r>
        <w:t>Accède au dossier médical du patient avec consentement explicite</w:t>
      </w:r>
    </w:p>
    <w:p>
      <w:pPr>
        <w:numPr>
          <w:ilvl w:val="0"/>
          <w:numId w:val="1"/>
        </w:numPr>
      </w:pPr>
      <w:r>
        <w:t>Génère, signe et enregistre les ordonnances sur la blockchain</w:t>
      </w:r>
    </w:p>
    <w:p>
      <w:pPr>
        <w:numPr>
          <w:ilvl w:val="0"/>
          <w:numId w:val="1"/>
        </w:numPr>
      </w:pPr>
      <w:r>
        <w:t>Visualise l'historique des prescriptions qu'il a émises</w:t>
      </w:r>
    </w:p>
    <w:p>
      <w:pPr>
        <w:numPr>
          <w:ilvl w:val="0"/>
          <w:numId w:val="1"/>
        </w:numPr>
      </w:pPr>
      <w:r>
        <w:t>Reçoit des alertes de pharmacovigilance et d'interactions médicamenteuses</w:t>
      </w:r>
    </w:p>
    <w:p>
      <w:pPr>
        <w:pStyle w:val="Heading2"/>
      </w:pPr>
      <w:r>
        <w:t>3.3 La Pharmacie (Officine)</w:t>
      </w:r>
    </w:p>
    <w:p>
      <w:r>
        <w:rPr>
          <w:b/>
        </w:rPr>
        <w:t>Rôle : Acteur de délivrance et dernier maillon de la chaîne de soins</w:t>
      </w:r>
    </w:p>
    <w:p>
      <w:pPr>
        <w:numPr>
          <w:ilvl w:val="0"/>
          <w:numId w:val="1"/>
        </w:numPr>
      </w:pPr>
      <w:r>
        <w:t>S'authentifie via certificat de l'Ordre des Pharmaciens</w:t>
      </w:r>
    </w:p>
    <w:p>
      <w:pPr>
        <w:numPr>
          <w:ilvl w:val="0"/>
          <w:numId w:val="1"/>
        </w:numPr>
      </w:pPr>
      <w:r>
        <w:t>Scanne et vérifie l'authenticité des ordonnances sur la blockchain</w:t>
      </w:r>
    </w:p>
    <w:p>
      <w:pPr>
        <w:numPr>
          <w:ilvl w:val="0"/>
          <w:numId w:val="1"/>
        </w:numPr>
      </w:pPr>
      <w:r>
        <w:t>Enregistre la délivrance des médicaments avec signature cryptographique</w:t>
      </w:r>
    </w:p>
    <w:p>
      <w:pPr>
        <w:numPr>
          <w:ilvl w:val="0"/>
          <w:numId w:val="1"/>
        </w:numPr>
      </w:pPr>
      <w:r>
        <w:t>Gère son stock et les substituts génériques</w:t>
      </w:r>
    </w:p>
    <w:p>
      <w:pPr>
        <w:numPr>
          <w:ilvl w:val="0"/>
          <w:numId w:val="1"/>
        </w:numPr>
      </w:pPr>
      <w:r>
        <w:t>Accède à l'historique des délivrances effectuées</w:t>
      </w:r>
    </w:p>
    <w:p>
      <w:pPr>
        <w:pStyle w:val="Heading2"/>
      </w:pPr>
      <w:r>
        <w:t>3.4 L'Assurance / Organisme Payeur</w:t>
      </w:r>
    </w:p>
    <w:p>
      <w:r>
        <w:rPr>
          <w:b/>
        </w:rPr>
        <w:t>Rôle : Financeur et contrôleur des prestations</w:t>
      </w:r>
    </w:p>
    <w:p>
      <w:pPr>
        <w:numPr>
          <w:ilvl w:val="0"/>
          <w:numId w:val="1"/>
        </w:numPr>
      </w:pPr>
      <w:r>
        <w:t>Visualise en temps réel les actes éligibles au remboursement</w:t>
      </w:r>
    </w:p>
    <w:p>
      <w:pPr>
        <w:numPr>
          <w:ilvl w:val="0"/>
          <w:numId w:val="1"/>
        </w:numPr>
      </w:pPr>
      <w:r>
        <w:t>Déclenche les paiements via smart contracts paramétrés</w:t>
      </w:r>
    </w:p>
    <w:p>
      <w:pPr>
        <w:numPr>
          <w:ilvl w:val="0"/>
          <w:numId w:val="1"/>
        </w:numPr>
      </w:pPr>
      <w:r>
        <w:t>Accède aux tableaux de bord analytiques et aux rapports de fraude</w:t>
      </w:r>
    </w:p>
    <w:p>
      <w:pPr>
        <w:numPr>
          <w:ilvl w:val="0"/>
          <w:numId w:val="1"/>
        </w:numPr>
      </w:pPr>
      <w:r>
        <w:t>Gère les paramètres de couverture et taux de remboursement</w:t>
      </w:r>
    </w:p>
    <w:p>
      <w:pPr>
        <w:pStyle w:val="Heading2"/>
      </w:pPr>
      <w:r>
        <w:t>3.5 L'ANAM et le Ministère de la Santé</w:t>
      </w:r>
    </w:p>
    <w:p>
      <w:r>
        <w:rPr>
          <w:b/>
        </w:rPr>
        <w:t>Rôle : Régulateurs, superviseurs et auditeurs</w:t>
      </w:r>
    </w:p>
    <w:p>
      <w:pPr>
        <w:numPr>
          <w:ilvl w:val="0"/>
          <w:numId w:val="1"/>
        </w:numPr>
      </w:pPr>
      <w:r>
        <w:t>Supervisent le bon fonctionnement du réseau blockchain</w:t>
      </w:r>
    </w:p>
    <w:p>
      <w:pPr>
        <w:numPr>
          <w:ilvl w:val="0"/>
          <w:numId w:val="1"/>
        </w:numPr>
      </w:pPr>
      <w:r>
        <w:t>Accèdent aux rapports statistiques agrégés (données anonymisées)</w:t>
      </w:r>
    </w:p>
    <w:p>
      <w:pPr>
        <w:numPr>
          <w:ilvl w:val="0"/>
          <w:numId w:val="1"/>
        </w:numPr>
      </w:pPr>
      <w:r>
        <w:t>Audient la chaîne de traçabilité en cas de litige ou suspicion de fraude</w:t>
      </w:r>
    </w:p>
    <w:p>
      <w:pPr>
        <w:numPr>
          <w:ilvl w:val="0"/>
          <w:numId w:val="1"/>
        </w:numPr>
      </w:pPr>
      <w:r>
        <w:t>Valident les mises à jour des smart contracts et les évolutions réglementaires</w:t>
      </w:r>
    </w:p>
    <w:p>
      <w:pPr>
        <w:numPr>
          <w:ilvl w:val="0"/>
          <w:numId w:val="1"/>
        </w:numPr>
      </w:pPr>
      <w:r>
        <w:t>Gèrent la liste blanche des professionnels de santé habilités</w:t>
      </w:r>
    </w:p>
    <w:tbl>
      <w:tblPr>
        <w:tblW w:w="5000" w:type="pct"/>
        <w:tblBorders>
          <w:top w:val="single" w:color="1a5276" w:sz="12"/>
          <w:bottom w:val="single" w:color="1a5276" w:sz="12"/>
          <w:insideH w:val="single" w:color="d5d8dc" w:sz="4"/>
        </w:tblBorders>
      </w:tblPr>
      <w:tblGrid>
        <w:gridCol w:w="1800"/>
        <w:gridCol w:w="3200"/>
        <w:gridCol w:w="4000"/>
      </w:tblGrid>
      <w:tr>
        <w:trPr>
          <w:tblHeader/>
        </w:trPr>
        <w:tc>
          <w:tcPr>
            <w:tcW w:w="1800" w:type="dxa"/>
            <w:tcBorders>
              <w:bottom w:val="single" w:color="1a5276" w:sz="6"/>
            </w:tcBorders>
            <w:shd w:val="clear" w:fill="eaf2f8"/>
          </w:tcPr>
          <w:p>
            <w:pPr>
              <w:spacing w:before="60" w:after="60"/>
              <w:jc w:val="center"/>
            </w:pPr>
            <w:r>
              <w:rPr>
                <w:b/>
                <w:color w:val="1c2833"/>
                <w:sz w:val="20"/>
              </w:rPr>
              <w:t>Acteur</w:t>
            </w:r>
          </w:p>
        </w:tc>
        <w:tc>
          <w:tcPr>
            <w:tcW w:w="3200" w:type="dxa"/>
            <w:tcBorders>
              <w:bottom w:val="single" w:color="1a5276" w:sz="6"/>
            </w:tcBorders>
            <w:shd w:val="clear" w:fill="eaf2f8"/>
          </w:tcPr>
          <w:p>
            <w:pPr>
              <w:spacing w:before="60" w:after="60"/>
              <w:jc w:val="center"/>
            </w:pPr>
            <w:r>
              <w:rPr>
                <w:b/>
                <w:color w:val="1c2833"/>
                <w:sz w:val="20"/>
              </w:rPr>
              <w:t>Rôle Principal</w:t>
            </w:r>
          </w:p>
        </w:tc>
        <w:tc>
          <w:tcPr>
            <w:tcW w:w="4000" w:type="dxa"/>
            <w:tcBorders>
              <w:bottom w:val="single" w:color="1a5276" w:sz="6"/>
            </w:tcBorders>
            <w:shd w:val="clear" w:fill="eaf2f8"/>
          </w:tcPr>
          <w:p>
            <w:pPr>
              <w:spacing w:before="60" w:after="60"/>
              <w:jc w:val="center"/>
            </w:pPr>
            <w:r>
              <w:rPr>
                <w:b/>
                <w:color w:val="1c2833"/>
                <w:sz w:val="20"/>
              </w:rPr>
              <w:t>Accès et Permissions</w:t>
            </w:r>
          </w:p>
        </w:tc>
      </w:tr>
      <w:tr>
        <w:tc>
          <w:tcPr>
            <w:tcW w:w="1800" w:type="dxa"/>
          </w:tcPr>
          <w:p>
            <w:pPr>
              <w:spacing w:before="40" w:after="40"/>
            </w:pPr>
            <w:r>
              <w:rPr>
                <w:color w:val="566573"/>
                <w:sz w:val="20"/>
              </w:rPr>
              <w:t>Patient</w:t>
            </w:r>
          </w:p>
        </w:tc>
        <w:tc>
          <w:tcPr>
            <w:tcW w:w="3200" w:type="dxa"/>
          </w:tcPr>
          <w:p>
            <w:pPr>
              <w:spacing w:before="40" w:after="40"/>
            </w:pPr>
            <w:r>
              <w:rPr>
                <w:color w:val="566573"/>
                <w:sz w:val="20"/>
              </w:rPr>
              <w:t>Souverain de ses données, bénéficiaire des soins</w:t>
            </w:r>
          </w:p>
        </w:tc>
        <w:tc>
          <w:tcPr>
            <w:tcW w:w="4000" w:type="dxa"/>
          </w:tcPr>
          <w:p>
            <w:pPr>
              <w:spacing w:before="40" w:after="40"/>
            </w:pPr>
            <w:r>
              <w:rPr>
                <w:color w:val="566573"/>
                <w:sz w:val="20"/>
              </w:rPr>
              <w:t>Lecture de son historique, gestion des consentements, suivi des remboursements</w:t>
            </w:r>
          </w:p>
        </w:tc>
      </w:tr>
      <w:tr>
        <w:tc>
          <w:tcPr>
            <w:tcW w:w="1800" w:type="dxa"/>
          </w:tcPr>
          <w:p>
            <w:pPr>
              <w:spacing w:before="40" w:after="40"/>
            </w:pPr>
            <w:r>
              <w:rPr>
                <w:color w:val="566573"/>
                <w:sz w:val="20"/>
              </w:rPr>
              <w:t>Médecin</w:t>
            </w:r>
          </w:p>
        </w:tc>
        <w:tc>
          <w:tcPr>
            <w:tcW w:w="3200" w:type="dxa"/>
          </w:tcPr>
          <w:p>
            <w:pPr>
              <w:spacing w:before="40" w:after="40"/>
            </w:pPr>
            <w:r>
              <w:rPr>
                <w:color w:val="566573"/>
                <w:sz w:val="20"/>
              </w:rPr>
              <w:t>Prescripteur d'actes médicaux</w:t>
            </w:r>
          </w:p>
        </w:tc>
        <w:tc>
          <w:tcPr>
            <w:tcW w:w="4000" w:type="dxa"/>
          </w:tcPr>
          <w:p>
            <w:pPr>
              <w:spacing w:before="40" w:after="40"/>
            </w:pPr>
            <w:r>
              <w:rPr>
                <w:color w:val="566573"/>
                <w:sz w:val="20"/>
              </w:rPr>
              <w:t>Création de prescriptions, accès au dossier patient (avec consentement), signature cryptographique</w:t>
            </w:r>
          </w:p>
        </w:tc>
      </w:tr>
      <w:tr>
        <w:tc>
          <w:tcPr>
            <w:tcW w:w="1800" w:type="dxa"/>
          </w:tcPr>
          <w:p>
            <w:pPr>
              <w:spacing w:before="40" w:after="40"/>
            </w:pPr>
            <w:r>
              <w:rPr>
                <w:color w:val="566573"/>
                <w:sz w:val="20"/>
              </w:rPr>
              <w:t>Pharmacie</w:t>
            </w:r>
          </w:p>
        </w:tc>
        <w:tc>
          <w:tcPr>
            <w:tcW w:w="3200" w:type="dxa"/>
          </w:tcPr>
          <w:p>
            <w:pPr>
              <w:spacing w:before="40" w:after="40"/>
            </w:pPr>
            <w:r>
              <w:rPr>
                <w:color w:val="566573"/>
                <w:sz w:val="20"/>
              </w:rPr>
              <w:t>Délivrance des médicaments</w:t>
            </w:r>
          </w:p>
        </w:tc>
        <w:tc>
          <w:tcPr>
            <w:tcW w:w="4000" w:type="dxa"/>
          </w:tcPr>
          <w:p>
            <w:pPr>
              <w:spacing w:before="40" w:after="40"/>
            </w:pPr>
            <w:r>
              <w:rPr>
                <w:color w:val="566573"/>
                <w:sz w:val="20"/>
              </w:rPr>
              <w:t>Vérification des ordonnances, enregistrement des délivrances, gestion des stocks</w:t>
            </w:r>
          </w:p>
        </w:tc>
      </w:tr>
      <w:tr>
        <w:tc>
          <w:tcPr>
            <w:tcW w:w="1800" w:type="dxa"/>
          </w:tcPr>
          <w:p>
            <w:pPr>
              <w:spacing w:before="40" w:after="40"/>
            </w:pPr>
            <w:r>
              <w:rPr>
                <w:color w:val="566573"/>
                <w:sz w:val="20"/>
              </w:rPr>
              <w:t>Assurance</w:t>
            </w:r>
          </w:p>
        </w:tc>
        <w:tc>
          <w:tcPr>
            <w:tcW w:w="3200" w:type="dxa"/>
          </w:tcPr>
          <w:p>
            <w:pPr>
              <w:spacing w:before="40" w:after="40"/>
            </w:pPr>
            <w:r>
              <w:rPr>
                <w:color w:val="566573"/>
                <w:sz w:val="20"/>
              </w:rPr>
              <w:t>Financement et contrôle</w:t>
            </w:r>
          </w:p>
        </w:tc>
        <w:tc>
          <w:tcPr>
            <w:tcW w:w="4000" w:type="dxa"/>
          </w:tcPr>
          <w:p>
            <w:pPr>
              <w:spacing w:before="40" w:after="40"/>
            </w:pPr>
            <w:r>
              <w:rPr>
                <w:color w:val="566573"/>
                <w:sz w:val="20"/>
              </w:rPr>
              <w:t>Validation des remboursements, détection des fraudes, rapports analytiques</w:t>
            </w:r>
          </w:p>
        </w:tc>
      </w:tr>
      <w:tr>
        <w:tc>
          <w:tcPr>
            <w:tcW w:w="1800" w:type="dxa"/>
          </w:tcPr>
          <w:p>
            <w:pPr>
              <w:spacing w:before="40" w:after="40"/>
            </w:pPr>
            <w:r>
              <w:rPr>
                <w:color w:val="566573"/>
                <w:sz w:val="20"/>
              </w:rPr>
              <w:t>ANAM / Ministère</w:t>
            </w:r>
          </w:p>
        </w:tc>
        <w:tc>
          <w:tcPr>
            <w:tcW w:w="3200" w:type="dxa"/>
          </w:tcPr>
          <w:p>
            <w:pPr>
              <w:spacing w:before="40" w:after="40"/>
            </w:pPr>
            <w:r>
              <w:rPr>
                <w:color w:val="566573"/>
                <w:sz w:val="20"/>
              </w:rPr>
              <w:t>Régulation et supervision</w:t>
            </w:r>
          </w:p>
        </w:tc>
        <w:tc>
          <w:tcPr>
            <w:tcW w:w="4000" w:type="dxa"/>
          </w:tcPr>
          <w:p>
            <w:pPr>
              <w:spacing w:before="40" w:after="40"/>
            </w:pPr>
            <w:r>
              <w:rPr>
                <w:color w:val="566573"/>
                <w:sz w:val="20"/>
              </w:rPr>
              <w:t>Audit de la chaîne, rapports statistiques, gouvernance des smart contracts</w:t>
            </w:r>
          </w:p>
        </w:tc>
      </w:tr>
    </w:tbl>
    <w:p>
      <w:pPr>
        <w:pStyle w:val="Heading1"/>
      </w:pPr>
      <w:r>
        <w:t>4. Architecture Technique Hybride</w:t>
      </w:r>
      <w:bookmarkStart w:name="_Toc004" w:id="4"/>
      <w:bookmarkEnd w:id="4"/>
    </w:p>
    <w:p>
      <w:r>
        <w:t>Le système adopte une architecture hybride innovante combinant stockage off-chain pour les données volumineuses et stockage on-chain pour les preuves cryptographiques et la logique métier. Cette approche garantit à la fois la scalabilité du système et l'immuabilité des preuves.</w:t>
      </w:r>
    </w:p>
    <w:p>
      <w:pPr>
        <w:pStyle w:val="Heading2"/>
      </w:pPr>
      <w:r>
        <w:t>4.1 Stockage Off-Chain (IPFS / Cloud)</w:t>
      </w:r>
    </w:p>
    <w:p>
      <w:r>
        <w:t>Les données volumineuses et les documents médicaux ne sont pas stockés directement sur la blockchain pour des raisons de coût et de performance. Ils sont hébergés sur une infrastructure de stockage distribuée.</w:t>
      </w:r>
    </w:p>
    <w:p>
      <w:r>
        <w:rPr>
          <w:b/>
        </w:rPr>
        <w:t>Composants Off-Chain :</w:t>
      </w:r>
    </w:p>
    <w:p>
      <w:pPr>
        <w:numPr>
          <w:ilvl w:val="0"/>
          <w:numId w:val="1"/>
        </w:numPr>
      </w:pPr>
      <w:r>
        <w:t>IPFS (InterPlanetary File System) : Stockage décentralisé et distribué des documents médicaux (ordonnances PDF, résultats d'imagerie, comptes-rendus)</w:t>
      </w:r>
    </w:p>
    <w:p>
      <w:pPr>
        <w:numPr>
          <w:ilvl w:val="0"/>
          <w:numId w:val="1"/>
        </w:numPr>
      </w:pPr>
      <w:r>
        <w:t>Cloud Souverain Marocain : Instance de backup et de cache pour garantir la disponibilité et la résidence des données sur le territoire national</w:t>
      </w:r>
    </w:p>
    <w:p>
      <w:pPr>
        <w:numPr>
          <w:ilvl w:val="0"/>
          <w:numId w:val="1"/>
        </w:numPr>
      </w:pPr>
      <w:r>
        <w:t>Base de données MongoDB : Stockage des données opérationnelles de l'application (profils utilisateurs, logs d'activité, préférences) hors blockchain</w:t>
      </w:r>
    </w:p>
    <w:p>
      <w:pPr>
        <w:numPr>
          <w:ilvl w:val="0"/>
          <w:numId w:val="1"/>
        </w:numPr>
      </w:pPr>
      <w:r>
        <w:t>Chiffrement de bout en bout : Toutes les données sont chiffrées avant stockage via AES-256 avec clés gérées par les patients</w:t>
      </w:r>
    </w:p>
    <w:p>
      <w:pPr>
        <w:pStyle w:val="Heading2"/>
      </w:pPr>
      <w:r>
        <w:t>4.2 Stockage On-Chain (Hash / Smart Contracts)</w:t>
      </w:r>
    </w:p>
    <w:p>
      <w:r>
        <w:t>La blockchain constitue la couche de confiance du système. Seules les données essentielles à la traçabilité et à la preuve sont enregistrées on-chain.</w:t>
      </w:r>
    </w:p>
    <w:p>
      <w:r>
        <w:rPr>
          <w:b/>
        </w:rPr>
        <w:t>Composants On-Chain :</w:t>
      </w:r>
    </w:p>
    <w:p>
      <w:pPr>
        <w:numPr>
          <w:ilvl w:val="0"/>
          <w:numId w:val="1"/>
        </w:numPr>
      </w:pPr>
      <w:r>
        <w:t>Empreintes cryptographiques (SHA-256) de chaque document médical, garantissant l'intégrité sans exposer le contenu</w:t>
      </w:r>
    </w:p>
    <w:p>
      <w:pPr>
        <w:numPr>
          <w:ilvl w:val="0"/>
          <w:numId w:val="1"/>
        </w:numPr>
      </w:pPr>
      <w:r>
        <w:t>Smart Contracts en Rust (pour blockchain Substrate/Polkadot ou Solana) gérant : l'enregistrement des prescriptions, la validation des délivrances, l'exécution des remboursements, la gestion des consentements</w:t>
      </w:r>
    </w:p>
    <w:p>
      <w:pPr>
        <w:numPr>
          <w:ilvl w:val="0"/>
          <w:numId w:val="1"/>
        </w:numPr>
      </w:pPr>
      <w:r>
        <w:t>Registre immuable des transactions avec horodatage et identifiants des acteurs</w:t>
      </w:r>
    </w:p>
    <w:p>
      <w:pPr>
        <w:numPr>
          <w:ilvl w:val="0"/>
          <w:numId w:val="1"/>
        </w:numPr>
      </w:pPr>
      <w:r>
        <w:t>Tokens non fongibles (NFTs médicaux) représentant les prescriptions et certificats de santé</w:t>
      </w:r>
    </w:p>
    <w:p>
      <w:pPr>
        <w:numPr>
          <w:ilvl w:val="0"/>
          <w:numId w:val="1"/>
        </w:numPr>
      </w:pPr>
      <w:r>
        <w:t>Mécanisme de consensus Proof-of-Authority (PoA) avec validateurs identifiés (ANAM, Ordres professionnels, Ministère)</w:t>
      </w:r>
    </w:p>
    <w:p>
      <w:pPr>
        <w:pStyle w:val="Heading2"/>
      </w:pPr>
      <w:r>
        <w:t>4.3 Schéma d'Architecture</w:t>
      </w:r>
    </w:p>
    <w:p>
      <w:r>
        <w:t>Le flux de données suit le parcours suivant : (1) Le médecin crée une prescription via l'interface Next.js ; (2) Le backend Node.js génère le document, le chiffre et le pousse sur IPFS ; (3) Le hash IPFS et les métadonnées sont enregistrés sur la blockchain via Web3 ; (4) Le pharmacien scanne le QR code, vérifie le hash on-chain, délivre les médicaments et enregistre la transaction ; (5) Le smart contract déclenche automatiquement le remboursement.</w:t>
      </w:r>
    </w:p>
    <w:p>
      <w:pPr>
        <w:pStyle w:val="Heading1"/>
      </w:pPr>
      <w:r>
        <w:t>5. Maîtrise d'Ouvrage et Maîtrise d'Œuvre</w:t>
      </w:r>
      <w:bookmarkStart w:name="_Toc005" w:id="5"/>
      <w:bookmarkEnd w:id="5"/>
    </w:p>
    <w:p>
      <w:pPr>
        <w:pStyle w:val="Heading2"/>
      </w:pPr>
      <w:r>
        <w:t>5.1 Maîtrise d'Ouvrage (MOA)</w:t>
      </w:r>
    </w:p>
    <w:p>
      <w:r>
        <w:rPr>
          <w:b/>
        </w:rPr>
        <w:t>Porteur de la vision : Ministère de la Santé et du Protection Sociale, avec l'ANAM comme opérateur délégué.</w:t>
      </w:r>
    </w:p>
    <w:p>
      <w:r>
        <w:t>La Maîtrise d'Ouvrage est responsable de la définition du besoin métier, de l'orientation stratégique du projet, et de la validation des livrables. Elle représente les intérêts des citoyens, des professionnels de santé et des assureurs.</w:t>
      </w:r>
    </w:p>
    <w:p>
      <w:r>
        <w:rPr>
          <w:b/>
        </w:rPr>
        <w:t>Responsabilités de la MOA :</w:t>
      </w:r>
    </w:p>
    <w:p>
      <w:pPr>
        <w:numPr>
          <w:ilvl w:val="0"/>
          <w:numId w:val="1"/>
        </w:numPr>
      </w:pPr>
      <w:r>
        <w:t>Définition des objectifs stratégiques et des indicateurs de performance (KPIs)</w:t>
      </w:r>
    </w:p>
    <w:p>
      <w:pPr>
        <w:numPr>
          <w:ilvl w:val="0"/>
          <w:numId w:val="1"/>
        </w:numPr>
      </w:pPr>
      <w:r>
        <w:t>Validation des spécifications fonctionnelles et des maquettes UI/UX</w:t>
      </w:r>
    </w:p>
    <w:p>
      <w:pPr>
        <w:numPr>
          <w:ilvl w:val="0"/>
          <w:numId w:val="1"/>
        </w:numPr>
      </w:pPr>
      <w:r>
        <w:t>Coordination avec les régulateurs (Ordres professionnels, CNDP pour la protection des données)</w:t>
      </w:r>
    </w:p>
    <w:p>
      <w:pPr>
        <w:numPr>
          <w:ilvl w:val="0"/>
          <w:numId w:val="1"/>
        </w:numPr>
      </w:pPr>
      <w:r>
        <w:t>Animation du comité de pilotage et organisation des revues de projet</w:t>
      </w:r>
    </w:p>
    <w:p>
      <w:pPr>
        <w:numPr>
          <w:ilvl w:val="0"/>
          <w:numId w:val="1"/>
        </w:numPr>
      </w:pPr>
      <w:r>
        <w:t>Validation des plans de test, recette utilisateur et mise en production</w:t>
      </w:r>
    </w:p>
    <w:p>
      <w:pPr>
        <w:numPr>
          <w:ilvl w:val="0"/>
          <w:numId w:val="1"/>
        </w:numPr>
      </w:pPr>
      <w:r>
        <w:t>Définition des politiques de gouvernance des données et du consentement</w:t>
      </w:r>
    </w:p>
    <w:p>
      <w:pPr>
        <w:numPr>
          <w:ilvl w:val="0"/>
          <w:numId w:val="1"/>
        </w:numPr>
      </w:pPr>
      <w:r>
        <w:t>Formation et communication auprès des acteurs du système de santé</w:t>
      </w:r>
    </w:p>
    <w:p>
      <w:pPr>
        <w:pStyle w:val="Heading2"/>
      </w:pPr>
      <w:r>
        <w:t>5.2 Maîtrise d'Œuvre (MOE)</w:t>
      </w:r>
    </w:p>
    <w:p>
      <w:r>
        <w:rPr>
          <w:b/>
        </w:rPr>
        <w:t>Responsable de la réalisation technique : Consortium d'intégrateurs spécialisés en blockchain et santé numérique.</w:t>
      </w:r>
    </w:p>
    <w:p>
      <w:r>
        <w:t>La Maîtrise d'Œuvre est chargée de la conception technique, du développement, des tests et du déploiement de la solution. Elle traduit les besoins métier en solutions techniques robustes et sécurisées.</w:t>
      </w:r>
    </w:p>
    <w:p>
      <w:r>
        <w:rPr>
          <w:b/>
        </w:rPr>
        <w:t>Responsabilités de la MOE :</w:t>
      </w:r>
    </w:p>
    <w:p>
      <w:pPr>
        <w:numPr>
          <w:ilvl w:val="0"/>
          <w:numId w:val="1"/>
        </w:numPr>
      </w:pPr>
      <w:r>
        <w:t>Conception de l'architecture technique et des schémas de sécurité</w:t>
      </w:r>
    </w:p>
    <w:p>
      <w:pPr>
        <w:numPr>
          <w:ilvl w:val="0"/>
          <w:numId w:val="1"/>
        </w:numPr>
      </w:pPr>
      <w:r>
        <w:t>Développement des smart contracts, des API et des interfaces utilisateurs</w:t>
      </w:r>
    </w:p>
    <w:p>
      <w:pPr>
        <w:numPr>
          <w:ilvl w:val="0"/>
          <w:numId w:val="1"/>
        </w:numPr>
      </w:pPr>
      <w:r>
        <w:t>Mise en place de l'infrastructure (nœuds blockchain, serveurs, base de données)</w:t>
      </w:r>
    </w:p>
    <w:p>
      <w:pPr>
        <w:numPr>
          <w:ilvl w:val="0"/>
          <w:numId w:val="1"/>
        </w:numPr>
      </w:pPr>
      <w:r>
        <w:t>Réalisation des tests unitaires, d'intégration et de charge</w:t>
      </w:r>
    </w:p>
    <w:p>
      <w:pPr>
        <w:numPr>
          <w:ilvl w:val="0"/>
          <w:numId w:val="1"/>
        </w:numPr>
      </w:pPr>
      <w:r>
        <w:t>Audit de sécurité des smart contracts et pentest de l'infrastructure</w:t>
      </w:r>
    </w:p>
    <w:p>
      <w:pPr>
        <w:numPr>
          <w:ilvl w:val="0"/>
          <w:numId w:val="1"/>
        </w:numPr>
      </w:pPr>
      <w:r>
        <w:t>Rédaction de la documentation technique et des guides d'exploitation</w:t>
      </w:r>
    </w:p>
    <w:p>
      <w:pPr>
        <w:numPr>
          <w:ilvl w:val="0"/>
          <w:numId w:val="1"/>
        </w:numPr>
      </w:pPr>
      <w:r>
        <w:t>Formation des équipes de support et des administrateurs système</w:t>
      </w:r>
    </w:p>
    <w:p>
      <w:pPr>
        <w:numPr>
          <w:ilvl w:val="0"/>
          <w:numId w:val="1"/>
        </w:numPr>
      </w:pPr>
      <w:r>
        <w:t>Assistance technique post-déploiement et garantie des correctifs</w:t>
      </w:r>
    </w:p>
    <w:p>
      <w:pPr>
        <w:pStyle w:val="Heading2"/>
      </w:pPr>
      <w:r>
        <w:t>5.3 Comité de Pilotage</w:t>
      </w:r>
    </w:p>
    <w:p>
      <w:r>
        <w:t>Un comité de pilotage réuni mensuellement rassemble les représentants de la MOA, de la MOE, de l'ANAM, de la CNSS, de la CNOPS et des Ordres professionnels. Il statue sur les arbitrages, valide les changements de scope et surveille l'avancement selon les indicateurs définis.</w:t>
      </w:r>
    </w:p>
    <w:p>
      <w:pPr>
        <w:pStyle w:val="Heading1"/>
      </w:pPr>
      <w:r>
        <w:t>6. Équipe Projet et Main-d'Œuvre</w:t>
      </w:r>
      <w:bookmarkStart w:name="_Toc006" w:id="6"/>
      <w:bookmarkEnd w:id="6"/>
    </w:p>
    <w:p>
      <w:r>
        <w:t>La réussite d'un projet blockchain de cette envergure nécessite une équipe pluridisciplinaire couvrant l'ensemble des compétences techniques, fonctionnelles et métiers. Le tableau ci-dessous présente l'ensemble des profils requis avec leur justification.</w:t>
      </w:r>
    </w:p>
    <w:tbl>
      <w:tblPr>
        <w:tblW w:w="5000" w:type="pct"/>
        <w:tblBorders>
          <w:top w:val="single" w:color="1a5276" w:sz="12"/>
          <w:bottom w:val="single" w:color="1a5276" w:sz="12"/>
          <w:insideH w:val="single" w:color="d5d8dc" w:sz="4"/>
        </w:tblBorders>
      </w:tblPr>
      <w:tblGrid>
        <w:gridCol w:w="2400"/>
        <w:gridCol w:w="800"/>
        <w:gridCol w:w="5800"/>
      </w:tblGrid>
      <w:tr>
        <w:trPr>
          <w:tblHeader/>
        </w:trPr>
        <w:tc>
          <w:tcPr>
            <w:tcW w:w="2400" w:type="dxa"/>
            <w:tcBorders>
              <w:bottom w:val="single" w:color="1a5276" w:sz="6"/>
            </w:tcBorders>
            <w:shd w:val="clear" w:fill="eaf2f8"/>
          </w:tcPr>
          <w:p>
            <w:pPr>
              <w:spacing w:before="60" w:after="60"/>
              <w:jc w:val="center"/>
            </w:pPr>
            <w:r>
              <w:rPr>
                <w:b/>
                <w:color w:val="1c2833"/>
                <w:sz w:val="20"/>
              </w:rPr>
              <w:t>Profil</w:t>
            </w:r>
          </w:p>
        </w:tc>
        <w:tc>
          <w:tcPr>
            <w:tcW w:w="800" w:type="dxa"/>
            <w:tcBorders>
              <w:bottom w:val="single" w:color="1a5276" w:sz="6"/>
            </w:tcBorders>
            <w:shd w:val="clear" w:fill="eaf2f8"/>
          </w:tcPr>
          <w:p>
            <w:pPr>
              <w:spacing w:before="60" w:after="60"/>
              <w:jc w:val="center"/>
            </w:pPr>
            <w:r>
              <w:rPr>
                <w:b/>
                <w:color w:val="1c2833"/>
                <w:sz w:val="20"/>
              </w:rPr>
              <w:t>Qté</w:t>
            </w:r>
          </w:p>
        </w:tc>
        <w:tc>
          <w:tcPr>
            <w:tcW w:w="5800" w:type="dxa"/>
            <w:tcBorders>
              <w:bottom w:val="single" w:color="1a5276" w:sz="6"/>
            </w:tcBorders>
            <w:shd w:val="clear" w:fill="eaf2f8"/>
          </w:tcPr>
          <w:p>
            <w:pPr>
              <w:spacing w:before="60" w:after="60"/>
              <w:jc w:val="center"/>
            </w:pPr>
            <w:r>
              <w:rPr>
                <w:b/>
                <w:color w:val="1c2833"/>
                <w:sz w:val="20"/>
              </w:rPr>
              <w:t>Justification et Mission</w:t>
            </w:r>
          </w:p>
        </w:tc>
      </w:tr>
      <w:tr>
        <w:tc>
          <w:tcPr>
            <w:tcW w:w="2400" w:type="dxa"/>
          </w:tcPr>
          <w:p>
            <w:pPr>
              <w:spacing w:before="40" w:after="40"/>
            </w:pPr>
            <w:r>
              <w:rPr>
                <w:color w:val="566573"/>
                <w:sz w:val="20"/>
              </w:rPr>
              <w:t>Chef de Projet IT / PMO</w:t>
            </w:r>
          </w:p>
        </w:tc>
        <w:tc>
          <w:tcPr>
            <w:tcW w:w="800" w:type="dxa"/>
          </w:tcPr>
          <w:p>
            <w:pPr>
              <w:spacing w:before="40" w:after="40"/>
            </w:pPr>
            <w:r>
              <w:rPr>
                <w:color w:val="566573"/>
                <w:sz w:val="20"/>
              </w:rPr>
              <w:t>1</w:t>
            </w:r>
          </w:p>
        </w:tc>
        <w:tc>
          <w:tcPr>
            <w:tcW w:w="5800" w:type="dxa"/>
          </w:tcPr>
          <w:p>
            <w:pPr>
              <w:spacing w:before="40" w:after="40"/>
            </w:pPr>
            <w:r>
              <w:rPr>
                <w:color w:val="566573"/>
                <w:sz w:val="20"/>
              </w:rPr>
              <w:t>Coordination globale, pilotage des ressources, reporting MOA, gestion des risques</w:t>
            </w:r>
          </w:p>
        </w:tc>
      </w:tr>
      <w:tr>
        <w:tc>
          <w:tcPr>
            <w:tcW w:w="2400" w:type="dxa"/>
          </w:tcPr>
          <w:p>
            <w:pPr>
              <w:spacing w:before="40" w:after="40"/>
            </w:pPr>
            <w:r>
              <w:rPr>
                <w:color w:val="566573"/>
                <w:sz w:val="20"/>
              </w:rPr>
              <w:t>Product Owner Santé</w:t>
            </w:r>
          </w:p>
        </w:tc>
        <w:tc>
          <w:tcPr>
            <w:tcW w:w="800" w:type="dxa"/>
          </w:tcPr>
          <w:p>
            <w:pPr>
              <w:spacing w:before="40" w:after="40"/>
            </w:pPr>
            <w:r>
              <w:rPr>
                <w:color w:val="566573"/>
                <w:sz w:val="20"/>
              </w:rPr>
              <w:t>1</w:t>
            </w:r>
          </w:p>
        </w:tc>
        <w:tc>
          <w:tcPr>
            <w:tcW w:w="5800" w:type="dxa"/>
          </w:tcPr>
          <w:p>
            <w:pPr>
              <w:spacing w:before="40" w:after="40"/>
            </w:pPr>
            <w:r>
              <w:rPr>
                <w:color w:val="566573"/>
                <w:sz w:val="20"/>
              </w:rPr>
              <w:t>Traduction des besoins métiers santé en user stories, validation fonctionnelle, contact régulateurs</w:t>
            </w:r>
          </w:p>
        </w:tc>
      </w:tr>
      <w:tr>
        <w:tc>
          <w:tcPr>
            <w:tcW w:w="2400" w:type="dxa"/>
          </w:tcPr>
          <w:p>
            <w:pPr>
              <w:spacing w:before="40" w:after="40"/>
            </w:pPr>
            <w:r>
              <w:rPr>
                <w:color w:val="566573"/>
                <w:sz w:val="20"/>
              </w:rPr>
              <w:t>Architecte Blockchain / Web3</w:t>
            </w:r>
          </w:p>
        </w:tc>
        <w:tc>
          <w:tcPr>
            <w:tcW w:w="800" w:type="dxa"/>
          </w:tcPr>
          <w:p>
            <w:pPr>
              <w:spacing w:before="40" w:after="40"/>
            </w:pPr>
            <w:r>
              <w:rPr>
                <w:color w:val="566573"/>
                <w:sz w:val="20"/>
              </w:rPr>
              <w:t>1</w:t>
            </w:r>
          </w:p>
        </w:tc>
        <w:tc>
          <w:tcPr>
            <w:tcW w:w="5800" w:type="dxa"/>
          </w:tcPr>
          <w:p>
            <w:pPr>
              <w:spacing w:before="40" w:after="40"/>
            </w:pPr>
            <w:r>
              <w:rPr>
                <w:color w:val="566573"/>
                <w:sz w:val="20"/>
              </w:rPr>
              <w:t>Conception de l'architecture décentralisée, choix des protocoles, sécurité cryptographique</w:t>
            </w:r>
          </w:p>
        </w:tc>
      </w:tr>
      <w:tr>
        <w:tc>
          <w:tcPr>
            <w:tcW w:w="2400" w:type="dxa"/>
          </w:tcPr>
          <w:p>
            <w:pPr>
              <w:spacing w:before="40" w:after="40"/>
            </w:pPr>
            <w:r>
              <w:rPr>
                <w:color w:val="566573"/>
                <w:sz w:val="20"/>
              </w:rPr>
              <w:t>Développeurs Blockchain (Rust)</w:t>
            </w:r>
          </w:p>
        </w:tc>
        <w:tc>
          <w:tcPr>
            <w:tcW w:w="800" w:type="dxa"/>
          </w:tcPr>
          <w:p>
            <w:pPr>
              <w:spacing w:before="40" w:after="40"/>
            </w:pPr>
            <w:r>
              <w:rPr>
                <w:color w:val="566573"/>
                <w:sz w:val="20"/>
              </w:rPr>
              <w:t>2</w:t>
            </w:r>
          </w:p>
        </w:tc>
        <w:tc>
          <w:tcPr>
            <w:tcW w:w="5800" w:type="dxa"/>
          </w:tcPr>
          <w:p>
            <w:pPr>
              <w:spacing w:before="40" w:after="40"/>
            </w:pPr>
            <w:r>
              <w:rPr>
                <w:color w:val="566573"/>
                <w:sz w:val="20"/>
              </w:rPr>
              <w:t>Développement des smart contracts, tests unitaires, audit interne, revue croisée</w:t>
            </w:r>
          </w:p>
        </w:tc>
      </w:tr>
      <w:tr>
        <w:tc>
          <w:tcPr>
            <w:tcW w:w="2400" w:type="dxa"/>
          </w:tcPr>
          <w:p>
            <w:pPr>
              <w:spacing w:before="40" w:after="40"/>
            </w:pPr>
            <w:r>
              <w:rPr>
                <w:color w:val="566573"/>
                <w:sz w:val="20"/>
              </w:rPr>
              <w:t>Développeurs Full-Stack</w:t>
            </w:r>
          </w:p>
        </w:tc>
        <w:tc>
          <w:tcPr>
            <w:tcW w:w="800" w:type="dxa"/>
          </w:tcPr>
          <w:p>
            <w:pPr>
              <w:spacing w:before="40" w:after="40"/>
            </w:pPr>
            <w:r>
              <w:rPr>
                <w:color w:val="566573"/>
                <w:sz w:val="20"/>
              </w:rPr>
              <w:t>3</w:t>
            </w:r>
          </w:p>
        </w:tc>
        <w:tc>
          <w:tcPr>
            <w:tcW w:w="5800" w:type="dxa"/>
          </w:tcPr>
          <w:p>
            <w:pPr>
              <w:spacing w:before="40" w:after="40"/>
            </w:pPr>
            <w:r>
              <w:rPr>
                <w:color w:val="566573"/>
                <w:sz w:val="20"/>
              </w:rPr>
              <w:t>Interfaces Next.js, API Node.js, intégration Web3, expérience utilisateur</w:t>
            </w:r>
          </w:p>
        </w:tc>
      </w:tr>
      <w:tr>
        <w:tc>
          <w:tcPr>
            <w:tcW w:w="2400" w:type="dxa"/>
          </w:tcPr>
          <w:p>
            <w:pPr>
              <w:spacing w:before="40" w:after="40"/>
            </w:pPr>
            <w:r>
              <w:rPr>
                <w:color w:val="566573"/>
                <w:sz w:val="20"/>
              </w:rPr>
              <w:t>Développeur Mobile</w:t>
            </w:r>
          </w:p>
        </w:tc>
        <w:tc>
          <w:tcPr>
            <w:tcW w:w="800" w:type="dxa"/>
          </w:tcPr>
          <w:p>
            <w:pPr>
              <w:spacing w:before="40" w:after="40"/>
            </w:pPr>
            <w:r>
              <w:rPr>
                <w:color w:val="566573"/>
                <w:sz w:val="20"/>
              </w:rPr>
              <w:t>1</w:t>
            </w:r>
          </w:p>
        </w:tc>
        <w:tc>
          <w:tcPr>
            <w:tcW w:w="5800" w:type="dxa"/>
          </w:tcPr>
          <w:p>
            <w:pPr>
              <w:spacing w:before="40" w:after="40"/>
            </w:pPr>
            <w:r>
              <w:rPr>
                <w:color w:val="566573"/>
                <w:sz w:val="20"/>
              </w:rPr>
              <w:t>Application mobile patient (iOS/Android) avec React Native</w:t>
            </w:r>
          </w:p>
        </w:tc>
      </w:tr>
      <w:tr>
        <w:tc>
          <w:tcPr>
            <w:tcW w:w="2400" w:type="dxa"/>
          </w:tcPr>
          <w:p>
            <w:pPr>
              <w:spacing w:before="40" w:after="40"/>
            </w:pPr>
            <w:r>
              <w:rPr>
                <w:color w:val="566573"/>
                <w:sz w:val="20"/>
              </w:rPr>
              <w:t>Ingénieur DevOps / SRE</w:t>
            </w:r>
          </w:p>
        </w:tc>
        <w:tc>
          <w:tcPr>
            <w:tcW w:w="800" w:type="dxa"/>
          </w:tcPr>
          <w:p>
            <w:pPr>
              <w:spacing w:before="40" w:after="40"/>
            </w:pPr>
            <w:r>
              <w:rPr>
                <w:color w:val="566573"/>
                <w:sz w:val="20"/>
              </w:rPr>
              <w:t>2</w:t>
            </w:r>
          </w:p>
        </w:tc>
        <w:tc>
          <w:tcPr>
            <w:tcW w:w="5800" w:type="dxa"/>
          </w:tcPr>
          <w:p>
            <w:pPr>
              <w:spacing w:before="40" w:after="40"/>
            </w:pPr>
            <w:r>
              <w:rPr>
                <w:color w:val="566573"/>
                <w:sz w:val="20"/>
              </w:rPr>
              <w:t>Infrastructure Kubernetes, CI/CD, monitoring, haute disponibilité</w:t>
            </w:r>
          </w:p>
        </w:tc>
      </w:tr>
      <w:tr>
        <w:tc>
          <w:tcPr>
            <w:tcW w:w="2400" w:type="dxa"/>
          </w:tcPr>
          <w:p>
            <w:pPr>
              <w:spacing w:before="40" w:after="40"/>
            </w:pPr>
            <w:r>
              <w:rPr>
                <w:color w:val="566573"/>
                <w:sz w:val="20"/>
              </w:rPr>
              <w:t>Ingénieur Réseaux &amp; Sécurité</w:t>
            </w:r>
          </w:p>
        </w:tc>
        <w:tc>
          <w:tcPr>
            <w:tcW w:w="800" w:type="dxa"/>
          </w:tcPr>
          <w:p>
            <w:pPr>
              <w:spacing w:before="40" w:after="40"/>
            </w:pPr>
            <w:r>
              <w:rPr>
                <w:color w:val="566573"/>
                <w:sz w:val="20"/>
              </w:rPr>
              <w:t>1</w:t>
            </w:r>
          </w:p>
        </w:tc>
        <w:tc>
          <w:tcPr>
            <w:tcW w:w="5800" w:type="dxa"/>
          </w:tcPr>
          <w:p>
            <w:pPr>
              <w:spacing w:before="40" w:after="40"/>
            </w:pPr>
            <w:r>
              <w:rPr>
                <w:color w:val="566573"/>
                <w:sz w:val="20"/>
              </w:rPr>
              <w:t>Configuration réseau, pare-feu, VPN, segmentation, conformité</w:t>
            </w:r>
          </w:p>
        </w:tc>
      </w:tr>
      <w:tr>
        <w:tc>
          <w:tcPr>
            <w:tcW w:w="2400" w:type="dxa"/>
          </w:tcPr>
          <w:p>
            <w:pPr>
              <w:spacing w:before="40" w:after="40"/>
            </w:pPr>
            <w:r>
              <w:rPr>
                <w:color w:val="566573"/>
                <w:sz w:val="20"/>
              </w:rPr>
              <w:t>Expert Cybersécurité</w:t>
            </w:r>
          </w:p>
        </w:tc>
        <w:tc>
          <w:tcPr>
            <w:tcW w:w="800" w:type="dxa"/>
          </w:tcPr>
          <w:p>
            <w:pPr>
              <w:spacing w:before="40" w:after="40"/>
            </w:pPr>
            <w:r>
              <w:rPr>
                <w:color w:val="566573"/>
                <w:sz w:val="20"/>
              </w:rPr>
              <w:t>1</w:t>
            </w:r>
          </w:p>
        </w:tc>
        <w:tc>
          <w:tcPr>
            <w:tcW w:w="5800" w:type="dxa"/>
          </w:tcPr>
          <w:p>
            <w:pPr>
              <w:spacing w:before="40" w:after="40"/>
            </w:pPr>
            <w:r>
              <w:rPr>
                <w:color w:val="566573"/>
                <w:sz w:val="20"/>
              </w:rPr>
              <w:t>Audit de sécurité, pentest, revue de code sécurisée, gestion des incidents</w:t>
            </w:r>
          </w:p>
        </w:tc>
      </w:tr>
      <w:tr>
        <w:tc>
          <w:tcPr>
            <w:tcW w:w="2400" w:type="dxa"/>
          </w:tcPr>
          <w:p>
            <w:pPr>
              <w:spacing w:before="40" w:after="40"/>
            </w:pPr>
            <w:r>
              <w:rPr>
                <w:color w:val="566573"/>
                <w:sz w:val="20"/>
              </w:rPr>
              <w:t>UI/UX Designer</w:t>
            </w:r>
          </w:p>
        </w:tc>
        <w:tc>
          <w:tcPr>
            <w:tcW w:w="800" w:type="dxa"/>
          </w:tcPr>
          <w:p>
            <w:pPr>
              <w:spacing w:before="40" w:after="40"/>
            </w:pPr>
            <w:r>
              <w:rPr>
                <w:color w:val="566573"/>
                <w:sz w:val="20"/>
              </w:rPr>
              <w:t>1</w:t>
            </w:r>
          </w:p>
        </w:tc>
        <w:tc>
          <w:tcPr>
            <w:tcW w:w="5800" w:type="dxa"/>
          </w:tcPr>
          <w:p>
            <w:pPr>
              <w:spacing w:before="40" w:after="40"/>
            </w:pPr>
            <w:r>
              <w:rPr>
                <w:color w:val="566573"/>
                <w:sz w:val="20"/>
              </w:rPr>
              <w:t>Maquettes, prototypes, tests utilisateurs, accessibilité</w:t>
            </w:r>
          </w:p>
        </w:tc>
      </w:tr>
      <w:tr>
        <w:tc>
          <w:tcPr>
            <w:tcW w:w="2400" w:type="dxa"/>
          </w:tcPr>
          <w:p>
            <w:pPr>
              <w:spacing w:before="40" w:after="40"/>
            </w:pPr>
            <w:r>
              <w:rPr>
                <w:color w:val="566573"/>
                <w:sz w:val="20"/>
              </w:rPr>
              <w:t>Testeur QA</w:t>
            </w:r>
          </w:p>
        </w:tc>
        <w:tc>
          <w:tcPr>
            <w:tcW w:w="800" w:type="dxa"/>
          </w:tcPr>
          <w:p>
            <w:pPr>
              <w:spacing w:before="40" w:after="40"/>
            </w:pPr>
            <w:r>
              <w:rPr>
                <w:color w:val="566573"/>
                <w:sz w:val="20"/>
              </w:rPr>
              <w:t>1</w:t>
            </w:r>
          </w:p>
        </w:tc>
        <w:tc>
          <w:tcPr>
            <w:tcW w:w="5800" w:type="dxa"/>
          </w:tcPr>
          <w:p>
            <w:pPr>
              <w:spacing w:before="40" w:after="40"/>
            </w:pPr>
            <w:r>
              <w:rPr>
                <w:color w:val="566573"/>
                <w:sz w:val="20"/>
              </w:rPr>
              <w:t>Tests fonctionnels, automatisation, recette, validation des livrables</w:t>
            </w:r>
          </w:p>
        </w:tc>
      </w:tr>
      <w:tr>
        <w:tc>
          <w:tcPr>
            <w:tcW w:w="2400" w:type="dxa"/>
          </w:tcPr>
          <w:p>
            <w:pPr>
              <w:spacing w:before="40" w:after="40"/>
            </w:pPr>
            <w:r>
              <w:rPr>
                <w:color w:val="566573"/>
                <w:sz w:val="20"/>
              </w:rPr>
              <w:t>Rédacteur Technique</w:t>
            </w:r>
          </w:p>
        </w:tc>
        <w:tc>
          <w:tcPr>
            <w:tcW w:w="800" w:type="dxa"/>
          </w:tcPr>
          <w:p>
            <w:pPr>
              <w:spacing w:before="40" w:after="40"/>
            </w:pPr>
            <w:r>
              <w:rPr>
                <w:color w:val="566573"/>
                <w:sz w:val="20"/>
              </w:rPr>
              <w:t>1</w:t>
            </w:r>
          </w:p>
        </w:tc>
        <w:tc>
          <w:tcPr>
            <w:tcW w:w="5800" w:type="dxa"/>
          </w:tcPr>
          <w:p>
            <w:pPr>
              <w:spacing w:before="40" w:after="40"/>
            </w:pPr>
            <w:r>
              <w:rPr>
                <w:color w:val="566573"/>
                <w:sz w:val="20"/>
              </w:rPr>
              <w:t>Documentation, guides utilisateurs, procédures d'exploitation</w:t>
            </w:r>
          </w:p>
        </w:tc>
      </w:tr>
    </w:tbl>
    <w:p>
      <w:pPr>
        <w:pStyle w:val="Heading2"/>
      </w:pPr>
      <w:r>
        <w:t>6.1 Justification des Profils Clés</w:t>
      </w:r>
    </w:p>
    <w:p>
      <w:pPr>
        <w:pStyle w:val="Heading3"/>
      </w:pPr>
      <w:r>
        <w:t>Développeurs Blockchain Rust (x2)</w:t>
      </w:r>
    </w:p>
    <w:p>
      <w:r>
        <w:t>Le langage Rust est retenu pour le développement des smart contracts en raison de ses garanties de sécurité mémoire sans garbage collector, de sa performance native et de son adoption par les principales blockchains (Substrate/Polkadot, Near, Solana). Deux développeurs sont nécessaires pour la revue de code croisée et la résilience de l'équipe.</w:t>
      </w:r>
    </w:p>
    <w:p>
      <w:pPr>
        <w:pStyle w:val="Heading3"/>
      </w:pPr>
      <w:r>
        <w:t>Architecte Blockchain / Web3</w:t>
      </w:r>
    </w:p>
    <w:p>
      <w:r>
        <w:t>Ce profil senior assure la cohérence de l'architecture décentralisée, le choix des protocoles, la sécurité cryptographique et l'optimisation des coûts de transaction (gas optimization). Il supervise les interactions entre la couche on-chain et off-chain.</w:t>
      </w:r>
    </w:p>
    <w:p>
      <w:pPr>
        <w:pStyle w:val="Heading3"/>
      </w:pPr>
      <w:r>
        <w:t>Expert Cybersécurité &amp; Cryptographie</w:t>
      </w:r>
    </w:p>
    <w:p>
      <w:r>
        <w:t>Indispensable pour un projet manipulant des données de santé à caractère personnel. Cet expert valide les schémas de chiffrement, les mécanismes de gestion des clés, les protocoles d'authentification et supervise les audits de sécurité.</w:t>
      </w:r>
    </w:p>
    <w:p>
      <w:pPr>
        <w:pStyle w:val="Heading3"/>
      </w:pPr>
      <w:r>
        <w:t>Développeurs Full-Stack (Next.js / Node.js) (x3)</w:t>
      </w:r>
    </w:p>
    <w:p>
      <w:r>
        <w:t>Trois développeurs full-stack assument le développement des interfaces patients et professionnels de santé (Next.js), des API backend (Node.js) et de l'intégration Web3. Cette équipe garantit une expérience utilisateur fluide et une communication sécurisée avec la blockchain.</w:t>
      </w:r>
    </w:p>
    <w:p>
      <w:pPr>
        <w:pStyle w:val="Heading1"/>
      </w:pPr>
      <w:r>
        <w:t>7. Équipements et Stack Technique</w:t>
      </w:r>
      <w:bookmarkStart w:name="_Toc007" w:id="7"/>
      <w:bookmarkEnd w:id="7"/>
    </w:p>
    <w:p>
      <w:r>
        <w:t>Cette section détaille l'ensemble des ressources matérielles et logicielles nécessaires au développement, au déploiement et à l'exploitation du système « Ma Santé en Chaîne ».</w:t>
      </w:r>
    </w:p>
    <w:p>
      <w:pPr>
        <w:pStyle w:val="Heading2"/>
      </w:pPr>
      <w:r>
        <w:t>7.1 Stack Logiciel Détaillée</w:t>
      </w:r>
    </w:p>
    <w:tbl>
      <w:tblPr>
        <w:tblW w:w="5000" w:type="pct"/>
        <w:tblBorders>
          <w:top w:val="single" w:color="1a5276" w:sz="12"/>
          <w:bottom w:val="single" w:color="1a5276" w:sz="12"/>
          <w:insideH w:val="single" w:color="d5d8dc" w:sz="4"/>
        </w:tblBorders>
      </w:tblPr>
      <w:tblGrid>
        <w:gridCol w:w="2200"/>
        <w:gridCol w:w="2800"/>
        <w:gridCol w:w="4000"/>
      </w:tblGrid>
      <w:tr>
        <w:trPr>
          <w:tblHeader/>
        </w:trPr>
        <w:tc>
          <w:tcPr>
            <w:tcW w:w="2200" w:type="dxa"/>
            <w:tcBorders>
              <w:bottom w:val="single" w:color="1a5276" w:sz="6"/>
            </w:tcBorders>
            <w:shd w:val="clear" w:fill="eaf2f8"/>
          </w:tcPr>
          <w:p>
            <w:pPr>
              <w:spacing w:before="60" w:after="60"/>
              <w:jc w:val="center"/>
            </w:pPr>
            <w:r>
              <w:rPr>
                <w:b/>
                <w:color w:val="1c2833"/>
                <w:sz w:val="20"/>
              </w:rPr>
              <w:t>Couche</w:t>
            </w:r>
          </w:p>
        </w:tc>
        <w:tc>
          <w:tcPr>
            <w:tcW w:w="2800" w:type="dxa"/>
            <w:tcBorders>
              <w:bottom w:val="single" w:color="1a5276" w:sz="6"/>
            </w:tcBorders>
            <w:shd w:val="clear" w:fill="eaf2f8"/>
          </w:tcPr>
          <w:p>
            <w:pPr>
              <w:spacing w:before="60" w:after="60"/>
              <w:jc w:val="center"/>
            </w:pPr>
            <w:r>
              <w:rPr>
                <w:b/>
                <w:color w:val="1c2833"/>
                <w:sz w:val="20"/>
              </w:rPr>
              <w:t>Technologie</w:t>
            </w:r>
          </w:p>
        </w:tc>
        <w:tc>
          <w:tcPr>
            <w:tcW w:w="4000" w:type="dxa"/>
            <w:tcBorders>
              <w:bottom w:val="single" w:color="1a5276" w:sz="6"/>
            </w:tcBorders>
            <w:shd w:val="clear" w:fill="eaf2f8"/>
          </w:tcPr>
          <w:p>
            <w:pPr>
              <w:spacing w:before="60" w:after="60"/>
              <w:jc w:val="center"/>
            </w:pPr>
            <w:r>
              <w:rPr>
                <w:b/>
                <w:color w:val="1c2833"/>
                <w:sz w:val="20"/>
              </w:rPr>
              <w:t>Justification</w:t>
            </w:r>
          </w:p>
        </w:tc>
      </w:tr>
      <w:tr>
        <w:tc>
          <w:tcPr>
            <w:tcW w:w="2200" w:type="dxa"/>
          </w:tcPr>
          <w:p>
            <w:pPr>
              <w:spacing w:before="40" w:after="40"/>
            </w:pPr>
            <w:r>
              <w:rPr>
                <w:color w:val="566573"/>
                <w:sz w:val="20"/>
              </w:rPr>
              <w:t>Smart Contracts</w:t>
            </w:r>
          </w:p>
        </w:tc>
        <w:tc>
          <w:tcPr>
            <w:tcW w:w="2800" w:type="dxa"/>
          </w:tcPr>
          <w:p>
            <w:pPr>
              <w:spacing w:before="40" w:after="40"/>
            </w:pPr>
            <w:r>
              <w:rPr>
                <w:color w:val="566573"/>
                <w:sz w:val="20"/>
              </w:rPr>
              <w:t>Rust (Substrate/Solana)</w:t>
            </w:r>
          </w:p>
        </w:tc>
        <w:tc>
          <w:tcPr>
            <w:tcW w:w="4000" w:type="dxa"/>
          </w:tcPr>
          <w:p>
            <w:pPr>
              <w:spacing w:before="40" w:after="40"/>
            </w:pPr>
            <w:r>
              <w:rPr>
                <w:color w:val="566573"/>
                <w:sz w:val="20"/>
              </w:rPr>
              <w:t>Sécurité mémoire, performance native, adoption blockchain majeure</w:t>
            </w:r>
          </w:p>
        </w:tc>
      </w:tr>
      <w:tr>
        <w:tc>
          <w:tcPr>
            <w:tcW w:w="2200" w:type="dxa"/>
          </w:tcPr>
          <w:p>
            <w:pPr>
              <w:spacing w:before="40" w:after="40"/>
            </w:pPr>
            <w:r>
              <w:rPr>
                <w:color w:val="566573"/>
                <w:sz w:val="20"/>
              </w:rPr>
              <w:t>Frontend</w:t>
            </w:r>
          </w:p>
        </w:tc>
        <w:tc>
          <w:tcPr>
            <w:tcW w:w="2800" w:type="dxa"/>
          </w:tcPr>
          <w:p>
            <w:pPr>
              <w:spacing w:before="40" w:after="40"/>
            </w:pPr>
            <w:r>
              <w:rPr>
                <w:color w:val="566573"/>
                <w:sz w:val="20"/>
              </w:rPr>
              <w:t>Next.js 14 (React)</w:t>
            </w:r>
          </w:p>
        </w:tc>
        <w:tc>
          <w:tcPr>
            <w:tcW w:w="4000" w:type="dxa"/>
          </w:tcPr>
          <w:p>
            <w:pPr>
              <w:spacing w:before="40" w:after="40"/>
            </w:pPr>
            <w:r>
              <w:rPr>
                <w:color w:val="566573"/>
                <w:sz w:val="20"/>
              </w:rPr>
              <w:t>SSR/SSG, performance, SEO, expérience utilisateur réactive</w:t>
            </w:r>
          </w:p>
        </w:tc>
      </w:tr>
      <w:tr>
        <w:tc>
          <w:tcPr>
            <w:tcW w:w="2200" w:type="dxa"/>
          </w:tcPr>
          <w:p>
            <w:pPr>
              <w:spacing w:before="40" w:after="40"/>
            </w:pPr>
            <w:r>
              <w:rPr>
                <w:color w:val="566573"/>
                <w:sz w:val="20"/>
              </w:rPr>
              <w:t>Backend API</w:t>
            </w:r>
          </w:p>
        </w:tc>
        <w:tc>
          <w:tcPr>
            <w:tcW w:w="2800" w:type="dxa"/>
          </w:tcPr>
          <w:p>
            <w:pPr>
              <w:spacing w:before="40" w:after="40"/>
            </w:pPr>
            <w:r>
              <w:rPr>
                <w:color w:val="566573"/>
                <w:sz w:val="20"/>
              </w:rPr>
              <w:t>Node.js / Express</w:t>
            </w:r>
          </w:p>
        </w:tc>
        <w:tc>
          <w:tcPr>
            <w:tcW w:w="4000" w:type="dxa"/>
          </w:tcPr>
          <w:p>
            <w:pPr>
              <w:spacing w:before="40" w:after="40"/>
            </w:pPr>
            <w:r>
              <w:rPr>
                <w:color w:val="566573"/>
                <w:sz w:val="20"/>
              </w:rPr>
              <w:t>Ecosystème mature, Web3.js/Ethers.js, développement rapide</w:t>
            </w:r>
          </w:p>
        </w:tc>
      </w:tr>
      <w:tr>
        <w:tc>
          <w:tcPr>
            <w:tcW w:w="2200" w:type="dxa"/>
          </w:tcPr>
          <w:p>
            <w:pPr>
              <w:spacing w:before="40" w:after="40"/>
            </w:pPr>
            <w:r>
              <w:rPr>
                <w:color w:val="566573"/>
                <w:sz w:val="20"/>
              </w:rPr>
              <w:t>Base de données</w:t>
            </w:r>
          </w:p>
        </w:tc>
        <w:tc>
          <w:tcPr>
            <w:tcW w:w="2800" w:type="dxa"/>
          </w:tcPr>
          <w:p>
            <w:pPr>
              <w:spacing w:before="40" w:after="40"/>
            </w:pPr>
            <w:r>
              <w:rPr>
                <w:color w:val="566573"/>
                <w:sz w:val="20"/>
              </w:rPr>
              <w:t>MongoDB</w:t>
            </w:r>
          </w:p>
        </w:tc>
        <w:tc>
          <w:tcPr>
            <w:tcW w:w="4000" w:type="dxa"/>
          </w:tcPr>
          <w:p>
            <w:pPr>
              <w:spacing w:before="40" w:after="40"/>
            </w:pPr>
            <w:r>
              <w:rPr>
                <w:color w:val="566573"/>
                <w:sz w:val="20"/>
              </w:rPr>
              <w:t>Flexibilité schéma, scalabilité horizontale, performances en lecture</w:t>
            </w:r>
          </w:p>
        </w:tc>
      </w:tr>
      <w:tr>
        <w:tc>
          <w:tcPr>
            <w:tcW w:w="2200" w:type="dxa"/>
          </w:tcPr>
          <w:p>
            <w:pPr>
              <w:spacing w:before="40" w:after="40"/>
            </w:pPr>
            <w:r>
              <w:rPr>
                <w:color w:val="566573"/>
                <w:sz w:val="20"/>
              </w:rPr>
              <w:t>Blockchain Layer</w:t>
            </w:r>
          </w:p>
        </w:tc>
        <w:tc>
          <w:tcPr>
            <w:tcW w:w="2800" w:type="dxa"/>
          </w:tcPr>
          <w:p>
            <w:pPr>
              <w:spacing w:before="40" w:after="40"/>
            </w:pPr>
            <w:r>
              <w:rPr>
                <w:color w:val="566573"/>
                <w:sz w:val="20"/>
              </w:rPr>
              <w:t>Web3.js / Ethers.js</w:t>
            </w:r>
          </w:p>
        </w:tc>
        <w:tc>
          <w:tcPr>
            <w:tcW w:w="4000" w:type="dxa"/>
          </w:tcPr>
          <w:p>
            <w:pPr>
              <w:spacing w:before="40" w:after="40"/>
            </w:pPr>
            <w:r>
              <w:rPr>
                <w:color w:val="566573"/>
                <w:sz w:val="20"/>
              </w:rPr>
              <w:t>Interaction standardisée avec la blockchain, gestion des transactions</w:t>
            </w:r>
          </w:p>
        </w:tc>
      </w:tr>
      <w:tr>
        <w:tc>
          <w:tcPr>
            <w:tcW w:w="2200" w:type="dxa"/>
          </w:tcPr>
          <w:p>
            <w:pPr>
              <w:spacing w:before="40" w:after="40"/>
            </w:pPr>
            <w:r>
              <w:rPr>
                <w:color w:val="566573"/>
                <w:sz w:val="20"/>
              </w:rPr>
              <w:t>Stockage Off-Chain</w:t>
            </w:r>
          </w:p>
        </w:tc>
        <w:tc>
          <w:tcPr>
            <w:tcW w:w="2800" w:type="dxa"/>
          </w:tcPr>
          <w:p>
            <w:pPr>
              <w:spacing w:before="40" w:after="40"/>
            </w:pPr>
            <w:r>
              <w:rPr>
                <w:color w:val="566573"/>
                <w:sz w:val="20"/>
              </w:rPr>
              <w:t>IPFS + Cloud</w:t>
            </w:r>
          </w:p>
        </w:tc>
        <w:tc>
          <w:tcPr>
            <w:tcW w:w="4000" w:type="dxa"/>
          </w:tcPr>
          <w:p>
            <w:pPr>
              <w:spacing w:before="40" w:after="40"/>
            </w:pPr>
            <w:r>
              <w:rPr>
                <w:color w:val="566573"/>
                <w:sz w:val="20"/>
              </w:rPr>
              <w:t>Décentralisation, résilience, résidence des données Maroc</w:t>
            </w:r>
          </w:p>
        </w:tc>
      </w:tr>
      <w:tr>
        <w:tc>
          <w:tcPr>
            <w:tcW w:w="2200" w:type="dxa"/>
          </w:tcPr>
          <w:p>
            <w:pPr>
              <w:spacing w:before="40" w:after="40"/>
            </w:pPr>
            <w:r>
              <w:rPr>
                <w:color w:val="566573"/>
                <w:sz w:val="20"/>
              </w:rPr>
              <w:t>Conteneurisation</w:t>
            </w:r>
          </w:p>
        </w:tc>
        <w:tc>
          <w:tcPr>
            <w:tcW w:w="2800" w:type="dxa"/>
          </w:tcPr>
          <w:p>
            <w:pPr>
              <w:spacing w:before="40" w:after="40"/>
            </w:pPr>
            <w:r>
              <w:rPr>
                <w:color w:val="566573"/>
                <w:sz w:val="20"/>
              </w:rPr>
              <w:t>Docker + Kubernetes</w:t>
            </w:r>
          </w:p>
        </w:tc>
        <w:tc>
          <w:tcPr>
            <w:tcW w:w="4000" w:type="dxa"/>
          </w:tcPr>
          <w:p>
            <w:pPr>
              <w:spacing w:before="40" w:after="40"/>
            </w:pPr>
            <w:r>
              <w:rPr>
                <w:color w:val="566573"/>
                <w:sz w:val="20"/>
              </w:rPr>
              <w:t>Orchestration, scalabilité, haute disponibilité</w:t>
            </w:r>
          </w:p>
        </w:tc>
      </w:tr>
      <w:tr>
        <w:tc>
          <w:tcPr>
            <w:tcW w:w="2200" w:type="dxa"/>
          </w:tcPr>
          <w:p>
            <w:pPr>
              <w:spacing w:before="40" w:after="40"/>
            </w:pPr>
            <w:r>
              <w:rPr>
                <w:color w:val="566573"/>
                <w:sz w:val="20"/>
              </w:rPr>
              <w:t>CI/CD</w:t>
            </w:r>
          </w:p>
        </w:tc>
        <w:tc>
          <w:tcPr>
            <w:tcW w:w="2800" w:type="dxa"/>
          </w:tcPr>
          <w:p>
            <w:pPr>
              <w:spacing w:before="40" w:after="40"/>
            </w:pPr>
            <w:r>
              <w:rPr>
                <w:color w:val="566573"/>
                <w:sz w:val="20"/>
              </w:rPr>
              <w:t>GitLab CI / Jenkins</w:t>
            </w:r>
          </w:p>
        </w:tc>
        <w:tc>
          <w:tcPr>
            <w:tcW w:w="4000" w:type="dxa"/>
          </w:tcPr>
          <w:p>
            <w:pPr>
              <w:spacing w:before="40" w:after="40"/>
            </w:pPr>
            <w:r>
              <w:rPr>
                <w:color w:val="566573"/>
                <w:sz w:val="20"/>
              </w:rPr>
              <w:t>Pipeline automatisée, tests continus, déploiement automatisé</w:t>
            </w:r>
          </w:p>
        </w:tc>
      </w:tr>
      <w:tr>
        <w:tc>
          <w:tcPr>
            <w:tcW w:w="2200" w:type="dxa"/>
          </w:tcPr>
          <w:p>
            <w:pPr>
              <w:spacing w:before="40" w:after="40"/>
            </w:pPr>
            <w:r>
              <w:rPr>
                <w:color w:val="566573"/>
                <w:sz w:val="20"/>
              </w:rPr>
              <w:t>Monitoring</w:t>
            </w:r>
          </w:p>
        </w:tc>
        <w:tc>
          <w:tcPr>
            <w:tcW w:w="2800" w:type="dxa"/>
          </w:tcPr>
          <w:p>
            <w:pPr>
              <w:spacing w:before="40" w:after="40"/>
            </w:pPr>
            <w:r>
              <w:rPr>
                <w:color w:val="566573"/>
                <w:sz w:val="20"/>
              </w:rPr>
              <w:t>Prometheus + Grafana</w:t>
            </w:r>
          </w:p>
        </w:tc>
        <w:tc>
          <w:tcPr>
            <w:tcW w:w="4000" w:type="dxa"/>
          </w:tcPr>
          <w:p>
            <w:pPr>
              <w:spacing w:before="40" w:after="40"/>
            </w:pPr>
            <w:r>
              <w:rPr>
                <w:color w:val="566573"/>
                <w:sz w:val="20"/>
              </w:rPr>
              <w:t>Métriques temps réel, alerting, dashboards opérationnels</w:t>
            </w:r>
          </w:p>
        </w:tc>
      </w:tr>
    </w:tbl>
    <w:p>
      <w:pPr>
        <w:pStyle w:val="Heading2"/>
      </w:pPr>
      <w:r>
        <w:t>7.2 Infrastructure Matérielle</w:t>
      </w:r>
    </w:p>
    <w:p>
      <w:pPr>
        <w:pStyle w:val="Heading3"/>
      </w:pPr>
      <w:r>
        <w:t>NŒuds Blockchain</w:t>
      </w:r>
    </w:p>
    <w:p>
      <w:r>
        <w:t>Déploiement de 7 nœuds validateurs répartis géographiquement (Rabat, Casablanca, Marrakech, Tanger, Fès, Agadir, Oujda) pour garantir la décentralisation et la résilience du réseau. Chaque nœud requiert :</w:t>
      </w:r>
    </w:p>
    <w:p>
      <w:pPr>
        <w:numPr>
          <w:ilvl w:val="0"/>
          <w:numId w:val="1"/>
        </w:numPr>
      </w:pPr>
      <w:r>
        <w:t>Serveur dédié : 16 cœurs CPU, 64 Go RAM, 2 To SSD NVMe</w:t>
      </w:r>
    </w:p>
    <w:p>
      <w:pPr>
        <w:numPr>
          <w:ilvl w:val="0"/>
          <w:numId w:val="1"/>
        </w:numPr>
      </w:pPr>
      <w:r>
        <w:t>Connectivité réseau : 1 Gbps symétrique, latence &lt; 10ms</w:t>
      </w:r>
    </w:p>
    <w:p>
      <w:pPr>
        <w:numPr>
          <w:ilvl w:val="0"/>
          <w:numId w:val="1"/>
        </w:numPr>
      </w:pPr>
      <w:r>
        <w:t>Système d'exploitation : Ubuntu Server 24.04 LTS</w:t>
      </w:r>
    </w:p>
    <w:p>
      <w:pPr>
        <w:numPr>
          <w:ilvl w:val="0"/>
          <w:numId w:val="1"/>
        </w:numPr>
      </w:pPr>
      <w:r>
        <w:t>HSM (Hardware Security Module) pour la protection des clés de validation</w:t>
      </w:r>
    </w:p>
    <w:p>
      <w:pPr>
        <w:pStyle w:val="Heading3"/>
      </w:pPr>
      <w:r>
        <w:t>Serveurs d'Application</w:t>
      </w:r>
    </w:p>
    <w:p>
      <w:r>
        <w:t>Cluster Kubernetes hébergeant les services backend, les API et les interfaces utilisateurs :</w:t>
      </w:r>
    </w:p>
    <w:p>
      <w:pPr>
        <w:numPr>
          <w:ilvl w:val="0"/>
          <w:numId w:val="1"/>
        </w:numPr>
      </w:pPr>
      <w:r>
        <w:t>3 nœuds de calcul : 32 cœurs CPU, 128 Go RAM, 1 To SSD NVMe chacun</w:t>
      </w:r>
    </w:p>
    <w:p>
      <w:pPr>
        <w:numPr>
          <w:ilvl w:val="0"/>
          <w:numId w:val="1"/>
        </w:numPr>
      </w:pPr>
      <w:r>
        <w:t>Load balancer HAProxy / Nginx pour la répartition de charge</w:t>
      </w:r>
    </w:p>
    <w:p>
      <w:pPr>
        <w:numPr>
          <w:ilvl w:val="0"/>
          <w:numId w:val="1"/>
        </w:numPr>
      </w:pPr>
      <w:r>
        <w:t>Reverse proxy avec WAF (ModSecurity) pour la protection applicative</w:t>
      </w:r>
    </w:p>
    <w:p>
      <w:pPr>
        <w:numPr>
          <w:ilvl w:val="0"/>
          <w:numId w:val="1"/>
        </w:numPr>
      </w:pPr>
      <w:r>
        <w:t>Redondance active-active avec basculement automatique</w:t>
      </w:r>
    </w:p>
    <w:p>
      <w:pPr>
        <w:pStyle w:val="Heading3"/>
      </w:pPr>
      <w:r>
        <w:t>Base de Données MongoDB</w:t>
      </w:r>
    </w:p>
    <w:p>
      <w:pPr>
        <w:numPr>
          <w:ilvl w:val="0"/>
          <w:numId w:val="1"/>
        </w:numPr>
      </w:pPr>
      <w:r>
        <w:t>Cluster MongoDB en réplica set (1 primary + 2 secondaries)</w:t>
      </w:r>
    </w:p>
    <w:p>
      <w:pPr>
        <w:numPr>
          <w:ilvl w:val="0"/>
          <w:numId w:val="1"/>
        </w:numPr>
      </w:pPr>
      <w:r>
        <w:t>Serveurs : 16 cœurs CPU, 64 Go RAM, 2 To SSD NVMe par instance</w:t>
      </w:r>
    </w:p>
    <w:p>
      <w:pPr>
        <w:numPr>
          <w:ilvl w:val="0"/>
          <w:numId w:val="1"/>
        </w:numPr>
      </w:pPr>
      <w:r>
        <w:t>Backup quotidien automatisé avec rétention de 90 jours</w:t>
      </w:r>
    </w:p>
    <w:p>
      <w:pPr>
        <w:numPr>
          <w:ilvl w:val="0"/>
          <w:numId w:val="1"/>
        </w:numPr>
      </w:pPr>
      <w:r>
        <w:t>Chiffrement au repos (AES-256) et en transit (TLS 1.3)</w:t>
      </w:r>
    </w:p>
    <w:p>
      <w:pPr>
        <w:pStyle w:val="Heading3"/>
      </w:pPr>
      <w:r>
        <w:t>Stockage IPFS</w:t>
      </w:r>
    </w:p>
    <w:p>
      <w:pPr>
        <w:numPr>
          <w:ilvl w:val="0"/>
          <w:numId w:val="1"/>
        </w:numPr>
      </w:pPr>
      <w:r>
        <w:t>Cluster IPFS avec 5 nœuds de pinning pour la réplication des données</w:t>
      </w:r>
    </w:p>
    <w:p>
      <w:pPr>
        <w:numPr>
          <w:ilvl w:val="0"/>
          <w:numId w:val="1"/>
        </w:numPr>
      </w:pPr>
      <w:r>
        <w:t>Stockage distribué : 10 To par nœud, extensible</w:t>
      </w:r>
    </w:p>
    <w:p>
      <w:pPr>
        <w:numPr>
          <w:ilvl w:val="0"/>
          <w:numId w:val="1"/>
        </w:numPr>
      </w:pPr>
      <w:r>
        <w:t>Gateway IPFS sécurisée avec authentification par JWT</w:t>
      </w:r>
    </w:p>
    <w:p>
      <w:pPr>
        <w:pStyle w:val="Heading2"/>
      </w:pPr>
      <w:r>
        <w:t>7.3 Critères de Scalabilité et Sécurité</w:t>
      </w:r>
    </w:p>
    <w:p>
      <w:r>
        <w:rPr>
          <w:b/>
        </w:rPr>
        <w:t>Scalabilité :</w:t>
      </w:r>
    </w:p>
    <w:p>
      <w:pPr>
        <w:numPr>
          <w:ilvl w:val="0"/>
          <w:numId w:val="1"/>
        </w:numPr>
      </w:pPr>
      <w:r>
        <w:t>Capacité initiale : 1 000 transactions par seconde (TPS) avec montée en charge jusqu'à 10 000 TPS</w:t>
      </w:r>
    </w:p>
    <w:p>
      <w:pPr>
        <w:numPr>
          <w:ilvl w:val="0"/>
          <w:numId w:val="1"/>
        </w:numPr>
      </w:pPr>
      <w:r>
        <w:t>Architecture microservices permettant le scaling horizontal indépendant par composant</w:t>
      </w:r>
    </w:p>
    <w:p>
      <w:pPr>
        <w:numPr>
          <w:ilvl w:val="0"/>
          <w:numId w:val="1"/>
        </w:numPr>
      </w:pPr>
      <w:r>
        <w:t>Mise en cache Redis pour les données fréquemment accédées</w:t>
      </w:r>
    </w:p>
    <w:p>
      <w:pPr>
        <w:numPr>
          <w:ilvl w:val="0"/>
          <w:numId w:val="1"/>
        </w:numPr>
      </w:pPr>
      <w:r>
        <w:t>CDN pour la distribution des assets statiques et l'accès aux documents IPFS</w:t>
      </w:r>
    </w:p>
    <w:p>
      <w:r>
        <w:rPr>
          <w:b/>
        </w:rPr>
        <w:t>Sécurité :</w:t>
      </w:r>
    </w:p>
    <w:p>
      <w:pPr>
        <w:numPr>
          <w:ilvl w:val="0"/>
          <w:numId w:val="1"/>
        </w:numPr>
      </w:pPr>
      <w:r>
        <w:t>HSM pour la gestion sécurisée des clés privées des nœuds validateurs</w:t>
      </w:r>
    </w:p>
    <w:p>
      <w:pPr>
        <w:numPr>
          <w:ilvl w:val="0"/>
          <w:numId w:val="1"/>
        </w:numPr>
      </w:pPr>
      <w:r>
        <w:t>Pare-feu réseau multi-couches (DMZ, segmentation VLAN)</w:t>
      </w:r>
    </w:p>
    <w:p>
      <w:pPr>
        <w:numPr>
          <w:ilvl w:val="0"/>
          <w:numId w:val="1"/>
        </w:numPr>
      </w:pPr>
      <w:r>
        <w:t>Détection d'intrusion (IDS/IPS) et monitoring SIEM 24/7</w:t>
      </w:r>
    </w:p>
    <w:p>
      <w:pPr>
        <w:numPr>
          <w:ilvl w:val="0"/>
          <w:numId w:val="1"/>
        </w:numPr>
      </w:pPr>
      <w:r>
        <w:t>Audit de sécurité trimestriel par cabinet externe agréé</w:t>
      </w:r>
    </w:p>
    <w:p>
      <w:pPr>
        <w:numPr>
          <w:ilvl w:val="0"/>
          <w:numId w:val="1"/>
        </w:numPr>
      </w:pPr>
      <w:r>
        <w:t>Conformité aux standards internationaux : ISO 27001, HIPAA (référentiel), RGPD-analogue marocain</w:t>
      </w:r>
    </w:p>
    <w:p>
      <w:pPr>
        <w:pStyle w:val="Heading1"/>
      </w:pPr>
      <w:r>
        <w:t>8. Planning et Durée du Projet</w:t>
      </w:r>
      <w:bookmarkStart w:name="_Toc008" w:id="8"/>
      <w:bookmarkEnd w:id="8"/>
    </w:p>
    <w:p>
      <w:r>
        <w:t>La durée totale du projet est estimée à 8 mois, répartis en cinq phases distinctes. Ce planning prend en compte la complexité technique du développement blockchain, les impératifs réglementaires et la nécessité d'un audit de sécurité approfondi.</w:t>
      </w:r>
    </w:p>
    <w:tbl>
      <w:tblPr>
        <w:tblW w:w="5000" w:type="pct"/>
        <w:tblBorders>
          <w:top w:val="single" w:color="1a5276" w:sz="12"/>
          <w:bottom w:val="single" w:color="1a5276" w:sz="12"/>
          <w:insideH w:val="single" w:color="d5d8dc" w:sz="4"/>
        </w:tblBorders>
      </w:tblPr>
      <w:tblGrid>
        <w:gridCol w:w="800"/>
        <w:gridCol w:w="2200"/>
        <w:gridCol w:w="1200"/>
        <w:gridCol w:w="4800"/>
      </w:tblGrid>
      <w:tr>
        <w:trPr>
          <w:tblHeader/>
        </w:trPr>
        <w:tc>
          <w:tcPr>
            <w:tcW w:w="800" w:type="dxa"/>
            <w:tcBorders>
              <w:bottom w:val="single" w:color="1a5276" w:sz="6"/>
            </w:tcBorders>
            <w:shd w:val="clear" w:fill="eaf2f8"/>
          </w:tcPr>
          <w:p>
            <w:pPr>
              <w:spacing w:before="60" w:after="60"/>
              <w:jc w:val="center"/>
            </w:pPr>
            <w:r>
              <w:rPr>
                <w:b/>
                <w:color w:val="1c2833"/>
                <w:sz w:val="20"/>
              </w:rPr>
              <w:t>Phase</w:t>
            </w:r>
          </w:p>
        </w:tc>
        <w:tc>
          <w:tcPr>
            <w:tcW w:w="2200" w:type="dxa"/>
            <w:tcBorders>
              <w:bottom w:val="single" w:color="1a5276" w:sz="6"/>
            </w:tcBorders>
            <w:shd w:val="clear" w:fill="eaf2f8"/>
          </w:tcPr>
          <w:p>
            <w:pPr>
              <w:spacing w:before="60" w:after="60"/>
              <w:jc w:val="center"/>
            </w:pPr>
            <w:r>
              <w:rPr>
                <w:b/>
                <w:color w:val="1c2833"/>
                <w:sz w:val="20"/>
              </w:rPr>
              <w:t>Intitulé</w:t>
            </w:r>
          </w:p>
        </w:tc>
        <w:tc>
          <w:tcPr>
            <w:tcW w:w="1200" w:type="dxa"/>
            <w:tcBorders>
              <w:bottom w:val="single" w:color="1a5276" w:sz="6"/>
            </w:tcBorders>
            <w:shd w:val="clear" w:fill="eaf2f8"/>
          </w:tcPr>
          <w:p>
            <w:pPr>
              <w:spacing w:before="60" w:after="60"/>
              <w:jc w:val="center"/>
            </w:pPr>
            <w:r>
              <w:rPr>
                <w:b/>
                <w:color w:val="1c2833"/>
                <w:sz w:val="20"/>
              </w:rPr>
              <w:t>Durée</w:t>
            </w:r>
          </w:p>
        </w:tc>
        <w:tc>
          <w:tcPr>
            <w:tcW w:w="4800" w:type="dxa"/>
            <w:tcBorders>
              <w:bottom w:val="single" w:color="1a5276" w:sz="6"/>
            </w:tcBorders>
            <w:shd w:val="clear" w:fill="eaf2f8"/>
          </w:tcPr>
          <w:p>
            <w:pPr>
              <w:spacing w:before="60" w:after="60"/>
              <w:jc w:val="center"/>
            </w:pPr>
            <w:r>
              <w:rPr>
                <w:b/>
                <w:color w:val="1c2833"/>
                <w:sz w:val="20"/>
              </w:rPr>
              <w:t>Livrables principaux</w:t>
            </w:r>
          </w:p>
        </w:tc>
      </w:tr>
      <w:tr>
        <w:tc>
          <w:tcPr>
            <w:tcW w:w="800" w:type="dxa"/>
          </w:tcPr>
          <w:p>
            <w:pPr>
              <w:spacing w:before="40" w:after="40"/>
            </w:pPr>
            <w:r>
              <w:rPr>
                <w:color w:val="566573"/>
                <w:sz w:val="20"/>
              </w:rPr>
              <w:t>1</w:t>
            </w:r>
          </w:p>
        </w:tc>
        <w:tc>
          <w:tcPr>
            <w:tcW w:w="2200" w:type="dxa"/>
          </w:tcPr>
          <w:p>
            <w:pPr>
              <w:spacing w:before="40" w:after="40"/>
            </w:pPr>
            <w:r>
              <w:rPr>
                <w:color w:val="566573"/>
                <w:sz w:val="20"/>
              </w:rPr>
              <w:t>Cadrage et Expression des Besoins</w:t>
            </w:r>
          </w:p>
        </w:tc>
        <w:tc>
          <w:tcPr>
            <w:tcW w:w="1200" w:type="dxa"/>
          </w:tcPr>
          <w:p>
            <w:pPr>
              <w:spacing w:before="40" w:after="40"/>
            </w:pPr>
            <w:r>
              <w:rPr>
                <w:color w:val="566573"/>
                <w:sz w:val="20"/>
              </w:rPr>
              <w:t>4 semaines</w:t>
            </w:r>
          </w:p>
        </w:tc>
        <w:tc>
          <w:tcPr>
            <w:tcW w:w="4800" w:type="dxa"/>
          </w:tcPr>
          <w:p>
            <w:pPr>
              <w:spacing w:before="40" w:after="40"/>
            </w:pPr>
            <w:r>
              <w:rPr>
                <w:color w:val="566573"/>
                <w:sz w:val="20"/>
              </w:rPr>
              <w:t>Vision produit, KPIs, plan de projet, benchmark réglementaire</w:t>
            </w:r>
          </w:p>
        </w:tc>
      </w:tr>
      <w:tr>
        <w:tc>
          <w:tcPr>
            <w:tcW w:w="800" w:type="dxa"/>
          </w:tcPr>
          <w:p>
            <w:pPr>
              <w:spacing w:before="40" w:after="40"/>
            </w:pPr>
            <w:r>
              <w:rPr>
                <w:color w:val="566573"/>
                <w:sz w:val="20"/>
              </w:rPr>
              <w:t>2</w:t>
            </w:r>
          </w:p>
        </w:tc>
        <w:tc>
          <w:tcPr>
            <w:tcW w:w="2200" w:type="dxa"/>
          </w:tcPr>
          <w:p>
            <w:pPr>
              <w:spacing w:before="40" w:after="40"/>
            </w:pPr>
            <w:r>
              <w:rPr>
                <w:color w:val="566573"/>
                <w:sz w:val="20"/>
              </w:rPr>
              <w:t>Conception Technique et Maquettes</w:t>
            </w:r>
          </w:p>
        </w:tc>
        <w:tc>
          <w:tcPr>
            <w:tcW w:w="1200" w:type="dxa"/>
          </w:tcPr>
          <w:p>
            <w:pPr>
              <w:spacing w:before="40" w:after="40"/>
            </w:pPr>
            <w:r>
              <w:rPr>
                <w:color w:val="566573"/>
                <w:sz w:val="20"/>
              </w:rPr>
              <w:t>4 semaines</w:t>
            </w:r>
          </w:p>
        </w:tc>
        <w:tc>
          <w:tcPr>
            <w:tcW w:w="4800" w:type="dxa"/>
          </w:tcPr>
          <w:p>
            <w:pPr>
              <w:spacing w:before="40" w:after="40"/>
            </w:pPr>
            <w:r>
              <w:rPr>
                <w:color w:val="566573"/>
                <w:sz w:val="20"/>
              </w:rPr>
              <w:t>Architecture détaillée, maquettes validées, spec smart contracts</w:t>
            </w:r>
          </w:p>
        </w:tc>
      </w:tr>
      <w:tr>
        <w:tc>
          <w:tcPr>
            <w:tcW w:w="800" w:type="dxa"/>
          </w:tcPr>
          <w:p>
            <w:pPr>
              <w:spacing w:before="40" w:after="40"/>
            </w:pPr>
            <w:r>
              <w:rPr>
                <w:color w:val="566573"/>
                <w:sz w:val="20"/>
              </w:rPr>
              <w:t>3</w:t>
            </w:r>
          </w:p>
        </w:tc>
        <w:tc>
          <w:tcPr>
            <w:tcW w:w="2200" w:type="dxa"/>
          </w:tcPr>
          <w:p>
            <w:pPr>
              <w:spacing w:before="40" w:after="40"/>
            </w:pPr>
            <w:r>
              <w:rPr>
                <w:color w:val="566573"/>
                <w:sz w:val="20"/>
              </w:rPr>
              <w:t>Développement</w:t>
            </w:r>
          </w:p>
        </w:tc>
        <w:tc>
          <w:tcPr>
            <w:tcW w:w="1200" w:type="dxa"/>
          </w:tcPr>
          <w:p>
            <w:pPr>
              <w:spacing w:before="40" w:after="40"/>
            </w:pPr>
            <w:r>
              <w:rPr>
                <w:color w:val="566573"/>
                <w:sz w:val="20"/>
              </w:rPr>
              <w:t>12 semaines</w:t>
            </w:r>
          </w:p>
        </w:tc>
        <w:tc>
          <w:tcPr>
            <w:tcW w:w="4800" w:type="dxa"/>
          </w:tcPr>
          <w:p>
            <w:pPr>
              <w:spacing w:before="40" w:after="40"/>
            </w:pPr>
            <w:r>
              <w:rPr>
                <w:color w:val="566573"/>
                <w:sz w:val="20"/>
              </w:rPr>
              <w:t>Smart contracts, frontend/backend, API, intégration Web3</w:t>
            </w:r>
          </w:p>
        </w:tc>
      </w:tr>
      <w:tr>
        <w:tc>
          <w:tcPr>
            <w:tcW w:w="800" w:type="dxa"/>
          </w:tcPr>
          <w:p>
            <w:pPr>
              <w:spacing w:before="40" w:after="40"/>
            </w:pPr>
            <w:r>
              <w:rPr>
                <w:color w:val="566573"/>
                <w:sz w:val="20"/>
              </w:rPr>
              <w:t>4</w:t>
            </w:r>
          </w:p>
        </w:tc>
        <w:tc>
          <w:tcPr>
            <w:tcW w:w="2200" w:type="dxa"/>
          </w:tcPr>
          <w:p>
            <w:pPr>
              <w:spacing w:before="40" w:after="40"/>
            </w:pPr>
            <w:r>
              <w:rPr>
                <w:color w:val="566573"/>
                <w:sz w:val="20"/>
              </w:rPr>
              <w:t>Tests et Audit de Sécurité</w:t>
            </w:r>
          </w:p>
        </w:tc>
        <w:tc>
          <w:tcPr>
            <w:tcW w:w="1200" w:type="dxa"/>
          </w:tcPr>
          <w:p>
            <w:pPr>
              <w:spacing w:before="40" w:after="40"/>
            </w:pPr>
            <w:r>
              <w:rPr>
                <w:color w:val="566573"/>
                <w:sz w:val="20"/>
              </w:rPr>
              <w:t>8 semaines</w:t>
            </w:r>
          </w:p>
        </w:tc>
        <w:tc>
          <w:tcPr>
            <w:tcW w:w="4800" w:type="dxa"/>
          </w:tcPr>
          <w:p>
            <w:pPr>
              <w:spacing w:before="40" w:after="40"/>
            </w:pPr>
            <w:r>
              <w:rPr>
                <w:color w:val="566573"/>
                <w:sz w:val="20"/>
              </w:rPr>
              <w:t>Rapport d'audit, tests de charge, pentest, recette pilote</w:t>
            </w:r>
          </w:p>
        </w:tc>
      </w:tr>
      <w:tr>
        <w:tc>
          <w:tcPr>
            <w:tcW w:w="800" w:type="dxa"/>
          </w:tcPr>
          <w:p>
            <w:pPr>
              <w:spacing w:before="40" w:after="40"/>
            </w:pPr>
            <w:r>
              <w:rPr>
                <w:color w:val="566573"/>
                <w:sz w:val="20"/>
              </w:rPr>
              <w:t>5</w:t>
            </w:r>
          </w:p>
        </w:tc>
        <w:tc>
          <w:tcPr>
            <w:tcW w:w="2200" w:type="dxa"/>
          </w:tcPr>
          <w:p>
            <w:pPr>
              <w:spacing w:before="40" w:after="40"/>
            </w:pPr>
            <w:r>
              <w:rPr>
                <w:color w:val="566573"/>
                <w:sz w:val="20"/>
              </w:rPr>
              <w:t>Déploiement et Formation</w:t>
            </w:r>
          </w:p>
        </w:tc>
        <w:tc>
          <w:tcPr>
            <w:tcW w:w="1200" w:type="dxa"/>
          </w:tcPr>
          <w:p>
            <w:pPr>
              <w:spacing w:before="40" w:after="40"/>
            </w:pPr>
            <w:r>
              <w:rPr>
                <w:color w:val="566573"/>
                <w:sz w:val="20"/>
              </w:rPr>
              <w:t>4 semaines</w:t>
            </w:r>
          </w:p>
        </w:tc>
        <w:tc>
          <w:tcPr>
            <w:tcW w:w="4800" w:type="dxa"/>
          </w:tcPr>
          <w:p>
            <w:pPr>
              <w:spacing w:before="40" w:after="40"/>
            </w:pPr>
            <w:r>
              <w:rPr>
                <w:color w:val="566573"/>
                <w:sz w:val="20"/>
              </w:rPr>
              <w:t>Mainnet live, documentation, formation, lancement national</w:t>
            </w:r>
          </w:p>
        </w:tc>
      </w:tr>
    </w:tbl>
    <w:p>
      <w:pPr>
        <w:pStyle w:val="Heading2"/>
      </w:pPr>
      <w:r>
        <w:t>8.1 Livrables par Phase</w:t>
      </w:r>
    </w:p>
    <w:p>
      <w:pPr>
        <w:pStyle w:val="Heading3"/>
      </w:pPr>
      <w:r>
        <w:t>Phase 1 : Cadrage et Conception (Mois 1)</w:t>
      </w:r>
    </w:p>
    <w:p>
      <w:pPr>
        <w:numPr>
          <w:ilvl w:val="0"/>
          <w:numId w:val="1"/>
        </w:numPr>
      </w:pPr>
      <w:r>
        <w:t>Document de vision et scope détaillé</w:t>
      </w:r>
    </w:p>
    <w:p>
      <w:pPr>
        <w:numPr>
          <w:ilvl w:val="0"/>
          <w:numId w:val="1"/>
        </w:numPr>
      </w:pPr>
      <w:r>
        <w:t>Spécifications techniques et architecture de référence</w:t>
      </w:r>
    </w:p>
    <w:p>
      <w:pPr>
        <w:numPr>
          <w:ilvl w:val="0"/>
          <w:numId w:val="1"/>
        </w:numPr>
      </w:pPr>
      <w:r>
        <w:t>Maquettes UI/UX interactives (Figma) pour les 4 modules</w:t>
      </w:r>
    </w:p>
    <w:p>
      <w:pPr>
        <w:numPr>
          <w:ilvl w:val="0"/>
          <w:numId w:val="1"/>
        </w:numPr>
      </w:pPr>
      <w:r>
        <w:t>Plan de gestion des risques et plan d'assurance qualité</w:t>
      </w:r>
    </w:p>
    <w:p>
      <w:pPr>
        <w:pStyle w:val="Heading3"/>
      </w:pPr>
      <w:r>
        <w:t>Phase 2 : Conception Technique (Mois 2)</w:t>
      </w:r>
    </w:p>
    <w:p>
      <w:pPr>
        <w:numPr>
          <w:ilvl w:val="0"/>
          <w:numId w:val="1"/>
        </w:numPr>
      </w:pPr>
      <w:r>
        <w:t>Architecture détaillée et choix des protocoles blockchain</w:t>
      </w:r>
    </w:p>
    <w:p>
      <w:pPr>
        <w:numPr>
          <w:ilvl w:val="0"/>
          <w:numId w:val="1"/>
        </w:numPr>
      </w:pPr>
      <w:r>
        <w:t>Maquettes validées et prototype cliquable</w:t>
      </w:r>
    </w:p>
    <w:p>
      <w:pPr>
        <w:numPr>
          <w:ilvl w:val="0"/>
          <w:numId w:val="1"/>
        </w:numPr>
      </w:pPr>
      <w:r>
        <w:t>Spécifications des smart contracts</w:t>
      </w:r>
    </w:p>
    <w:p>
      <w:pPr>
        <w:numPr>
          <w:ilvl w:val="0"/>
          <w:numId w:val="1"/>
        </w:numPr>
      </w:pPr>
      <w:r>
        <w:t>Environnements de développement configurés</w:t>
      </w:r>
    </w:p>
    <w:p>
      <w:pPr>
        <w:pStyle w:val="Heading3"/>
      </w:pPr>
      <w:r>
        <w:t>Phase 3 : Développement (Mois 3 – 5)</w:t>
      </w:r>
    </w:p>
    <w:p>
      <w:pPr>
        <w:numPr>
          <w:ilvl w:val="0"/>
          <w:numId w:val="1"/>
        </w:numPr>
      </w:pPr>
      <w:r>
        <w:t>Smart contracts Rust déployés sur testnet</w:t>
      </w:r>
    </w:p>
    <w:p>
      <w:pPr>
        <w:numPr>
          <w:ilvl w:val="0"/>
          <w:numId w:val="1"/>
        </w:numPr>
      </w:pPr>
      <w:r>
        <w:t>Interfaces frontend/backend fonctionnelles</w:t>
      </w:r>
    </w:p>
    <w:p>
      <w:pPr>
        <w:numPr>
          <w:ilvl w:val="0"/>
          <w:numId w:val="1"/>
        </w:numPr>
      </w:pPr>
      <w:r>
        <w:t>Intégration IPFS et base de données MongoDB</w:t>
      </w:r>
    </w:p>
    <w:p>
      <w:pPr>
        <w:numPr>
          <w:ilvl w:val="0"/>
          <w:numId w:val="1"/>
        </w:numPr>
      </w:pPr>
      <w:r>
        <w:t>API REST et intégration Web3 opérationnelles</w:t>
      </w:r>
    </w:p>
    <w:p>
      <w:pPr>
        <w:pStyle w:val="Heading3"/>
      </w:pPr>
      <w:r>
        <w:t>Phase 4 : Tests et Audit (Mois 6 – 7)</w:t>
      </w:r>
    </w:p>
    <w:p>
      <w:pPr>
        <w:numPr>
          <w:ilvl w:val="0"/>
          <w:numId w:val="1"/>
        </w:numPr>
      </w:pPr>
      <w:r>
        <w:t>Rapport d'audit de sécurité des smart contracts</w:t>
      </w:r>
    </w:p>
    <w:p>
      <w:pPr>
        <w:numPr>
          <w:ilvl w:val="0"/>
          <w:numId w:val="1"/>
        </w:numPr>
      </w:pPr>
      <w:r>
        <w:t>Tests de charge et validation des performances</w:t>
      </w:r>
    </w:p>
    <w:p>
      <w:pPr>
        <w:numPr>
          <w:ilvl w:val="0"/>
          <w:numId w:val="1"/>
        </w:numPr>
      </w:pPr>
      <w:r>
        <w:t>Tests d'intrusion (pentest)</w:t>
      </w:r>
    </w:p>
    <w:p>
      <w:pPr>
        <w:numPr>
          <w:ilvl w:val="0"/>
          <w:numId w:val="1"/>
        </w:numPr>
      </w:pPr>
      <w:r>
        <w:t>Recette fonctionnelle avec utilisateurs pilotes</w:t>
      </w:r>
    </w:p>
    <w:p>
      <w:pPr>
        <w:pStyle w:val="Heading3"/>
      </w:pPr>
      <w:r>
        <w:t>Phase 5 : Déploiement et Formation (Mois 8)</w:t>
      </w:r>
    </w:p>
    <w:p>
      <w:pPr>
        <w:numPr>
          <w:ilvl w:val="0"/>
          <w:numId w:val="1"/>
        </w:numPr>
      </w:pPr>
      <w:r>
        <w:t>Déploiement sur le réseau principal (mainnet)</w:t>
      </w:r>
    </w:p>
    <w:p>
      <w:pPr>
        <w:numPr>
          <w:ilvl w:val="0"/>
          <w:numId w:val="1"/>
        </w:numPr>
      </w:pPr>
      <w:r>
        <w:t>Documentation utilisateur et technique</w:t>
      </w:r>
    </w:p>
    <w:p>
      <w:pPr>
        <w:numPr>
          <w:ilvl w:val="0"/>
          <w:numId w:val="1"/>
        </w:numPr>
      </w:pPr>
      <w:r>
        <w:t>Sessions de formation pour 500+ professionnels de santé</w:t>
      </w:r>
    </w:p>
    <w:p>
      <w:pPr>
        <w:numPr>
          <w:ilvl w:val="0"/>
          <w:numId w:val="1"/>
        </w:numPr>
      </w:pPr>
      <w:r>
        <w:t>Campagne de communication nationale</w:t>
      </w:r>
    </w:p>
    <w:p>
      <w:pPr>
        <w:pStyle w:val="Heading1"/>
      </w:pPr>
      <w:r>
        <w:t>9. Diagramme de Gantt</w:t>
      </w:r>
      <w:bookmarkStart w:name="_Toc009" w:id="9"/>
      <w:bookmarkEnd w:id="9"/>
    </w:p>
    <w:p>
      <w:r>
        <w:t>Le diagramme de Gantt ci-dessous présente les phases du projet, leurs durées respectives et leurs dépendances. Les tâches critiques sont identifiées et les chevauchements stratégiques sont planifiés pour optimiser la durée totale.</w:t>
      </w:r>
    </w:p>
    <w:tbl>
      <w:tblPr>
        <w:tblW w:w="5000" w:type="pct"/>
        <w:tblBorders>
          <w:top w:val="single" w:color="1a5276" w:sz="12"/>
          <w:bottom w:val="single" w:color="1a5276" w:sz="12"/>
          <w:insideH w:val="single" w:color="d5d8dc" w:sz="4"/>
        </w:tblBorders>
      </w:tblPr>
      <w:tblGrid>
        <w:gridCol w:w="2500"/>
        <w:gridCol w:w="1200"/>
        <w:gridCol w:w="1200"/>
        <w:gridCol w:w="1200"/>
        <w:gridCol w:w="1200"/>
        <w:gridCol w:w="1200"/>
        <w:gridCol w:w="1200"/>
        <w:gridCol w:w="1200"/>
        <w:gridCol w:w="1200"/>
      </w:tblGrid>
      <w:tr>
        <w:trPr>
          <w:tblHeader/>
        </w:trPr>
        <w:tc>
          <w:tcPr>
            <w:tcW w:w="2500" w:type="dxa"/>
            <w:tcBorders>
              <w:bottom w:val="single" w:color="1a5276" w:sz="6"/>
            </w:tcBorders>
            <w:shd w:val="clear" w:fill="eaf2f8"/>
          </w:tcPr>
          <w:p>
            <w:pPr>
              <w:spacing w:before="60" w:after="60"/>
              <w:jc w:val="center"/>
            </w:pPr>
            <w:r>
              <w:rPr>
                <w:b/>
                <w:color w:val="1c2833"/>
                <w:sz w:val="20"/>
              </w:rPr>
              <w:t>Tâche / Mois</w:t>
            </w:r>
          </w:p>
        </w:tc>
        <w:tc>
          <w:tcPr>
            <w:tcW w:w="1200" w:type="dxa"/>
            <w:tcBorders>
              <w:bottom w:val="single" w:color="1a5276" w:sz="6"/>
            </w:tcBorders>
            <w:shd w:val="clear" w:fill="eaf2f8"/>
          </w:tcPr>
          <w:p>
            <w:pPr>
              <w:spacing w:before="60" w:after="60"/>
              <w:jc w:val="center"/>
            </w:pPr>
            <w:r>
              <w:rPr>
                <w:b/>
                <w:color w:val="1c2833"/>
                <w:sz w:val="20"/>
              </w:rPr>
              <w:t>M1</w:t>
            </w:r>
          </w:p>
        </w:tc>
        <w:tc>
          <w:tcPr>
            <w:tcW w:w="1200" w:type="dxa"/>
            <w:tcBorders>
              <w:bottom w:val="single" w:color="1a5276" w:sz="6"/>
            </w:tcBorders>
            <w:shd w:val="clear" w:fill="eaf2f8"/>
          </w:tcPr>
          <w:p>
            <w:pPr>
              <w:spacing w:before="60" w:after="60"/>
              <w:jc w:val="center"/>
            </w:pPr>
            <w:r>
              <w:rPr>
                <w:b/>
                <w:color w:val="1c2833"/>
                <w:sz w:val="20"/>
              </w:rPr>
              <w:t>M2</w:t>
            </w:r>
          </w:p>
        </w:tc>
        <w:tc>
          <w:tcPr>
            <w:tcW w:w="1200" w:type="dxa"/>
            <w:tcBorders>
              <w:bottom w:val="single" w:color="1a5276" w:sz="6"/>
            </w:tcBorders>
            <w:shd w:val="clear" w:fill="eaf2f8"/>
          </w:tcPr>
          <w:p>
            <w:pPr>
              <w:spacing w:before="60" w:after="60"/>
              <w:jc w:val="center"/>
            </w:pPr>
            <w:r>
              <w:rPr>
                <w:b/>
                <w:color w:val="1c2833"/>
                <w:sz w:val="20"/>
              </w:rPr>
              <w:t>M3</w:t>
            </w:r>
          </w:p>
        </w:tc>
        <w:tc>
          <w:tcPr>
            <w:tcW w:w="1200" w:type="dxa"/>
            <w:tcBorders>
              <w:bottom w:val="single" w:color="1a5276" w:sz="6"/>
            </w:tcBorders>
            <w:shd w:val="clear" w:fill="eaf2f8"/>
          </w:tcPr>
          <w:p>
            <w:pPr>
              <w:spacing w:before="60" w:after="60"/>
              <w:jc w:val="center"/>
            </w:pPr>
            <w:r>
              <w:rPr>
                <w:b/>
                <w:color w:val="1c2833"/>
                <w:sz w:val="20"/>
              </w:rPr>
              <w:t>M4</w:t>
            </w:r>
          </w:p>
        </w:tc>
        <w:tc>
          <w:tcPr>
            <w:tcW w:w="1200" w:type="dxa"/>
            <w:tcBorders>
              <w:bottom w:val="single" w:color="1a5276" w:sz="6"/>
            </w:tcBorders>
            <w:shd w:val="clear" w:fill="eaf2f8"/>
          </w:tcPr>
          <w:p>
            <w:pPr>
              <w:spacing w:before="60" w:after="60"/>
              <w:jc w:val="center"/>
            </w:pPr>
            <w:r>
              <w:rPr>
                <w:b/>
                <w:color w:val="1c2833"/>
                <w:sz w:val="20"/>
              </w:rPr>
              <w:t>M5</w:t>
            </w:r>
          </w:p>
        </w:tc>
        <w:tc>
          <w:tcPr>
            <w:tcW w:w="1200" w:type="dxa"/>
            <w:tcBorders>
              <w:bottom w:val="single" w:color="1a5276" w:sz="6"/>
            </w:tcBorders>
            <w:shd w:val="clear" w:fill="eaf2f8"/>
          </w:tcPr>
          <w:p>
            <w:pPr>
              <w:spacing w:before="60" w:after="60"/>
              <w:jc w:val="center"/>
            </w:pPr>
            <w:r>
              <w:rPr>
                <w:b/>
                <w:color w:val="1c2833"/>
                <w:sz w:val="20"/>
              </w:rPr>
              <w:t>M6</w:t>
            </w:r>
          </w:p>
        </w:tc>
        <w:tc>
          <w:tcPr>
            <w:tcW w:w="1200" w:type="dxa"/>
            <w:tcBorders>
              <w:bottom w:val="single" w:color="1a5276" w:sz="6"/>
            </w:tcBorders>
            <w:shd w:val="clear" w:fill="eaf2f8"/>
          </w:tcPr>
          <w:p>
            <w:pPr>
              <w:spacing w:before="60" w:after="60"/>
              <w:jc w:val="center"/>
            </w:pPr>
            <w:r>
              <w:rPr>
                <w:b/>
                <w:color w:val="1c2833"/>
                <w:sz w:val="20"/>
              </w:rPr>
              <w:t>M7</w:t>
            </w:r>
          </w:p>
        </w:tc>
        <w:tc>
          <w:tcPr>
            <w:tcW w:w="1200" w:type="dxa"/>
            <w:tcBorders>
              <w:bottom w:val="single" w:color="1a5276" w:sz="6"/>
            </w:tcBorders>
            <w:shd w:val="clear" w:fill="eaf2f8"/>
          </w:tcPr>
          <w:p>
            <w:pPr>
              <w:spacing w:before="60" w:after="60"/>
              <w:jc w:val="center"/>
            </w:pPr>
            <w:r>
              <w:rPr>
                <w:b/>
                <w:color w:val="1c2833"/>
                <w:sz w:val="20"/>
              </w:rPr>
              <w:t>M8</w:t>
            </w:r>
          </w:p>
        </w:tc>
      </w:tr>
      <w:tr>
        <w:tc>
          <w:tcPr>
            <w:tcW w:w="2500" w:type="dxa"/>
          </w:tcPr>
          <w:p>
            <w:pPr>
              <w:spacing w:before="40" w:after="40"/>
            </w:pPr>
            <w:r>
              <w:rPr>
                <w:color w:val="566573"/>
                <w:sz w:val="20"/>
              </w:rPr>
              <w:t>Cadrage &amp; Expression des Besoins</w:t>
            </w:r>
          </w:p>
        </w:tc>
        <w:tc>
          <w:tcPr>
            <w:tcW w:w="1200" w:type="dxa"/>
          </w:tcPr>
          <w:p>
            <w:pPr>
              <w:spacing w:before="40" w:after="40"/>
            </w:pPr>
            <w:r>
              <w:rPr>
                <w:color w:val="566573"/>
                <w:sz w:val="20"/>
              </w:rPr>
              <w:t>████</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r>
      <w:tr>
        <w:tc>
          <w:tcPr>
            <w:tcW w:w="2500" w:type="dxa"/>
          </w:tcPr>
          <w:p>
            <w:pPr>
              <w:spacing w:before="40" w:after="40"/>
            </w:pPr>
            <w:r>
              <w:rPr>
                <w:color w:val="566573"/>
                <w:sz w:val="20"/>
              </w:rPr>
              <w:t>Conception Technique &amp; Maquettes</w:t>
            </w:r>
          </w:p>
        </w:tc>
        <w:tc>
          <w:tcPr>
            <w:tcW w:w="1200" w:type="dxa"/>
          </w:tcPr>
          <w:p>
            <w:pPr>
              <w:spacing w:before="40" w:after="40"/>
            </w:pPr>
            <w:r>
              <w:rPr>
                <w:color w:val="566573"/>
                <w:sz w:val="20"/>
              </w:rPr>
              <w:t/>
            </w:r>
          </w:p>
        </w:tc>
        <w:tc>
          <w:tcPr>
            <w:tcW w:w="1200" w:type="dxa"/>
          </w:tcPr>
          <w:p>
            <w:pPr>
              <w:spacing w:before="40" w:after="40"/>
            </w:pPr>
            <w:r>
              <w:rPr>
                <w:color w:val="566573"/>
                <w:sz w:val="20"/>
              </w:rPr>
              <w:t>████</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r>
      <w:tr>
        <w:tc>
          <w:tcPr>
            <w:tcW w:w="2500" w:type="dxa"/>
          </w:tcPr>
          <w:p>
            <w:pPr>
              <w:spacing w:before="40" w:after="40"/>
            </w:pPr>
            <w:r>
              <w:rPr>
                <w:color w:val="566573"/>
                <w:sz w:val="20"/>
              </w:rPr>
              <w:t>Développement Smart Contracts</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w:t>
            </w:r>
          </w:p>
        </w:tc>
        <w:tc>
          <w:tcPr>
            <w:tcW w:w="1200" w:type="dxa"/>
          </w:tcPr>
          <w:p>
            <w:pPr>
              <w:spacing w:before="40" w:after="40"/>
            </w:pPr>
            <w:r>
              <w:rPr>
                <w:color w:val="566573"/>
                <w:sz w:val="20"/>
              </w:rPr>
              <w:t>████</w:t>
            </w:r>
          </w:p>
        </w:tc>
        <w:tc>
          <w:tcPr>
            <w:tcW w:w="1200" w:type="dxa"/>
          </w:tcPr>
          <w:p>
            <w:pPr>
              <w:spacing w:before="40" w:after="40"/>
            </w:pPr>
            <w:r>
              <w:rPr>
                <w:color w:val="566573"/>
                <w:sz w:val="20"/>
              </w:rPr>
              <w:t>████</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r>
      <w:tr>
        <w:tc>
          <w:tcPr>
            <w:tcW w:w="2500" w:type="dxa"/>
          </w:tcPr>
          <w:p>
            <w:pPr>
              <w:spacing w:before="40" w:after="40"/>
            </w:pPr>
            <w:r>
              <w:rPr>
                <w:color w:val="566573"/>
                <w:sz w:val="20"/>
              </w:rPr>
              <w:t>Développement Frontend / Backend</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w:t>
            </w:r>
          </w:p>
        </w:tc>
        <w:tc>
          <w:tcPr>
            <w:tcW w:w="1200" w:type="dxa"/>
          </w:tcPr>
          <w:p>
            <w:pPr>
              <w:spacing w:before="40" w:after="40"/>
            </w:pPr>
            <w:r>
              <w:rPr>
                <w:color w:val="566573"/>
                <w:sz w:val="20"/>
              </w:rPr>
              <w:t>████</w:t>
            </w:r>
          </w:p>
        </w:tc>
        <w:tc>
          <w:tcPr>
            <w:tcW w:w="1200" w:type="dxa"/>
          </w:tcPr>
          <w:p>
            <w:pPr>
              <w:spacing w:before="40" w:after="40"/>
            </w:pPr>
            <w:r>
              <w:rPr>
                <w:color w:val="566573"/>
                <w:sz w:val="20"/>
              </w:rPr>
              <w:t>████</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r>
      <w:tr>
        <w:tc>
          <w:tcPr>
            <w:tcW w:w="2500" w:type="dxa"/>
          </w:tcPr>
          <w:p>
            <w:pPr>
              <w:spacing w:before="40" w:after="40"/>
            </w:pPr>
            <w:r>
              <w:rPr>
                <w:color w:val="566573"/>
                <w:sz w:val="20"/>
              </w:rPr>
              <w:t>Intégration Web3 &amp; IPFS</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w:t>
            </w:r>
          </w:p>
        </w:tc>
        <w:tc>
          <w:tcPr>
            <w:tcW w:w="1200" w:type="dxa"/>
          </w:tcPr>
          <w:p>
            <w:pPr>
              <w:spacing w:before="40" w:after="40"/>
            </w:pPr>
            <w:r>
              <w:rPr>
                <w:color w:val="566573"/>
                <w:sz w:val="20"/>
              </w:rPr>
              <w:t>████</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r>
      <w:tr>
        <w:tc>
          <w:tcPr>
            <w:tcW w:w="2500" w:type="dxa"/>
          </w:tcPr>
          <w:p>
            <w:pPr>
              <w:spacing w:before="40" w:after="40"/>
            </w:pPr>
            <w:r>
              <w:rPr>
                <w:color w:val="566573"/>
                <w:sz w:val="20"/>
              </w:rPr>
              <w:t>Tests Unitaires &amp; Intégration</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w:t>
            </w:r>
          </w:p>
        </w:tc>
        <w:tc>
          <w:tcPr>
            <w:tcW w:w="1200" w:type="dxa"/>
          </w:tcPr>
          <w:p>
            <w:pPr>
              <w:spacing w:before="40" w:after="40"/>
            </w:pPr>
            <w:r>
              <w:rPr>
                <w:color w:val="566573"/>
                <w:sz w:val="20"/>
              </w:rPr>
              <w:t>████</w:t>
            </w:r>
          </w:p>
        </w:tc>
        <w:tc>
          <w:tcPr>
            <w:tcW w:w="1200" w:type="dxa"/>
          </w:tcPr>
          <w:p>
            <w:pPr>
              <w:spacing w:before="40" w:after="40"/>
            </w:pPr>
            <w:r>
              <w:rPr>
                <w:color w:val="566573"/>
                <w:sz w:val="20"/>
              </w:rPr>
              <w:t>████</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r>
      <w:tr>
        <w:tc>
          <w:tcPr>
            <w:tcW w:w="2500" w:type="dxa"/>
          </w:tcPr>
          <w:p>
            <w:pPr>
              <w:spacing w:before="40" w:after="40"/>
            </w:pPr>
            <w:r>
              <w:rPr>
                <w:color w:val="566573"/>
                <w:sz w:val="20"/>
              </w:rPr>
              <w:t>Audit Sécurité Smart Contracts</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w:t>
            </w:r>
          </w:p>
        </w:tc>
        <w:tc>
          <w:tcPr>
            <w:tcW w:w="1200" w:type="dxa"/>
          </w:tcPr>
          <w:p>
            <w:pPr>
              <w:spacing w:before="40" w:after="40"/>
            </w:pPr>
            <w:r>
              <w:rPr>
                <w:color w:val="566573"/>
                <w:sz w:val="20"/>
              </w:rPr>
              <w:t>████</w:t>
            </w:r>
          </w:p>
        </w:tc>
        <w:tc>
          <w:tcPr>
            <w:tcW w:w="1200" w:type="dxa"/>
          </w:tcPr>
          <w:p>
            <w:pPr>
              <w:spacing w:before="40" w:after="40"/>
            </w:pPr>
            <w:r>
              <w:rPr>
                <w:color w:val="566573"/>
                <w:sz w:val="20"/>
              </w:rPr>
              <w:t/>
            </w:r>
          </w:p>
        </w:tc>
      </w:tr>
      <w:tr>
        <w:tc>
          <w:tcPr>
            <w:tcW w:w="2500" w:type="dxa"/>
          </w:tcPr>
          <w:p>
            <w:pPr>
              <w:spacing w:before="40" w:after="40"/>
            </w:pPr>
            <w:r>
              <w:rPr>
                <w:color w:val="566573"/>
                <w:sz w:val="20"/>
              </w:rPr>
              <w:t>Tests de Charge &amp; Performance</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w:t>
            </w:r>
          </w:p>
        </w:tc>
        <w:tc>
          <w:tcPr>
            <w:tcW w:w="1200" w:type="dxa"/>
          </w:tcPr>
          <w:p>
            <w:pPr>
              <w:spacing w:before="40" w:after="40"/>
            </w:pPr>
            <w:r>
              <w:rPr>
                <w:color w:val="566573"/>
                <w:sz w:val="20"/>
              </w:rPr>
              <w:t>████</w:t>
            </w:r>
          </w:p>
        </w:tc>
        <w:tc>
          <w:tcPr>
            <w:tcW w:w="1200" w:type="dxa"/>
          </w:tcPr>
          <w:p>
            <w:pPr>
              <w:spacing w:before="40" w:after="40"/>
            </w:pPr>
            <w:r>
              <w:rPr>
                <w:color w:val="566573"/>
                <w:sz w:val="20"/>
              </w:rPr>
              <w:t/>
            </w:r>
          </w:p>
        </w:tc>
      </w:tr>
      <w:tr>
        <w:tc>
          <w:tcPr>
            <w:tcW w:w="2500" w:type="dxa"/>
          </w:tcPr>
          <w:p>
            <w:pPr>
              <w:spacing w:before="40" w:after="40"/>
            </w:pPr>
            <w:r>
              <w:rPr>
                <w:color w:val="566573"/>
                <w:sz w:val="20"/>
              </w:rPr>
              <w:t>Recette Utilisateur Pilote</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w:t>
            </w:r>
          </w:p>
        </w:tc>
        <w:tc>
          <w:tcPr>
            <w:tcW w:w="1200" w:type="dxa"/>
          </w:tcPr>
          <w:p>
            <w:pPr>
              <w:spacing w:before="40" w:after="40"/>
            </w:pPr>
            <w:r>
              <w:rPr>
                <w:color w:val="566573"/>
                <w:sz w:val="20"/>
              </w:rPr>
              <w:t/>
            </w:r>
          </w:p>
        </w:tc>
      </w:tr>
      <w:tr>
        <w:tc>
          <w:tcPr>
            <w:tcW w:w="2500" w:type="dxa"/>
          </w:tcPr>
          <w:p>
            <w:pPr>
              <w:spacing w:before="40" w:after="40"/>
            </w:pPr>
            <w:r>
              <w:rPr>
                <w:color w:val="566573"/>
                <w:sz w:val="20"/>
              </w:rPr>
              <w:t>Déploiement Mainnet</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w:t>
            </w:r>
          </w:p>
        </w:tc>
      </w:tr>
      <w:tr>
        <w:tc>
          <w:tcPr>
            <w:tcW w:w="2500" w:type="dxa"/>
          </w:tcPr>
          <w:p>
            <w:pPr>
              <w:spacing w:before="40" w:after="40"/>
            </w:pPr>
            <w:r>
              <w:rPr>
                <w:color w:val="566573"/>
                <w:sz w:val="20"/>
              </w:rPr>
              <w:t>Formation &amp; Lancement</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
            </w:r>
          </w:p>
        </w:tc>
        <w:tc>
          <w:tcPr>
            <w:tcW w:w="1200" w:type="dxa"/>
          </w:tcPr>
          <w:p>
            <w:pPr>
              <w:spacing w:before="40" w:after="40"/>
            </w:pPr>
            <w:r>
              <w:rPr>
                <w:color w:val="566573"/>
                <w:sz w:val="20"/>
              </w:rPr>
              <w:t>████</w:t>
            </w:r>
          </w:p>
        </w:tc>
      </w:tr>
    </w:tbl>
    <w:p>
      <w:pPr>
        <w:pStyle w:val="Heading2"/>
      </w:pPr>
      <w:r>
        <w:t>9.1 Dépendances Clés</w:t>
      </w:r>
    </w:p>
    <w:p>
      <w:pPr>
        <w:numPr>
          <w:ilvl w:val="0"/>
          <w:numId w:val="1"/>
        </w:numPr>
      </w:pPr>
      <w:r>
        <w:t>Les phases 1 et 2 sont séquentielles (le cadrage précède la conception technique)</w:t>
      </w:r>
    </w:p>
    <w:p>
      <w:pPr>
        <w:numPr>
          <w:ilvl w:val="0"/>
          <w:numId w:val="1"/>
        </w:numPr>
      </w:pPr>
      <w:r>
        <w:t>La phase 3 (développement) débute dès validation de la conception technique</w:t>
      </w:r>
    </w:p>
    <w:p>
      <w:pPr>
        <w:numPr>
          <w:ilvl w:val="0"/>
          <w:numId w:val="1"/>
        </w:numPr>
      </w:pPr>
      <w:r>
        <w:t>Les tests débutent dès que 60% des développements sont finalisés (approche en V)</w:t>
      </w:r>
    </w:p>
    <w:p>
      <w:pPr>
        <w:numPr>
          <w:ilvl w:val="0"/>
          <w:numId w:val="1"/>
        </w:numPr>
      </w:pPr>
      <w:r>
        <w:t>Le déploiement final n'est autorisé qu'après clôture de tous les audits</w:t>
      </w:r>
    </w:p>
    <w:p>
      <w:pPr>
        <w:pStyle w:val="Heading1"/>
      </w:pPr>
      <w:r>
        <w:t>10. Support et Maintenance</w:t>
      </w:r>
      <w:bookmarkStart w:name="_Toc010" w:id="10"/>
      <w:bookmarkEnd w:id="10"/>
    </w:p>
    <w:p>
      <w:r>
        <w:t>Un plan de support et de maintenance post-déploiement est établi pour garantir la pérennité, la sécurité et l'évolutivité du système « Ma Santé en Chaîne » sur le long terme.</w:t>
      </w:r>
    </w:p>
    <w:p>
      <w:pPr>
        <w:pStyle w:val="Heading2"/>
      </w:pPr>
      <w:r>
        <w:t>10.1 Niveaux de Support (SLA)</w:t>
      </w:r>
    </w:p>
    <w:tbl>
      <w:tblPr>
        <w:tblW w:w="5000" w:type="pct"/>
        <w:tblBorders>
          <w:top w:val="single" w:color="1a5276" w:sz="12"/>
          <w:bottom w:val="single" w:color="1a5276" w:sz="12"/>
          <w:insideH w:val="single" w:color="d5d8dc" w:sz="4"/>
        </w:tblBorders>
      </w:tblPr>
      <w:tblGrid>
        <w:gridCol w:w="2000"/>
        <w:gridCol w:w="2500"/>
        <w:gridCol w:w="4500"/>
      </w:tblGrid>
      <w:tr>
        <w:trPr>
          <w:tblHeader/>
        </w:trPr>
        <w:tc>
          <w:tcPr>
            <w:tcW w:w="2000" w:type="dxa"/>
            <w:tcBorders>
              <w:bottom w:val="single" w:color="1a5276" w:sz="6"/>
            </w:tcBorders>
            <w:shd w:val="clear" w:fill="eaf2f8"/>
          </w:tcPr>
          <w:p>
            <w:pPr>
              <w:spacing w:before="60" w:after="60"/>
              <w:jc w:val="center"/>
            </w:pPr>
            <w:r>
              <w:rPr>
                <w:b/>
                <w:color w:val="1c2833"/>
                <w:sz w:val="20"/>
              </w:rPr>
              <w:t>Niveau</w:t>
            </w:r>
          </w:p>
        </w:tc>
        <w:tc>
          <w:tcPr>
            <w:tcW w:w="2500" w:type="dxa"/>
            <w:tcBorders>
              <w:bottom w:val="single" w:color="1a5276" w:sz="6"/>
            </w:tcBorders>
            <w:shd w:val="clear" w:fill="eaf2f8"/>
          </w:tcPr>
          <w:p>
            <w:pPr>
              <w:spacing w:before="60" w:after="60"/>
              <w:jc w:val="center"/>
            </w:pPr>
            <w:r>
              <w:rPr>
                <w:b/>
                <w:color w:val="1c2833"/>
                <w:sz w:val="20"/>
              </w:rPr>
              <w:t>Disponibilité</w:t>
            </w:r>
          </w:p>
        </w:tc>
        <w:tc>
          <w:tcPr>
            <w:tcW w:w="4500" w:type="dxa"/>
            <w:tcBorders>
              <w:bottom w:val="single" w:color="1a5276" w:sz="6"/>
            </w:tcBorders>
            <w:shd w:val="clear" w:fill="eaf2f8"/>
          </w:tcPr>
          <w:p>
            <w:pPr>
              <w:spacing w:before="60" w:after="60"/>
              <w:jc w:val="center"/>
            </w:pPr>
            <w:r>
              <w:rPr>
                <w:b/>
                <w:color w:val="1c2833"/>
                <w:sz w:val="20"/>
              </w:rPr>
              <w:t>Portée</w:t>
            </w:r>
          </w:p>
        </w:tc>
      </w:tr>
      <w:tr>
        <w:tc>
          <w:tcPr>
            <w:tcW w:w="2000" w:type="dxa"/>
          </w:tcPr>
          <w:p>
            <w:pPr>
              <w:spacing w:before="40" w:after="40"/>
            </w:pPr>
            <w:r>
              <w:rPr>
                <w:color w:val="566573"/>
                <w:sz w:val="20"/>
              </w:rPr>
              <w:t>Niveau 1</w:t>
            </w:r>
          </w:p>
        </w:tc>
        <w:tc>
          <w:tcPr>
            <w:tcW w:w="2500" w:type="dxa"/>
          </w:tcPr>
          <w:p>
            <w:pPr>
              <w:spacing w:before="40" w:after="40"/>
            </w:pPr>
            <w:r>
              <w:rPr>
                <w:color w:val="566573"/>
                <w:sz w:val="20"/>
              </w:rPr>
              <w:t>24/7</w:t>
            </w:r>
          </w:p>
        </w:tc>
        <w:tc>
          <w:tcPr>
            <w:tcW w:w="4500" w:type="dxa"/>
          </w:tcPr>
          <w:p>
            <w:pPr>
              <w:spacing w:before="40" w:after="40"/>
            </w:pPr>
            <w:r>
              <w:rPr>
                <w:color w:val="566573"/>
                <w:sz w:val="20"/>
              </w:rPr>
              <w:t>Hotline utilisateurs, assistance technique basique, FAQ</w:t>
            </w:r>
          </w:p>
        </w:tc>
      </w:tr>
      <w:tr>
        <w:tc>
          <w:tcPr>
            <w:tcW w:w="2000" w:type="dxa"/>
          </w:tcPr>
          <w:p>
            <w:pPr>
              <w:spacing w:before="40" w:after="40"/>
            </w:pPr>
            <w:r>
              <w:rPr>
                <w:color w:val="566573"/>
                <w:sz w:val="20"/>
              </w:rPr>
              <w:t>Niveau 2</w:t>
            </w:r>
          </w:p>
        </w:tc>
        <w:tc>
          <w:tcPr>
            <w:tcW w:w="2500" w:type="dxa"/>
          </w:tcPr>
          <w:p>
            <w:pPr>
              <w:spacing w:before="40" w:after="40"/>
            </w:pPr>
            <w:r>
              <w:rPr>
                <w:color w:val="566573"/>
                <w:sz w:val="20"/>
              </w:rPr>
              <w:t>Lun-Ven 8h-20h</w:t>
            </w:r>
          </w:p>
        </w:tc>
        <w:tc>
          <w:tcPr>
            <w:tcW w:w="4500" w:type="dxa"/>
          </w:tcPr>
          <w:p>
            <w:pPr>
              <w:spacing w:before="40" w:after="40"/>
            </w:pPr>
            <w:r>
              <w:rPr>
                <w:color w:val="566573"/>
                <w:sz w:val="20"/>
              </w:rPr>
              <w:t>Support technique avancé, escalade des incidents, corrections</w:t>
            </w:r>
          </w:p>
        </w:tc>
      </w:tr>
      <w:tr>
        <w:tc>
          <w:tcPr>
            <w:tcW w:w="2000" w:type="dxa"/>
          </w:tcPr>
          <w:p>
            <w:pPr>
              <w:spacing w:before="40" w:after="40"/>
            </w:pPr>
            <w:r>
              <w:rPr>
                <w:color w:val="566573"/>
                <w:sz w:val="20"/>
              </w:rPr>
              <w:t>Niveau 3</w:t>
            </w:r>
          </w:p>
        </w:tc>
        <w:tc>
          <w:tcPr>
            <w:tcW w:w="2500" w:type="dxa"/>
          </w:tcPr>
          <w:p>
            <w:pPr>
              <w:spacing w:before="40" w:after="40"/>
            </w:pPr>
            <w:r>
              <w:rPr>
                <w:color w:val="566573"/>
                <w:sz w:val="20"/>
              </w:rPr>
              <w:t>Lun-Ven 8h-20h</w:t>
            </w:r>
          </w:p>
        </w:tc>
        <w:tc>
          <w:tcPr>
            <w:tcW w:w="4500" w:type="dxa"/>
          </w:tcPr>
          <w:p>
            <w:pPr>
              <w:spacing w:before="40" w:after="40"/>
            </w:pPr>
            <w:r>
              <w:rPr>
                <w:color w:val="566573"/>
                <w:sz w:val="20"/>
              </w:rPr>
              <w:t>Expertise blockchain, intervention sur smart contracts, sécurité</w:t>
            </w:r>
          </w:p>
        </w:tc>
      </w:tr>
    </w:tbl>
    <w:p>
      <w:pPr>
        <w:pStyle w:val="Heading2"/>
      </w:pPr>
      <w:r>
        <w:t>10.2 Maintenance Corrective</w:t>
      </w:r>
    </w:p>
    <w:p>
      <w:r>
        <w:t>La maintenance corrective couvre la résolution des bugs, des dysfonctionnements et des incidents de sécurité détectés en production. Elle inclut :</w:t>
      </w:r>
    </w:p>
    <w:p>
      <w:pPr>
        <w:numPr>
          <w:ilvl w:val="0"/>
          <w:numId w:val="1"/>
        </w:numPr>
      </w:pPr>
      <w:r>
        <w:t>Hotfix pour les vulnérabilités critiques : délai de résolution &lt; 24 heures</w:t>
      </w:r>
    </w:p>
    <w:p>
      <w:pPr>
        <w:numPr>
          <w:ilvl w:val="0"/>
          <w:numId w:val="1"/>
        </w:numPr>
      </w:pPr>
      <w:r>
        <w:t>Correctifs standards : cycle de release bimensuel</w:t>
      </w:r>
    </w:p>
    <w:p>
      <w:pPr>
        <w:numPr>
          <w:ilvl w:val="0"/>
          <w:numId w:val="1"/>
        </w:numPr>
      </w:pPr>
      <w:r>
        <w:t>Gestion des incidents via plateforme de ticketing avec traçabilité complète</w:t>
      </w:r>
    </w:p>
    <w:p>
      <w:pPr>
        <w:numPr>
          <w:ilvl w:val="0"/>
          <w:numId w:val="1"/>
        </w:numPr>
      </w:pPr>
      <w:r>
        <w:t>Post-mortem systématique pour tout incident de sécurité</w:t>
      </w:r>
    </w:p>
    <w:p>
      <w:pPr>
        <w:pStyle w:val="Heading2"/>
      </w:pPr>
      <w:r>
        <w:t>10.3 Maintenance Évolutive</w:t>
      </w:r>
    </w:p>
    <w:p>
      <w:r>
        <w:t>La maintenance évolutive permet d'enrichir le système avec de nouvelles fonctionnalités et d'adapter la plateforme aux évolutions réglementaires. Elle comprend :</w:t>
      </w:r>
    </w:p>
    <w:p>
      <w:pPr>
        <w:numPr>
          <w:ilvl w:val="0"/>
          <w:numId w:val="1"/>
        </w:numPr>
      </w:pPr>
      <w:r>
        <w:t>2 releases majeures par an avec nouvelles fonctionnalités</w:t>
      </w:r>
    </w:p>
    <w:p>
      <w:pPr>
        <w:numPr>
          <w:ilvl w:val="0"/>
          <w:numId w:val="1"/>
        </w:numPr>
      </w:pPr>
      <w:r>
        <w:t>Intégration de nouveaux acteurs (laboratoires d'analyse, imagerie médicale, télémédecine)</w:t>
      </w:r>
    </w:p>
    <w:p>
      <w:pPr>
        <w:numPr>
          <w:ilvl w:val="0"/>
          <w:numId w:val="1"/>
        </w:numPr>
      </w:pPr>
      <w:r>
        <w:t>Adaptation aux évolutions législatives et réglementaires</w:t>
      </w:r>
    </w:p>
    <w:p>
      <w:pPr>
        <w:numPr>
          <w:ilvl w:val="0"/>
          <w:numId w:val="1"/>
        </w:numPr>
      </w:pPr>
      <w:r>
        <w:t>Amélioration continue de l'interface utilisateur selon les retours terrain</w:t>
      </w:r>
    </w:p>
    <w:p>
      <w:pPr>
        <w:pStyle w:val="Heading2"/>
      </w:pPr>
      <w:r>
        <w:t>10.4 Gestion des Mises à Jour des Smart Contracts</w:t>
      </w:r>
    </w:p>
    <w:p>
      <w:r>
        <w:t>Les smart contracts étant immuables par nature, leur mise à jour requiert un mécanisme de gouvernance rigoureux :</w:t>
      </w:r>
    </w:p>
    <w:p>
      <w:pPr>
        <w:numPr>
          <w:ilvl w:val="0"/>
          <w:numId w:val="1"/>
        </w:numPr>
      </w:pPr>
      <w:r>
        <w:t>Pattern Proxy / DelegateCall pour les mises à jour de logique sans perte de données</w:t>
      </w:r>
    </w:p>
    <w:p>
      <w:pPr>
        <w:numPr>
          <w:ilvl w:val="0"/>
          <w:numId w:val="1"/>
        </w:numPr>
      </w:pPr>
      <w:r>
        <w:t>Processus de vote du comité de gouvernance pour toute modification (3/5 validateurs requis)</w:t>
      </w:r>
    </w:p>
    <w:p>
      <w:pPr>
        <w:numPr>
          <w:ilvl w:val="0"/>
          <w:numId w:val="1"/>
        </w:numPr>
      </w:pPr>
      <w:r>
        <w:t>Phase de test systématique sur testnet avant déploiement mainnet</w:t>
      </w:r>
    </w:p>
    <w:p>
      <w:pPr>
        <w:numPr>
          <w:ilvl w:val="0"/>
          <w:numId w:val="1"/>
        </w:numPr>
      </w:pPr>
      <w:r>
        <w:t>Fenêtre de timelock de 48 heures entre approbation et exécution</w:t>
      </w:r>
    </w:p>
    <w:p>
      <w:pPr>
        <w:numPr>
          <w:ilvl w:val="0"/>
          <w:numId w:val="1"/>
        </w:numPr>
      </w:pPr>
      <w:r>
        <w:t>Documentation complète de chaque changement avec changelog public</w:t>
      </w:r>
    </w:p>
    <w:p>
      <w:pPr>
        <w:pStyle w:val="Heading2"/>
      </w:pPr>
      <w:r>
        <w:t>10.5 Gestion des Incidents de Sécurité</w:t>
      </w:r>
    </w:p>
    <w:p>
      <w:r>
        <w:t>Un plan de réponse aux incidents de sécurité est établi avec les procédures suivantes :</w:t>
      </w:r>
    </w:p>
    <w:p>
      <w:pPr>
        <w:numPr>
          <w:ilvl w:val="0"/>
          <w:numId w:val="1"/>
        </w:numPr>
      </w:pPr>
      <w:r>
        <w:t>Détection : Monitoring continu via SIEM et alertes automatiques</w:t>
      </w:r>
    </w:p>
    <w:p>
      <w:pPr>
        <w:numPr>
          <w:ilvl w:val="0"/>
          <w:numId w:val="1"/>
        </w:numPr>
      </w:pPr>
      <w:r>
        <w:t>Containment : Isolation immédiate des composants compromis</w:t>
      </w:r>
    </w:p>
    <w:p>
      <w:pPr>
        <w:numPr>
          <w:ilvl w:val="0"/>
          <w:numId w:val="1"/>
        </w:numPr>
      </w:pPr>
      <w:r>
        <w:t>Investigation : Analyse forensique avec conservation des preuves</w:t>
      </w:r>
    </w:p>
    <w:p>
      <w:pPr>
        <w:numPr>
          <w:ilvl w:val="0"/>
          <w:numId w:val="1"/>
        </w:numPr>
      </w:pPr>
      <w:r>
        <w:t>Résolution : Application des correctifs et validation par audit externe</w:t>
      </w:r>
    </w:p>
    <w:p>
      <w:pPr>
        <w:numPr>
          <w:ilvl w:val="0"/>
          <w:numId w:val="1"/>
        </w:numPr>
      </w:pPr>
      <w:r>
        <w:t>Communication : Notification aux autorités compétentes (ANAM, CNDP) et aux parties affectées dans les 72 heures</w:t>
      </w:r>
    </w:p>
    <w:p>
      <w:pPr>
        <w:numPr>
          <w:ilvl w:val="0"/>
          <w:numId w:val="1"/>
        </w:numPr>
      </w:pPr>
      <w:r>
        <w:t>Bounty program : Programme de primes pour la détection de vulnérabilités par des chercheurs en sécurité</w:t>
      </w:r>
    </w:p>
    <w:p>
      <w:pPr>
        <w:pStyle w:val="Heading2"/>
      </w:pPr>
      <w:r>
        <w:t>10.6 Gouvernance Post-Déploiement</w:t>
      </w:r>
    </w:p>
    <w:p>
      <w:r>
        <w:t>Une gouvernance durable est essentielle pour la pérennité du projet :</w:t>
      </w:r>
    </w:p>
    <w:p>
      <w:pPr>
        <w:numPr>
          <w:ilvl w:val="0"/>
          <w:numId w:val="1"/>
        </w:numPr>
      </w:pPr>
      <w:r>
        <w:t>Comité de gouvernance technique réuni trimestriellement</w:t>
      </w:r>
    </w:p>
    <w:p>
      <w:pPr>
        <w:numPr>
          <w:ilvl w:val="0"/>
          <w:numId w:val="1"/>
        </w:numPr>
      </w:pPr>
      <w:r>
        <w:t>Processus de mise à jour des protocoles avec vote des validateurs</w:t>
      </w:r>
    </w:p>
    <w:p>
      <w:pPr>
        <w:numPr>
          <w:ilvl w:val="0"/>
          <w:numId w:val="1"/>
        </w:numPr>
      </w:pPr>
      <w:r>
        <w:t>Révision annuelle de l'architecture et planification des évolutions majeures</w:t>
      </w:r>
    </w:p>
    <w:p>
      <w:pPr>
        <w:numPr>
          <w:ilvl w:val="0"/>
          <w:numId w:val="1"/>
        </w:numPr>
      </w:pPr>
      <w:r>
        <w:t>Veille technologique et benchmark avec les solutions internationales similaires</w:t>
      </w:r>
    </w:p>
    <w:p>
      <w:pPr>
        <w:sectPr>
          <w:headerReference w:type="default" r:id="R15ee9eb63688400d"/>
          <w:footerReference w:type="default" r:id="Rd1a46462e4564653"/>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9d4daa92497a4985"/>
                    <a:stretch>
                      <a:fillRect/>
                    </a:stretch>
                  </pic:blipFill>
                  <pic:spPr>
                    <a:xfrm>
                      <a:off x="0" y="0"/>
                      <a:ext cx="7560000" cy="10692000"/>
                    </a:xfrm>
                    <a:prstGeom prst="rect"/>
                  </pic:spPr>
                </pic:pic>
              </a:graphicData>
            </a:graphic>
          </wp:anchor>
        </w:drawing>
      </w:r>
    </w:p>
    <w:p>
      <w:pPr>
        <w:spacing w:before="6500"/>
        <w:jc w:val="center"/>
      </w:pPr>
      <w:r>
        <w:rPr>
          <w:b/>
          <w:color w:val="ffffff"/>
          <w:sz w:val="48"/>
        </w:rPr>
        <w:t>Ma Santé en Chaîne</w:t>
      </w:r>
    </w:p>
    <w:p>
      <w:pPr>
        <w:spacing w:before="300"/>
        <w:jc w:val="center"/>
      </w:pPr>
      <w:r>
        <w:rPr>
          <w:color w:val="aeb6bf"/>
          <w:sz w:val="22"/>
        </w:rPr>
        <w:t>L'avenir de la santé numérique au Maroc</w:t>
      </w:r>
    </w:p>
    <w:p>
      <w:pPr>
        <w:spacing w:before="200"/>
        <w:jc w:val="center"/>
      </w:pPr>
      <w:r>
        <w:rPr>
          <w:color w:val="aeb6bf"/>
          <w:sz w:val="18"/>
        </w:rPr>
        <w:t>contact@masanteenchaine.ma</w:t>
      </w:r>
    </w:p>
    <w:p>
      <w:pPr>
        <w:spacing w:before="200"/>
        <w:jc w:val="center"/>
      </w:pPr>
      <w:r>
        <w:rPr>
          <w:color w:val="85929e"/>
          <w:sz w:val="16"/>
        </w:rPr>
        <w:t>© 2026  |  Tous droits réservés</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5929e"/>
        <w:sz w:val="18"/>
      </w:rPr>
      <w:t xml:space="preserve">Page </w:t>
    </w:r>
    <w:r>
      <w:rPr>
        <w:color w:val="85929e"/>
        <w:sz w:val="18"/>
      </w:rPr>
      <w:fldChar w:fldCharType="begin"/>
    </w:r>
    <w:r>
      <w:rPr>
        <w:color w:val="85929e"/>
        <w:sz w:val="18"/>
      </w:rPr>
      <w:instrText xml:space="preserve"> PAGE </w:instrText>
    </w:r>
    <w:r>
      <w:rPr>
        <w:color w:val="85929e"/>
        <w:sz w:val="18"/>
      </w:rPr>
      <w:fldChar w:fldCharType="separate"/>
    </w:r>
    <w:r>
      <w:rPr>
        <w:color w:val="85929e"/>
        <w:sz w:val="18"/>
      </w:rPr>
      <w:t>1</w:t>
    </w:r>
    <w:r>
      <w:rPr>
        <w:color w:val="85929e"/>
        <w:sz w:val="18"/>
      </w:rPr>
      <w:fldChar w:fldCharType="end"/>
    </w:r>
    <w:r>
      <w:rPr>
        <w:color w:val="85929e"/>
        <w:sz w:val="18"/>
      </w:rPr>
      <w:t xml:space="preserve"> / </w:t>
    </w:r>
    <w:r>
      <w:rPr>
        <w:color w:val="85929e"/>
        <w:sz w:val="18"/>
      </w:rPr>
      <w:fldChar w:fldCharType="begin"/>
    </w:r>
    <w:r>
      <w:rPr>
        <w:color w:val="85929e"/>
        <w:sz w:val="18"/>
      </w:rPr>
      <w:instrText xml:space="preserve"> NUMPAGES </w:instrText>
    </w:r>
    <w:r>
      <w:rPr>
        <w:color w:val="85929e"/>
        <w:sz w:val="18"/>
      </w:rPr>
      <w:fldChar w:fldCharType="separate"/>
    </w:r>
    <w:r>
      <w:rPr>
        <w:color w:val="85929e"/>
        <w:sz w:val="18"/>
      </w:rPr>
      <w:t>1</w:t>
    </w:r>
    <w:r>
      <w:rPr>
        <w:color w:val="85929e"/>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04a96c227f924f27"/>
                  <a:stretch>
                    <a:fillRect/>
                  </a:stretch>
                </pic:blipFill>
                <pic:spPr>
                  <a:xfrm>
                    <a:off x="0" y="0"/>
                    <a:ext cx="7560000" cy="10692000"/>
                  </a:xfrm>
                  <a:prstGeom prst="rect"/>
                </pic:spPr>
              </pic:pic>
            </a:graphicData>
          </a:graphic>
        </wp:anchor>
      </w:drawing>
    </w:r>
  </w:p>
  <w:p>
    <w:pPr>
      <w:jc w:val="right"/>
    </w:pPr>
    <w:r>
      <w:rPr>
        <w:color w:val="85929e"/>
        <w:sz w:val="18"/>
      </w:rPr>
      <w:t>Ma Santé en Chaîne  |  Cahier des Charges</w:t>
    </w: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12" w:lineRule="auto"/>
    </w:pPr>
    <w:rPr>
      <w:rFonts w:ascii="Calibri" w:hAnsi="Calibri" w:eastAsia="Microsoft YaHei"/>
      <w:color w:val="1c2833"/>
      <w:sz w:val="22"/>
    </w:rPr>
  </w:style>
  <w:style w:type="paragraph" w:styleId="Heading1">
    <w:name w:val="heading 1"/>
    <w:basedOn w:val="Normal"/>
    <w:pPr>
      <w:keepNext/>
      <w:keepLines/>
      <w:spacing w:before="500" w:after="200"/>
      <w:outlineLvl w:val="0"/>
    </w:pPr>
    <w:rPr>
      <w:rFonts w:ascii="Calibri" w:hAnsi="Calibri" w:eastAsia="Microsoft YaHei"/>
      <w:b/>
      <w:color w:val="1a5276"/>
      <w:sz w:val="36"/>
    </w:rPr>
  </w:style>
  <w:style w:type="paragraph" w:styleId="Heading2">
    <w:name w:val="heading 2"/>
    <w:basedOn w:val="Normal"/>
    <w:pPr>
      <w:keepNext/>
      <w:keepLines/>
      <w:spacing w:before="360" w:after="160"/>
      <w:outlineLvl w:val="1"/>
    </w:pPr>
    <w:rPr>
      <w:rFonts w:ascii="Calibri" w:hAnsi="Calibri" w:eastAsia="Microsoft YaHei"/>
      <w:b/>
      <w:color w:val="1c2833"/>
      <w:sz w:val="28"/>
    </w:rPr>
  </w:style>
  <w:style w:type="paragraph" w:styleId="Heading3">
    <w:name w:val="heading 3"/>
    <w:basedOn w:val="Normal"/>
    <w:pPr>
      <w:keepNext/>
      <w:keepLines/>
      <w:spacing w:before="240" w:after="120"/>
      <w:outlineLvl w:val="2"/>
    </w:pPr>
    <w:rPr>
      <w:rFonts w:ascii="Calibri" w:hAnsi="Calibri" w:eastAsia="Microsoft YaHei"/>
      <w:b/>
      <w:color w:val="566573"/>
      <w:sz w:val="24"/>
    </w:rPr>
  </w:style>
  <w:style w:type="paragraph" w:styleId="Caption">
    <w:name w:val="Caption"/>
    <w:basedOn w:val="Normal"/>
    <w:pPr>
      <w:spacing w:before="60" w:after="280"/>
      <w:jc w:val="center"/>
    </w:pPr>
    <w:rPr>
      <w:color w:val="85929e"/>
      <w:sz w:val="20"/>
    </w:rPr>
  </w:style>
  <w:style w:type="paragraph" w:styleId="TOC1">
    <w:name w:val="toc 1"/>
    <w:basedOn w:val="Normal"/>
    <w:pPr>
      <w:tabs>
        <w:tab w:val="right" w:leader="dot" w:pos="9350"/>
      </w:tabs>
      <w:spacing w:before="200" w:after="60"/>
      <w:ind w:left="0"/>
    </w:pPr>
    <w:rPr>
      <w:b/>
      <w:color w:val="1c2833"/>
    </w:rPr>
  </w:style>
  <w:style w:type="paragraph" w:styleId="TOC2">
    <w:name w:val="toc 2"/>
    <w:basedOn w:val="Normal"/>
    <w:pPr>
      <w:tabs>
        <w:tab w:val="right" w:leader="dot" w:pos="9350"/>
      </w:tabs>
      <w:spacing w:before="60" w:after="60"/>
      <w:ind w:left="360"/>
    </w:pPr>
    <w:rPr>
      <w:color w:val="566573"/>
    </w:rPr>
  </w:style>
  <w:style w:type="paragraph" w:styleId="TOC3">
    <w:name w:val="toc 3"/>
    <w:basedOn w:val="Normal"/>
    <w:pPr>
      <w:tabs>
        <w:tab w:val="right" w:leader="dot" w:pos="9350"/>
      </w:tabs>
      <w:spacing w:before="40" w:after="60"/>
      <w:ind w:left="720"/>
    </w:pPr>
    <w:rPr>
      <w:color w:val="566573"/>
    </w:rPr>
  </w:style>
</w:styles>
</file>

<file path=word/_rels/document.xml.rels><?xml version='1.0' encoding='UTF-8'?>
<Relationships xmlns="http://schemas.openxmlformats.org/package/2006/relationships"><Relationship Type="http://schemas.openxmlformats.org/officeDocument/2006/relationships/styles" Target="styles.xml" Id="Ra4ea61d732b743a0" /><Relationship Type="http://schemas.openxmlformats.org/officeDocument/2006/relationships/numbering" Target="numbering.xml" Id="R819f0bb1e20f4c77" /><Relationship Type="http://schemas.openxmlformats.org/officeDocument/2006/relationships/image" Target="media/image.png" Id="Ra9b32db8525d4289" /><Relationship Type="http://schemas.openxmlformats.org/officeDocument/2006/relationships/image" Target="media/image2.png" Id="R9d4daa92497a4985" /><Relationship Type="http://schemas.openxmlformats.org/officeDocument/2006/relationships/header" Target="header1.xml" Id="R15ee9eb63688400d" /><Relationship Type="http://schemas.openxmlformats.org/officeDocument/2006/relationships/footer" Target="footer1.xml" Id="Rd1a46462e4564653" /><Relationship Type="http://schemas.openxmlformats.org/officeDocument/2006/relationships/settings" Target="settings.xml" Id="Rb3bcbf3e4c4d4a6b" /></Relationships>
</file>

<file path=word/_rels/header1.xml.rels><?xml version='1.0' encoding='UTF-8'?>
<Relationships xmlns="http://schemas.openxmlformats.org/package/2006/relationships"><Relationship Type="http://schemas.openxmlformats.org/officeDocument/2006/relationships/image" Target="media/image3.png" Id="R04a96c227f924f27" /></Relationships>
</file>