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bookmarkEnd w:id="68"/>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
          <w:sz w:val="24"/>
          <w:szCs w:val="24"/>
        </w:rPr>
        <w:t>« Date d'Entrée en Vigueur</w:t>
      </w:r>
      <w:bookmarkStart w:id="108" w:name="_Toc458697276"/>
      <w:bookmarkEnd w:id="108"/>
      <w:r>
        <w:rPr>
          <w:rFonts w:asciiTheme="majorBidi" w:hAnsiTheme="majorBidi" w:cstheme="majorBidi"/>
          <w:b/>
          <w:sz w:val="24"/>
          <w:szCs w:val="24"/>
        </w:rPr>
        <w:t> »</w:t>
      </w:r>
      <w:r w:rsidR="000C761A">
        <w:rPr>
          <w:rFonts w:asciiTheme="majorBidi" w:hAnsiTheme="majorBidi" w:cstheme="majorBidi"/>
          <w:b/>
          <w:sz w:val="24"/>
          <w:szCs w:val="24"/>
        </w:rPr>
        <w:t> :</w:t>
      </w:r>
      <w:bookmarkStart w:id="109" w:name="date_signature"/>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bookmarkEnd w:id="109"/>
    <w:p w14:paraId="66D7E8D0" w14:textId="3FABDFEC" w:rsidR="0060096A" w:rsidRDefault="0060096A" w:rsidP="0060096A">
      <w:pPr>
        <w:spacing w:before="120" w:after="40" w:line="259" w:lineRule="auto"/>
        <w:ind w:left="0" w:firstLine="0"/>
        <w:jc w:val="left"/>
        <w:rPr>
          <w:rFonts w:asciiTheme="majorBidi" w:hAnsiTheme="majorBidi" w:cstheme="majorBidi"/>
          <w:b/>
          <w:sz w:val="24"/>
          <w:szCs w:val="24"/>
        </w:rPr>
      </w:pPr>
    </w:p>
    <w:p w14:paraId="37AD21CC"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1B26B9A8" w14:textId="07F658B1"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5B08DB45"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p>
    <w:p w14:paraId="06433304" w14:textId="7DD0D675"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3" w:name="bookmar_question_8_1"/>
      <w:r>
        <w:rPr>
          <w:rFonts w:asciiTheme="majorBidi" w:hAnsiTheme="majorBidi" w:cstheme="majorBidi"/>
          <w:bCs/>
          <w:sz w:val="24"/>
          <w:szCs w:val="24"/>
        </w:rPr>
        <w:t>____</w:t>
      </w:r>
      <w:bookmarkEnd w:id="113"/>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4" w:name="bookmar_question_8_3"/>
      <w:r>
        <w:rPr>
          <w:rFonts w:asciiTheme="majorBidi" w:hAnsiTheme="majorBidi" w:cstheme="majorBidi"/>
          <w:bCs/>
          <w:sz w:val="24"/>
          <w:szCs w:val="24"/>
        </w:rPr>
        <w:t>____</w:t>
      </w:r>
      <w:bookmarkEnd w:id="114"/>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5" w:name="bookmar_question_8_2"/>
      <w:r>
        <w:rPr>
          <w:rFonts w:asciiTheme="majorBidi" w:hAnsiTheme="majorBidi" w:cstheme="majorBidi"/>
          <w:bCs/>
          <w:sz w:val="24"/>
          <w:szCs w:val="24"/>
        </w:rPr>
        <w:t>____</w:t>
      </w:r>
      <w:bookmarkEnd w:id="115"/>
      <w:r>
        <w:rPr>
          <w:rFonts w:asciiTheme="majorBidi" w:hAnsiTheme="majorBidi" w:cstheme="majorBidi"/>
          <w:bCs/>
          <w:sz w:val="24"/>
          <w:szCs w:val="24"/>
        </w:rPr>
        <w:t xml:space="preserve"> pièce(s) </w:t>
      </w:r>
    </w:p>
    <w:p w14:paraId="24A38C68" w14:textId="7EF9486C" w:rsidR="0060096A" w:rsidRDefault="0060096A" w:rsidP="0060096A">
      <w:pPr>
        <w:spacing w:before="120" w:after="40" w:line="259" w:lineRule="auto"/>
        <w:ind w:left="0" w:firstLine="0"/>
        <w:rPr>
          <w:rFonts w:asciiTheme="majorBidi" w:hAnsiTheme="majorBidi" w:cstheme="majorBidi"/>
          <w:bCs/>
          <w:sz w:val="24"/>
          <w:szCs w:val="24"/>
        </w:rPr>
      </w:pPr>
      <w:bookmarkStart w:id="116" w:name="bookmar_question_8_4_0"/>
      <w:proofErr w:type="gramStart"/>
      <w:r>
        <w:rPr>
          <w:rFonts w:asciiTheme="majorBidi" w:hAnsiTheme="majorBidi" w:cstheme="majorBidi"/>
          <w:bCs/>
          <w:sz w:val="24"/>
          <w:szCs w:val="24"/>
        </w:rPr>
        <w:t>et</w:t>
      </w:r>
      <w:proofErr w:type="gramEnd"/>
      <w:r>
        <w:rPr>
          <w:rFonts w:asciiTheme="majorBidi" w:hAnsiTheme="majorBidi" w:cstheme="majorBidi"/>
          <w:bCs/>
          <w:sz w:val="24"/>
          <w:szCs w:val="24"/>
        </w:rPr>
        <w:t xml:space="preserve"> ayant titre foncier n° </w:t>
      </w:r>
      <w:bookmarkStart w:id="117" w:name="bookmar_question_8_4_1"/>
      <w:r>
        <w:rPr>
          <w:rFonts w:asciiTheme="majorBidi" w:hAnsiTheme="majorBidi" w:cstheme="majorBidi"/>
          <w:bCs/>
          <w:sz w:val="24"/>
          <w:szCs w:val="24"/>
        </w:rPr>
        <w:t>____</w:t>
      </w:r>
      <w:bookmarkEnd w:id="117"/>
      <w:r w:rsidR="00145F4E">
        <w:rPr>
          <w:rFonts w:asciiTheme="majorBidi" w:hAnsiTheme="majorBidi" w:cstheme="majorBidi"/>
          <w:bCs/>
          <w:sz w:val="24"/>
          <w:szCs w:val="24"/>
        </w:rPr>
        <w:t xml:space="preserve"> </w:t>
      </w:r>
      <w:r>
        <w:rPr>
          <w:rFonts w:asciiTheme="majorBidi" w:hAnsiTheme="majorBidi" w:cstheme="majorBidi"/>
          <w:bCs/>
          <w:sz w:val="24"/>
          <w:szCs w:val="24"/>
        </w:rPr>
        <w:t xml:space="preserve">  .</w:t>
      </w:r>
      <w:bookmarkEnd w:id="116"/>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5"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5"/>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6" w:name="bookmar_question_7"/>
      <w:r w:rsidR="00BF3429">
        <w:rPr>
          <w:rFonts w:asciiTheme="majorBidi" w:hAnsiTheme="majorBidi" w:cstheme="majorBidi"/>
          <w:sz w:val="24"/>
          <w:szCs w:val="24"/>
        </w:rPr>
        <w:t>____</w:t>
      </w:r>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760D" w14:textId="77777777" w:rsidR="0065448D" w:rsidRDefault="0065448D">
      <w:pPr>
        <w:spacing w:after="0" w:line="240" w:lineRule="auto"/>
      </w:pPr>
      <w:r>
        <w:separator/>
      </w:r>
    </w:p>
  </w:endnote>
  <w:endnote w:type="continuationSeparator" w:id="0">
    <w:p w14:paraId="4AB03A7F" w14:textId="77777777" w:rsidR="0065448D" w:rsidRDefault="0065448D">
      <w:pPr>
        <w:spacing w:after="0" w:line="240" w:lineRule="auto"/>
      </w:pPr>
      <w:r>
        <w:continuationSeparator/>
      </w:r>
    </w:p>
  </w:endnote>
  <w:endnote w:type="continuationNotice" w:id="1">
    <w:p w14:paraId="3558543B" w14:textId="77777777" w:rsidR="0065448D" w:rsidRDefault="006544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CB281" w14:textId="77777777" w:rsidR="0065448D" w:rsidRDefault="0065448D">
      <w:pPr>
        <w:spacing w:after="0" w:line="240" w:lineRule="auto"/>
      </w:pPr>
      <w:r>
        <w:separator/>
      </w:r>
    </w:p>
  </w:footnote>
  <w:footnote w:type="continuationSeparator" w:id="0">
    <w:p w14:paraId="3E6C113B" w14:textId="77777777" w:rsidR="0065448D" w:rsidRDefault="0065448D">
      <w:pPr>
        <w:spacing w:after="0" w:line="240" w:lineRule="auto"/>
      </w:pPr>
      <w:r>
        <w:continuationSeparator/>
      </w:r>
    </w:p>
  </w:footnote>
  <w:footnote w:type="continuationNotice" w:id="1">
    <w:p w14:paraId="26963EBB" w14:textId="77777777" w:rsidR="0065448D" w:rsidRDefault="006544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44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11</Pages>
  <Words>2338</Words>
  <Characters>13330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2022-02-08T14:06:00Z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