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521B9" w14:textId="77777777" w:rsidR="00A14E5F" w:rsidRPr="004C59FC" w:rsidRDefault="00A14E5F" w:rsidP="00A14E5F">
      <w:pPr>
        <w:pStyle w:val="Heading1"/>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ГЛАВА 1. АНАЛИЗ НА ПРЕДМЕТНАТА ОБЛАСТ И ИЗИСКВАНИЯТА КЪМ СИСТЕМАТА</w:t>
      </w:r>
    </w:p>
    <w:p w14:paraId="6E5B693B" w14:textId="77777777" w:rsidR="00A14E5F" w:rsidRPr="004C59FC" w:rsidRDefault="00A14E5F" w:rsidP="00A14E5F">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1.1. Автоматизирана търговия като предметна област</w:t>
      </w:r>
    </w:p>
    <w:p w14:paraId="43E0F106"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Автоматизираната търговия представлява използване на софтуерни правила и алгоритми за наблюдение на пазара, оценка на предварително зададени условия и изпълнение на търговски действия без необходимост всяко решение да бъде въведено ръчно от оператор. В най-простия случай подобна система може да следи определена цена и при достигането ѝ да изпрати поръчка. При по-развита реализация обаче процесът включва значително повече стъпки: получаване на надеждни пазарни данни, изчисляване на технически индикатори, разпознаване на търговски сигнал, проверка на текущите позиции, оценка на риска, изпълнение на поръчки, следене на резултата и възстановяване при възникване на несъответствие.</w:t>
      </w:r>
    </w:p>
    <w:p w14:paraId="278B4A79" w14:textId="20C6A40F"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 xml:space="preserve">Тази предметна област е подходяща за разработване на </w:t>
      </w:r>
      <w:r w:rsidRPr="004C59FC">
        <w:rPr>
          <w:rFonts w:cs="Times New Roman"/>
          <w:color w:val="000000" w:themeColor="text1"/>
          <w:szCs w:val="24"/>
          <w:lang w:val="bg-BG"/>
        </w:rPr>
        <w:t>дистрибутивна</w:t>
      </w:r>
      <w:r w:rsidRPr="004C59FC">
        <w:rPr>
          <w:rFonts w:cs="Times New Roman"/>
          <w:color w:val="000000" w:themeColor="text1"/>
          <w:szCs w:val="24"/>
          <w:lang w:val="bg-BG"/>
        </w:rPr>
        <w:t xml:space="preserve"> софтуерна система, защото пазарът е външен и непрекъснато променящ се източник на събития. Приложението няма контрол върху времето, в което пристига дадено съобщение, върху временни прекъсвания на мрежата или върху това дали външна операция е била изпълнена, преди локалният процес да получи потвърждение. Следователно</w:t>
      </w:r>
      <w:r w:rsidRPr="004C59FC">
        <w:rPr>
          <w:rFonts w:cs="Times New Roman"/>
          <w:color w:val="000000" w:themeColor="text1"/>
          <w:szCs w:val="24"/>
          <w:lang w:val="bg-BG"/>
        </w:rPr>
        <w:t>,</w:t>
      </w:r>
      <w:r w:rsidRPr="004C59FC">
        <w:rPr>
          <w:rFonts w:cs="Times New Roman"/>
          <w:color w:val="000000" w:themeColor="text1"/>
          <w:szCs w:val="24"/>
          <w:lang w:val="bg-BG"/>
        </w:rPr>
        <w:t xml:space="preserve"> надеждното поведение изисква системата да бъде проектирана не само за нормалния сценарий, но и за повторени съобщения, забавени данни, частично завършени операции и временна загуба на връзка.</w:t>
      </w:r>
    </w:p>
    <w:p w14:paraId="25B4CEE3" w14:textId="77777777" w:rsidR="00A14E5F" w:rsidRPr="004C59FC" w:rsidRDefault="00A14E5F" w:rsidP="00A14E5F">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1.2. Основни понятия</w:t>
      </w:r>
    </w:p>
    <w:p w14:paraId="2471A685"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За разбирането на разработката е необходимо да бъдат разграничени няколко основни понятия, които се използват в целия търговски процес.</w:t>
      </w:r>
    </w:p>
    <w:p w14:paraId="370DFDCE"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Пазарна свещ (candlestick) е агрегирано представяне на движението на цената за определен времеви интервал. Обикновено съдържа начална цена, най-висока цена, най-ниска цена, крайна цена и обем. В системата свещите са основният вход за индикаторите и стратегиите. Важна особеност е разграничението между завършена и незавършена свещ, защото стойностите на последната могат да се променят до края на интервала. За вземане на решение често се използват само затворени свещи, с което се избягва генериране на сигнал върху временна стойност.</w:t>
      </w:r>
    </w:p>
    <w:p w14:paraId="2ECE983C"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Технически индикатор е стойност, изчислена върху исторически пазарни данни. В настоящата система се използват индикатори като Alligator, SMA и Bollinger Bands. Те не изпълняват сделка сами по себе си, а предоставят структурирана информация, която стратегиите използват при вземане на решение. Например една стратегия може да следи пресичане на цена спрямо линия на индикатор, а друга да използва отстояние между вече активни позиции.</w:t>
      </w:r>
    </w:p>
    <w:p w14:paraId="46B30BD1" w14:textId="0FC16AA0"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Търговски сигнал е формализирано намерение за действие. Той съдържа информация като бот, символ, посока, момент на генериране, източник и идентификатор. Сигналът не трябва да се разглежда като гарантирано отваряне на позиция. След получаването му</w:t>
      </w:r>
      <w:r w:rsidRPr="004C59FC">
        <w:rPr>
          <w:rFonts w:cs="Times New Roman"/>
          <w:color w:val="000000" w:themeColor="text1"/>
          <w:szCs w:val="24"/>
          <w:lang w:val="bg-BG"/>
        </w:rPr>
        <w:t>,</w:t>
      </w:r>
      <w:r w:rsidRPr="004C59FC">
        <w:rPr>
          <w:rFonts w:cs="Times New Roman"/>
          <w:color w:val="000000" w:themeColor="text1"/>
          <w:szCs w:val="24"/>
          <w:lang w:val="bg-BG"/>
        </w:rPr>
        <w:t xml:space="preserve"> </w:t>
      </w:r>
      <w:r w:rsidRPr="004C59FC">
        <w:rPr>
          <w:rFonts w:cs="Times New Roman"/>
          <w:color w:val="000000" w:themeColor="text1"/>
          <w:szCs w:val="24"/>
          <w:lang w:val="bg-BG"/>
        </w:rPr>
        <w:lastRenderedPageBreak/>
        <w:t>системата все още трябва да провери дали той е валиден, дали не е вече обработен, дали не нарушава cooldown или лимит за позиции и дали централният risk manager разрешава операцията.</w:t>
      </w:r>
    </w:p>
    <w:p w14:paraId="5DD9187B"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Поръчка е инструкция към борсата за покупка или продажба. Позиция е резултатът от вече изпълнена или частично изпълнена поръчка и представлява текуща пазарна експозиция. Това разграничение е важно, защото една позиция може да бъде защитавана от няколко поръчки - например take-profit, stop-loss или последваща защитна STOP3 поръчка. Състоянието на поръчките и състоянието на позицията не са едно и също.</w:t>
      </w:r>
    </w:p>
    <w:p w14:paraId="6C8D126E"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PnL (Profit and Loss) описва финансовия резултат от дадена позиция или множество позиции. Реализираният PnL е свързан със затворени сделки, докато нереализираният PnL се променя заедно с текущата пазарна цена при отворени позиции. Към анализа трябва да се включат и таксите, защото те влияят върху крайния нетен резултат.</w:t>
      </w:r>
    </w:p>
    <w:p w14:paraId="7B08E770"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Ливъриджът позволява управление на позиция с номинална стойност, по-голяма от използвания собствен капитал. Той увеличава както потенциалния резултат, така и риска. Поради това системата не трябва да оценява единствено броя позиции, а и тяхната приблизителна номинална експозиция, използван маржин, exposure по символ и общ портфейлен риск.</w:t>
      </w:r>
    </w:p>
    <w:p w14:paraId="1FA3C008" w14:textId="77777777" w:rsidR="00A14E5F" w:rsidRPr="004C59FC" w:rsidRDefault="00A14E5F" w:rsidP="00A14E5F">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1.3. Жизнен цикъл на един търговски сигнал</w:t>
      </w:r>
    </w:p>
    <w:p w14:paraId="680AAE9F"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От гледна точка на системата един сигнал преминава през няколко последователни етапа. Първо се получават пазарни данни и върху тях се изчисляват индикатори. Когато условията на дадена стратегия бъдат изпълнени, се генерира сигнал. Той достига до общия търговски процес, който проверява времето на сигнала, идемпотентността и текущото runtime състояние. След това strategy policy определя дали при дадените активни позиции е допустимо отваряне. Ако решението е положително, централният risk manager оценява ограниченията за броя позиции, номиналната експозиция, дневната загуба и други рискови критерии.</w:t>
      </w:r>
    </w:p>
    <w:p w14:paraId="7CDA010B"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Само ако всички проверки преминат успешно, сигналът достига до execution слоя. Той преобразува бизнес решението в конкретни борсови операции. След изпълнение системата не приключва работата си. UserStream съобщенията връщат информация за реалното състояние на поръчките, а локалните модели трябва да бъдат обновени. При разлика между очакваното локално състояние и данните от борсата се включват healing и reconciliation механизми. Следователно една сделка е процес със собствен жизнен цикъл, а не единична HTTP заявка.</w:t>
      </w:r>
    </w:p>
    <w:p w14:paraId="526709CB" w14:textId="77777777" w:rsidR="00A14E5F" w:rsidRPr="004C59FC" w:rsidRDefault="00A14E5F" w:rsidP="00A14E5F">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1.4. Функционални изисквания</w:t>
      </w:r>
    </w:p>
    <w:p w14:paraId="55EF81E4"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Функционалните изисквания описват какво трябва да може да извършва системата. Те са определени според end-to-end процеса на автоматизирана търговия и според необходимостта от последващ анализ.</w:t>
      </w:r>
    </w:p>
    <w:p w14:paraId="6056FD2A"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Получаване на пазарни данни от Binance и разпространението им към останалите компоненти.</w:t>
      </w:r>
    </w:p>
    <w:p w14:paraId="043B1F56"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lastRenderedPageBreak/>
        <w:t>Поддръжка на различни символи и времеви интервали за пазарните свещи.</w:t>
      </w:r>
    </w:p>
    <w:p w14:paraId="6B2DC902"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Изчисляване и публикуване на технически индикатори върху получените данни.</w:t>
      </w:r>
    </w:p>
    <w:p w14:paraId="5685365B"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Генериране на вътрешни сигнали по стратегии и приемане на сигнали от външни източници.</w:t>
      </w:r>
    </w:p>
    <w:p w14:paraId="4F8318CD"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Поддръжка на различни режими за сигнали, включително наблюдение без изпълнение и реално подаване към търговския процес.</w:t>
      </w:r>
    </w:p>
    <w:p w14:paraId="735B3ED8"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Проверка на сигналите за валидност, повторна обработка, cooldown и допустимост според текущото състояние.</w:t>
      </w:r>
    </w:p>
    <w:p w14:paraId="0E86E486"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Прилагане на bot-specific strategy rules върху активните позиции.</w:t>
      </w:r>
    </w:p>
    <w:p w14:paraId="67F9AC7D"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Централизирана оценка на риска преди изпълнение.</w:t>
      </w:r>
    </w:p>
    <w:p w14:paraId="705B2002"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Изпращане и управление на Binance Futures поръчки.</w:t>
      </w:r>
    </w:p>
    <w:p w14:paraId="72E7DC71"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Обработка на UserStream събития за изпълнени, отменени или задействани поръчки.</w:t>
      </w:r>
    </w:p>
    <w:p w14:paraId="4400D4A9"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Поддържане на локално състояние на позициите и защитните поръчки.</w:t>
      </w:r>
    </w:p>
    <w:p w14:paraId="6EEB29BD"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Възстановяване и сверяване на състоянието при рестарт или несъответствие.</w:t>
      </w:r>
    </w:p>
    <w:p w14:paraId="4EAD2967"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Paper execution за безопасна симулация без външна поръчка.</w:t>
      </w:r>
    </w:p>
    <w:p w14:paraId="641A2411"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Историческо тестване на стратегии върху предварително известни данни.</w:t>
      </w:r>
    </w:p>
    <w:p w14:paraId="59E67D3C"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Optimization на параметри и сравнение на различни runs.</w:t>
      </w:r>
    </w:p>
    <w:p w14:paraId="7A5F5790"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Replay на исторически събития за анализ и възпроизводимост.</w:t>
      </w:r>
    </w:p>
    <w:p w14:paraId="36AF1750"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Съхраняване на история, event lifecycle, audit и operational информация.</w:t>
      </w:r>
    </w:p>
    <w:p w14:paraId="761E3665" w14:textId="77777777" w:rsidR="00A14E5F" w:rsidRPr="004C59FC" w:rsidRDefault="00A14E5F" w:rsidP="00A14E5F">
      <w:pPr>
        <w:pStyle w:val="ListBullet"/>
        <w:tabs>
          <w:tab w:val="num" w:pos="360"/>
        </w:tabs>
        <w:spacing w:after="20"/>
        <w:ind w:left="360" w:hanging="360"/>
        <w:rPr>
          <w:rFonts w:cs="Times New Roman"/>
          <w:color w:val="000000" w:themeColor="text1"/>
          <w:szCs w:val="24"/>
          <w:lang w:val="bg-BG"/>
        </w:rPr>
      </w:pPr>
      <w:r w:rsidRPr="004C59FC">
        <w:rPr>
          <w:rFonts w:cs="Times New Roman"/>
          <w:color w:val="000000" w:themeColor="text1"/>
          <w:szCs w:val="24"/>
          <w:lang w:val="bg-BG"/>
        </w:rPr>
        <w:t>Предоставяне на Dashboard API и Web интерфейс за наблюдение, конфигурация и стартиране на контролирани операции.</w:t>
      </w:r>
    </w:p>
    <w:p w14:paraId="0019B4D6" w14:textId="77777777" w:rsidR="00A14E5F" w:rsidRPr="004C59FC" w:rsidRDefault="00A14E5F" w:rsidP="00A14E5F">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1.5. Нефункционални изисквания</w:t>
      </w:r>
    </w:p>
    <w:p w14:paraId="753B17D5"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При този тип система нефункционалните изисквания са също толкова важни, колкото и функционалните. Дори правилна стратегия не е достатъчна, ако приложението може да обработи един и същи сигнал два пъти, да загуби състояние след рестарт или да изпълни операция без защитна проверка.</w:t>
      </w:r>
    </w:p>
    <w:p w14:paraId="770E3904"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Надеждност. Системата трябва да продължава работа при временни проблеми с външни услуги и да може да възстанови вътрешното си състояние след рестартиране. Необходимо е ясно разграничение между временни и постоянни грешки, за да не се извършват безкрайни безсмислени повторения.</w:t>
      </w:r>
    </w:p>
    <w:p w14:paraId="77AE58FE"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Идемпотентност. Повторно получен сигнал със същия идентификатор не трябва да води до второ логическо изпълнение. Същият принцип е приложим и за operator commands и asynchronous jobs, където повторното изпращане поради double click или retry не трябва да създава дублирани действия.</w:t>
      </w:r>
    </w:p>
    <w:p w14:paraId="769902EE"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Съгласуваност на състоянието. Локалната система и борсата са отделни източници на информация и могат временно да се разминават. Затова трябва да има механизми за reconciliation, които сравняват локалните позиции и поръчки с външното състояние и регистрират или коригират отклоненията.</w:t>
      </w:r>
    </w:p>
    <w:p w14:paraId="67124BA3"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lastRenderedPageBreak/>
        <w:t>Наблюдаемост. Всяка важна услуга трябва да предоставя информация за текущото си здраве, heartbeat, грешки и значими събития. Операторът трябва да може да установи дали проблемът е в market data, indicator processing, strategy service, job worker или dashboard. Audit и correlation идентификаторите трябва да позволяват проследяване на конкретна операция през системата.</w:t>
      </w:r>
    </w:p>
    <w:p w14:paraId="43EC8AB3"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Разширяемост. Добавянето на нов бот или стратегия не трябва да изисква пренаписване на общия trading engine. По същия начин добавянето на нов визуален screen не трябва да влияе върху execution logic. Това изисква ясни интерфейси и отделяне на domain rules от infrastructure code.</w:t>
      </w:r>
    </w:p>
    <w:p w14:paraId="6491D0BD"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Тестируемост и възпроизводимост. Правилата трябва да могат да бъдат проверени с автоматизирани тестове върху контролирани входни данни. Backtesting и replay трябва да позволяват повторно изпълнение върху еднакви historical inputs, така че промените да могат да бъдат сравнявани.</w:t>
      </w:r>
    </w:p>
    <w:p w14:paraId="4901C916" w14:textId="77777777" w:rsidR="00A14E5F" w:rsidRPr="004C59FC" w:rsidRDefault="00A14E5F" w:rsidP="00A14E5F">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1.6. Изисквания към безопасността на търговския процес</w:t>
      </w:r>
    </w:p>
    <w:p w14:paraId="648C3671"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Тъй като системата може да изпълнява финансови операции, безопасността на търговския процес е отделна група изисквания. Преди отваряне на позиция трябва да се извършат няколко независими проверки. Сигналът не трябва да е прекалено стар или с време в бъдещето. Той не трябва да е вече обработен. За един и същи бот, символ и посока не трябва да се стартират несъвместими едновременни операции. Трябва да бъде спазен cooldown, да е изпълнено bot-specific правилото и да има положително решение от risk manager.</w:t>
      </w:r>
    </w:p>
    <w:p w14:paraId="72118B01"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Централният риск трябва да може да блокира нов entry при достигнат общ брой позиции, лимит за позиции на бот или символ, прекомерна номинална експозиция, дневна загуба, drawdown, поредица от загуби или критично reconciliation събитие. Целта не е да се прогнозира пазарът, а да се постави системна граница върху това колко голямо действие е позволено на отделната стратегия.</w:t>
      </w:r>
    </w:p>
    <w:p w14:paraId="260E8C2B"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След външно изпълнение трябва да има отделна логика за protective orders и за възстановяване при uncertain outcome. Например при timeout на market order не е безопасно автоматично да се изпрати нова идентична поръчка, защото първата може вече да е изпълнена. Затова execution layer трябва да използва уникални client order идентификатори и да проверява състоянието преди повторна операция.</w:t>
      </w:r>
    </w:p>
    <w:p w14:paraId="17240931" w14:textId="77777777" w:rsidR="00A14E5F" w:rsidRPr="004C59FC" w:rsidRDefault="00A14E5F" w:rsidP="00A14E5F">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1.7. Изисквания към средите за изпълнение</w:t>
      </w:r>
    </w:p>
    <w:p w14:paraId="5C815FC9"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Системата трябва ясно да разграничава Paper, Demo и Production. Това е важно както за безопасността, така и за правилното интерпретиране на резултатите.</w:t>
      </w:r>
    </w:p>
    <w:p w14:paraId="6A448AB1"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Paper средата симулира сделки вътре в платформата. Тя се използва за проверка на логиката на signals, TradingEngine, strategy и risk без изпращане на реални Binance orders. Това я прави подходяща за разработка и за контролирани end-to-end tests.</w:t>
      </w:r>
    </w:p>
    <w:p w14:paraId="62899EFC"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 xml:space="preserve">Demo средата използва външна демонстрационна среда на борсата. Тя позволява да бъдат проверени подписаните заявки, order lifecycle, protective orders и UserStream събития, </w:t>
      </w:r>
      <w:r w:rsidRPr="004C59FC">
        <w:rPr>
          <w:rFonts w:cs="Times New Roman"/>
          <w:color w:val="000000" w:themeColor="text1"/>
          <w:szCs w:val="24"/>
          <w:lang w:val="bg-BG"/>
        </w:rPr>
        <w:lastRenderedPageBreak/>
        <w:t>без риск за реални средства. За дипломната работа тази среда е достатъчна, за да се демонстрира истинска интеграция с борса.</w:t>
      </w:r>
    </w:p>
    <w:p w14:paraId="54A51EF5"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Production средата е предназначена за реална търговия и изисква най-строг контрол. Нейното използване не е задължително за доказване на техническата реализация в дипломната работа. По-важно е да бъде показано, че системата има архитектурна готовност за такава среда и че преминаването към нея е съзнателна конфигурационна стъпка, а не скрито default поведение.</w:t>
      </w:r>
    </w:p>
    <w:p w14:paraId="5DA18F0B" w14:textId="77777777" w:rsidR="00A14E5F" w:rsidRPr="004C59FC" w:rsidRDefault="00A14E5F" w:rsidP="00A14E5F">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1.8. Изисквания към операторския интерфейс</w:t>
      </w:r>
    </w:p>
    <w:p w14:paraId="19F9845F"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Операторският интерфейс трябва да позволява наблюдение и управление, без директен достъп до вътрешните бази и контейнери. Потребителят трябва да може да вижда текущото състояние на ботовете, активните и историческите позиции, сигналите, резултатите от backtesting и optimization, replay процесите, service health, alerts и audit информация.</w:t>
      </w:r>
    </w:p>
    <w:p w14:paraId="1457EF28"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Write операциите трябва да бъдат защитени с authentication и authorization. Различните роли следва да имат различни права, например read-only достъп, operator действия и административни destructive операции. Frontend приложението може да скрива недостъпни бутони, но истинската проверка на правата трябва да остане в backend API.</w:t>
      </w:r>
    </w:p>
    <w:p w14:paraId="0C7E7F51" w14:textId="77777777" w:rsidR="00A14E5F" w:rsidRPr="004C59FC" w:rsidRDefault="00A14E5F" w:rsidP="00A14E5F">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1.9. Обобщение на изискванията</w:t>
      </w:r>
    </w:p>
    <w:p w14:paraId="6BE6F93A"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От направения анализ се вижда, че задачата не се свежда до реализиране на алгоритъм, който връща LONG или SHORT. Необходима е система, която свързва пазарни данни, индикатори, стратегии, риск, изпълнение, възстановяване, история, симулация и операторски контрол. Основните функционални изисквания описват какво трябва да се случи, а нефункционалните определят как системата трябва да се държи при реални условия.</w:t>
      </w:r>
    </w:p>
    <w:p w14:paraId="16F405C2" w14:textId="77777777" w:rsidR="00A14E5F" w:rsidRPr="004C59FC" w:rsidRDefault="00A14E5F" w:rsidP="00A14E5F">
      <w:pPr>
        <w:rPr>
          <w:rFonts w:cs="Times New Roman"/>
          <w:color w:val="000000" w:themeColor="text1"/>
          <w:szCs w:val="24"/>
          <w:lang w:val="bg-BG"/>
        </w:rPr>
      </w:pPr>
      <w:r w:rsidRPr="004C59FC">
        <w:rPr>
          <w:rFonts w:cs="Times New Roman"/>
          <w:color w:val="000000" w:themeColor="text1"/>
          <w:szCs w:val="24"/>
          <w:lang w:val="bg-BG"/>
        </w:rPr>
        <w:t>Тези изисквания са основата за архитектурните решения, разгледани в следващата глава. Разделянето на отделни услуги, използването на Redis и PostgreSQL, централният TradingEngine, специализираните risk и reconciliation модули, както и отделният Dashboard не са само технологичен избор, а следствие от нуждата различните отговорности да бъдат независими, наблюдаеми и тестируеми.</w:t>
      </w:r>
    </w:p>
    <w:p w14:paraId="686E9A3D" w14:textId="77777777" w:rsidR="00533818" w:rsidRPr="004C59FC" w:rsidRDefault="00533818">
      <w:pPr>
        <w:rPr>
          <w:rFonts w:cs="Times New Roman"/>
          <w:color w:val="000000" w:themeColor="text1"/>
          <w:szCs w:val="24"/>
          <w:lang w:val="bg-BG"/>
        </w:rPr>
      </w:pPr>
    </w:p>
    <w:p w14:paraId="553B9007" w14:textId="77777777" w:rsidR="00830EDE" w:rsidRPr="004C59FC" w:rsidRDefault="00830EDE">
      <w:pPr>
        <w:rPr>
          <w:rFonts w:cs="Times New Roman"/>
          <w:color w:val="000000" w:themeColor="text1"/>
          <w:szCs w:val="24"/>
          <w:lang w:val="bg-BG"/>
        </w:rPr>
      </w:pPr>
    </w:p>
    <w:p w14:paraId="56150B9D" w14:textId="77777777" w:rsidR="00830EDE" w:rsidRPr="004C59FC" w:rsidRDefault="00830EDE">
      <w:pPr>
        <w:rPr>
          <w:rFonts w:cs="Times New Roman"/>
          <w:color w:val="000000" w:themeColor="text1"/>
          <w:szCs w:val="24"/>
          <w:lang w:val="bg-BG"/>
        </w:rPr>
      </w:pPr>
    </w:p>
    <w:p w14:paraId="36157A56" w14:textId="173CFBF6" w:rsidR="00830EDE" w:rsidRPr="004C59FC" w:rsidRDefault="00830EDE">
      <w:pPr>
        <w:rPr>
          <w:rFonts w:cs="Times New Roman"/>
          <w:color w:val="000000" w:themeColor="text1"/>
          <w:szCs w:val="24"/>
          <w:lang w:val="bg-BG"/>
        </w:rPr>
      </w:pPr>
    </w:p>
    <w:p w14:paraId="1B8F0AFA" w14:textId="56EE1665" w:rsidR="00830EDE" w:rsidRPr="004C59FC" w:rsidRDefault="00830EDE">
      <w:pPr>
        <w:rPr>
          <w:rFonts w:cs="Times New Roman"/>
          <w:color w:val="000000" w:themeColor="text1"/>
          <w:szCs w:val="24"/>
          <w:lang w:val="bg-BG"/>
        </w:rPr>
      </w:pPr>
    </w:p>
    <w:p w14:paraId="2488B6E7" w14:textId="440C8DE8" w:rsidR="00830EDE" w:rsidRPr="004C59FC" w:rsidRDefault="00830EDE">
      <w:pPr>
        <w:rPr>
          <w:rFonts w:cs="Times New Roman"/>
          <w:color w:val="000000" w:themeColor="text1"/>
          <w:szCs w:val="24"/>
          <w:lang w:val="bg-BG"/>
        </w:rPr>
      </w:pPr>
    </w:p>
    <w:p w14:paraId="69748272" w14:textId="64C01887" w:rsidR="00830EDE" w:rsidRPr="004C59FC" w:rsidRDefault="00830EDE">
      <w:pPr>
        <w:rPr>
          <w:rFonts w:cs="Times New Roman"/>
          <w:color w:val="000000" w:themeColor="text1"/>
          <w:szCs w:val="24"/>
          <w:lang w:val="bg-BG"/>
        </w:rPr>
      </w:pPr>
    </w:p>
    <w:p w14:paraId="3A1A3847" w14:textId="5FA91B85" w:rsidR="00830EDE" w:rsidRPr="004C59FC" w:rsidRDefault="00830EDE">
      <w:pPr>
        <w:rPr>
          <w:rFonts w:cs="Times New Roman"/>
          <w:color w:val="000000" w:themeColor="text1"/>
          <w:szCs w:val="24"/>
          <w:lang w:val="bg-BG"/>
        </w:rPr>
      </w:pPr>
    </w:p>
    <w:p w14:paraId="31FE2FF4" w14:textId="07EE1D86" w:rsidR="00830EDE" w:rsidRPr="004C59FC" w:rsidRDefault="00830EDE">
      <w:pPr>
        <w:rPr>
          <w:rFonts w:cs="Times New Roman"/>
          <w:color w:val="000000" w:themeColor="text1"/>
          <w:szCs w:val="24"/>
          <w:lang w:val="bg-BG"/>
        </w:rPr>
      </w:pPr>
    </w:p>
    <w:p w14:paraId="4C4E26C5" w14:textId="64BA7EF0" w:rsidR="00830EDE" w:rsidRPr="004C59FC" w:rsidRDefault="00830EDE">
      <w:pPr>
        <w:rPr>
          <w:rFonts w:cs="Times New Roman"/>
          <w:color w:val="000000" w:themeColor="text1"/>
          <w:szCs w:val="24"/>
          <w:lang w:val="bg-BG"/>
        </w:rPr>
      </w:pPr>
    </w:p>
    <w:p w14:paraId="381ECACD" w14:textId="0A9FD1E4" w:rsidR="00830EDE" w:rsidRPr="004C59FC" w:rsidRDefault="00830EDE">
      <w:pPr>
        <w:rPr>
          <w:rFonts w:cs="Times New Roman"/>
          <w:color w:val="000000" w:themeColor="text1"/>
          <w:szCs w:val="24"/>
          <w:lang w:val="bg-BG"/>
        </w:rPr>
      </w:pPr>
    </w:p>
    <w:p w14:paraId="61D9BEDD" w14:textId="77777777" w:rsidR="00830EDE" w:rsidRPr="004C59FC" w:rsidRDefault="00830EDE" w:rsidP="00830EDE">
      <w:pPr>
        <w:pStyle w:val="Heading1"/>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lastRenderedPageBreak/>
        <w:t>ГЛАВА 2. АРХИТЕКТУРА НА СИСТЕМАТА</w:t>
      </w:r>
    </w:p>
    <w:p w14:paraId="797C163F"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2.1. Архитектурен подход</w:t>
      </w:r>
    </w:p>
    <w:p w14:paraId="286E79A8" w14:textId="49B2579F"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 xml:space="preserve">След определяне на основните функционални и нефункционални изисквания следващата стъпка е изборът на архитектура, която да позволява тези изисквания да бъдат изпълнени без цялата система да се превърне в един трудно поддържан процес. При разработката е избран модулен и </w:t>
      </w:r>
      <w:r w:rsidRPr="004C59FC">
        <w:rPr>
          <w:rFonts w:cs="Times New Roman"/>
          <w:color w:val="000000" w:themeColor="text1"/>
          <w:szCs w:val="24"/>
          <w:lang w:val="bg-BG"/>
        </w:rPr>
        <w:t>дистрибутивен</w:t>
      </w:r>
      <w:r w:rsidRPr="004C59FC">
        <w:rPr>
          <w:rFonts w:cs="Times New Roman"/>
          <w:color w:val="000000" w:themeColor="text1"/>
          <w:szCs w:val="24"/>
          <w:lang w:val="bg-BG"/>
        </w:rPr>
        <w:t xml:space="preserve"> подход, при който различните части на търговския процес са разделени в самостоятелни услуги и библиотеки. Това разделение не е направено само с цел използване на микросървиси, а следва естествените граници на отговорностите в системата.</w:t>
      </w:r>
    </w:p>
    <w:p w14:paraId="313DE4CB" w14:textId="049E93FC"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Например получаването на пазарни данни е различен проблем от изпълнението на борсова поръчка. Изчисляването на индикатор не трябва да зависи от това дали даден бот е активен, а Dashboard не трябва да има пряк достъп до Redis ключове или Binance credentials. Когато тези отговорности са отделени, всяка част може да бъде развивана, тествана и наблюдавана самостоятелно.</w:t>
      </w:r>
    </w:p>
    <w:p w14:paraId="2E7F1384" w14:textId="50E186DF"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Архитектурата може да бъде разгледана като последователност от няколко основни слоя: получаване на данни, изчисляване на индикатори, генериране и обработване на сигнали, търговско решение, оценка на риск, изпълнение, обратна връзка от борсата, съхранение и операторски контрол. Около този основен поток са разположени допълнителни модули за исторически данни, backtesting, optimization, replay, reconciliation и observability.</w:t>
      </w:r>
    </w:p>
    <w:p w14:paraId="5C1C8BA3" w14:textId="3F7E1EB1"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2.2. Обща архитектура на системата</w:t>
      </w:r>
    </w:p>
    <w:p w14:paraId="1E228B1C" w14:textId="529FD794" w:rsidR="00830EDE" w:rsidRPr="004C59FC" w:rsidRDefault="00D87DA4" w:rsidP="00830EDE">
      <w:pPr>
        <w:rPr>
          <w:rFonts w:cs="Times New Roman"/>
          <w:color w:val="000000" w:themeColor="text1"/>
          <w:szCs w:val="24"/>
          <w:lang w:val="bg-BG"/>
        </w:rPr>
      </w:pPr>
      <w:r w:rsidRPr="004C59FC">
        <w:rPr>
          <w:rFonts w:cs="Times New Roman"/>
          <w:noProof/>
          <w:color w:val="000000" w:themeColor="text1"/>
          <w:szCs w:val="24"/>
          <w:lang w:val="bg-BG"/>
        </w:rPr>
        <w:drawing>
          <wp:anchor distT="0" distB="0" distL="114300" distR="114300" simplePos="0" relativeHeight="251660288" behindDoc="1" locked="0" layoutInCell="1" allowOverlap="1" wp14:anchorId="066A9A8D" wp14:editId="75D0AFBB">
            <wp:simplePos x="0" y="0"/>
            <wp:positionH relativeFrom="margin">
              <wp:posOffset>189781</wp:posOffset>
            </wp:positionH>
            <wp:positionV relativeFrom="paragraph">
              <wp:posOffset>213360</wp:posOffset>
            </wp:positionV>
            <wp:extent cx="5915025" cy="3493135"/>
            <wp:effectExtent l="0" t="0" r="9525" b="0"/>
            <wp:wrapTight wrapText="bothSides">
              <wp:wrapPolygon edited="0">
                <wp:start x="0" y="0"/>
                <wp:lineTo x="0" y="21439"/>
                <wp:lineTo x="21565" y="21439"/>
                <wp:lineTo x="21565" y="0"/>
                <wp:lineTo x="0" y="0"/>
              </wp:wrapPolygon>
            </wp:wrapTight>
            <wp:docPr id="199411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15025" cy="3493135"/>
                    </a:xfrm>
                    <a:prstGeom prst="rect">
                      <a:avLst/>
                    </a:prstGeom>
                    <a:noFill/>
                  </pic:spPr>
                </pic:pic>
              </a:graphicData>
            </a:graphic>
            <wp14:sizeRelV relativeFrom="margin">
              <wp14:pctHeight>0</wp14:pctHeight>
            </wp14:sizeRelV>
          </wp:anchor>
        </w:drawing>
      </w:r>
      <w:r w:rsidR="00830EDE" w:rsidRPr="004C59FC">
        <w:rPr>
          <w:rFonts w:cs="Times New Roman"/>
          <w:color w:val="000000" w:themeColor="text1"/>
          <w:szCs w:val="24"/>
          <w:lang w:val="bg-BG"/>
        </w:rPr>
        <w:t>Фигура 2.1. Обща компонентна архитектура на системата</w:t>
      </w:r>
    </w:p>
    <w:tbl>
      <w:tblPr>
        <w:tblW w:w="0" w:type="auto"/>
        <w:jc w:val="center"/>
        <w:tblLook w:val="04A0" w:firstRow="1" w:lastRow="0" w:firstColumn="1" w:lastColumn="0" w:noHBand="0" w:noVBand="1"/>
      </w:tblPr>
      <w:tblGrid>
        <w:gridCol w:w="9406"/>
      </w:tblGrid>
      <w:tr w:rsidR="00830EDE" w:rsidRPr="004C59FC" w14:paraId="5169A173" w14:textId="77777777" w:rsidTr="009C003C">
        <w:trPr>
          <w:jc w:val="center"/>
        </w:trPr>
        <w:tc>
          <w:tcPr>
            <w:tcW w:w="9406" w:type="dxa"/>
            <w:shd w:val="clear" w:color="auto" w:fill="F3F3F3"/>
          </w:tcPr>
          <w:p w14:paraId="2E3F6746" w14:textId="4A90C3D1" w:rsidR="00830EDE" w:rsidRPr="004C59FC" w:rsidRDefault="00830EDE" w:rsidP="009C003C">
            <w:pPr>
              <w:spacing w:line="240" w:lineRule="auto"/>
              <w:ind w:firstLine="0"/>
              <w:jc w:val="left"/>
              <w:rPr>
                <w:rFonts w:cs="Times New Roman"/>
                <w:color w:val="000000" w:themeColor="text1"/>
                <w:szCs w:val="24"/>
                <w:lang w:val="bg-BG"/>
              </w:rPr>
            </w:pPr>
          </w:p>
        </w:tc>
      </w:tr>
    </w:tbl>
    <w:p w14:paraId="5C639B62" w14:textId="73474973" w:rsidR="00830EDE" w:rsidRPr="004C59FC" w:rsidRDefault="00830EDE" w:rsidP="00830EDE">
      <w:pPr>
        <w:ind w:firstLine="0"/>
        <w:rPr>
          <w:rFonts w:cs="Times New Roman"/>
          <w:color w:val="000000" w:themeColor="text1"/>
          <w:szCs w:val="24"/>
          <w:lang w:val="bg-BG"/>
        </w:rPr>
      </w:pPr>
    </w:p>
    <w:p w14:paraId="744CD9F0"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Диаграмата показва, че няма един централен процес, който да изпълнява всички задачи. MarketDataService е ориентиран към външния пазарен поток, IndicatorServices към изчисления върху свещите, StrategyService към сигналите и търговската логика, а UserStreamService към обратните събития от Binance. Dashboard е отделен control plane, а изследователските процеси като backtesting и optimization използват исторически данни, без да се намесват директно в live execution.</w:t>
      </w:r>
    </w:p>
    <w:p w14:paraId="4351B623"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2.3. MarketDataService – входната точка за пазарни данни</w:t>
      </w:r>
    </w:p>
    <w:p w14:paraId="30C53090"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MarketDataService е първият компонент в основния runtime поток. Неговата задача е да поддържа връзка с Binance Futures market stream, да получава kline данни и да ги преобразува към вътрешния модел на системата. След това свещите се публикуват към Redis канали, от които могат да бъдат консумирани от други услуги.</w:t>
      </w:r>
    </w:p>
    <w:p w14:paraId="17E4C19B"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Отделянето на този компонент е важно по няколко причини. Първо, WebSocket връзката с външна борса има собствен lifecycle: свързване, прекъсване, reconnect и повторно абониране. Второ, пазарните данни могат да се използват от повече от един потребител – индикатори, стратегии, историческо записване или monitoring. Ако всеки компонент поддържа собствена връзка с борсата, ще има излишно натоварване и повече места за несъответствие.</w:t>
      </w:r>
    </w:p>
    <w:p w14:paraId="3DE4211D"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Вътрешните канали са организирани по символ и интервал, например kline канал за BTCUSDC и 5m. Това позволява на downstream consumer да получава само данните, които са му необходими. Системата също различава затворени и незатворени свещи, защото стратегическо решение върху незавършена свещ може да бъде нестабилно.</w:t>
      </w:r>
    </w:p>
    <w:p w14:paraId="73D72C26"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2.4. IndicatorServices – изчислителен слой</w:t>
      </w:r>
    </w:p>
    <w:p w14:paraId="20C5AD1C"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IndicatorServices получава пазарни свещи и върху тях изчислява технически индикатори. В текущата система се използват Alligator, SMA и Bollinger Bands. Изчислените резултати отново се публикуват през Redis, като по този начин стратегията не трябва сама да преизчислява индикатора при всяко събитие.</w:t>
      </w:r>
    </w:p>
    <w:p w14:paraId="5A8ED606"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Това разделение има две основни предимства. От една страна, индикаторната логика е централизирана и може да бъде използвана от повече от един бот. От друга страна, StrategyService остава фокусиран върху въпроса дали дадено пазарно състояние представлява сигнал, вместо да съдържа и математическата реализация на всички индикатори.</w:t>
      </w:r>
    </w:p>
    <w:p w14:paraId="34B58FA1"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При indicator state е важна и времевата последователност. Стойност на индикатор от различен candle close не трябва да бъде комбинирана произволно с текуща свещ. Това е особено ясно при multi-timeframe стратегии, където entry и exit логиката могат да работят с различни интервали. Затова timestamp-ите и freshness проверките са част от архитектурата, а не само помощна информация.</w:t>
      </w:r>
    </w:p>
    <w:p w14:paraId="3453D919"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lastRenderedPageBreak/>
        <w:t>2.5. StrategyService и генериране на сигнали</w:t>
      </w:r>
    </w:p>
    <w:p w14:paraId="0FBC641C" w14:textId="22117889"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StrategyService свързва market/indicator състоянието с търговските стратегии. Той може да приема външни сигнали, например от TradingView, и да генерира вътрешни сигнали чрез реализираните стратегии. Системата поддържа режими като TradingView-only, InternalShadow</w:t>
      </w:r>
      <w:r w:rsidRPr="004C59FC">
        <w:rPr>
          <w:rFonts w:cs="Times New Roman"/>
          <w:color w:val="000000" w:themeColor="text1"/>
          <w:szCs w:val="24"/>
          <w:lang w:val="bg-BG"/>
        </w:rPr>
        <w:t xml:space="preserve"> и </w:t>
      </w:r>
      <w:r w:rsidRPr="004C59FC">
        <w:rPr>
          <w:rFonts w:cs="Times New Roman"/>
          <w:color w:val="000000" w:themeColor="text1"/>
          <w:szCs w:val="24"/>
          <w:lang w:val="bg-BG"/>
        </w:rPr>
        <w:t>InternalLive.</w:t>
      </w:r>
    </w:p>
    <w:p w14:paraId="49593959"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InternalShadow е архитектурно важен, защото позволява нова стратегия да бъде пусната върху реални пазарни данни, без нейните сигнали автоматично да водят до изпълнение. Това създава безопасен преход от разработка към автоматизация. InternalLive вече позволява signal candidate да продължи към общия TradingEngine.</w:t>
      </w:r>
    </w:p>
    <w:p w14:paraId="7EF9E77E"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Всеки сигнал съдържа идентификатор, бот, версия на стратегията, символ, посока, източник и време. Този модел позволява по-късно да се проследи откъде е дошло решението и дали същият signalId вече е бил обработен.</w:t>
      </w:r>
    </w:p>
    <w:p w14:paraId="5432B6A5"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2.6. TradingEngine – централен orchestration слой</w:t>
      </w:r>
    </w:p>
    <w:p w14:paraId="3895CB1B" w14:textId="1349E35C"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TradingEngine е един от най-важните компоненти в системата. Той не определя сам конкретната стратегия, а организира общия процес, който трябва да бъде изпълнен за всеки входящ сигнал. По този начин safety поведението е еднакво</w:t>
      </w:r>
      <w:r w:rsidRPr="004C59FC">
        <w:rPr>
          <w:rFonts w:cs="Times New Roman"/>
          <w:color w:val="000000" w:themeColor="text1"/>
          <w:szCs w:val="24"/>
          <w:lang w:val="bg-BG"/>
        </w:rPr>
        <w:t>,</w:t>
      </w:r>
      <w:r w:rsidRPr="004C59FC">
        <w:rPr>
          <w:rFonts w:cs="Times New Roman"/>
          <w:color w:val="000000" w:themeColor="text1"/>
          <w:szCs w:val="24"/>
          <w:lang w:val="bg-BG"/>
        </w:rPr>
        <w:t xml:space="preserve"> независимо от конкретния бот.</w:t>
      </w:r>
    </w:p>
    <w:p w14:paraId="659DAB9D"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Преди изпълнение сигналът преминава през последователни проверки: валидност на времето, idempotency, operation lock, runtime state, конфигурация, cooldown, strategy decision, risk evaluation и едва след това execution. Ако на някой етап условието не е изпълнено, сигналът се прекратява с ясно решение и причина.</w:t>
      </w:r>
    </w:p>
    <w:p w14:paraId="6CCD99F2"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Този подход е по-надежден от вариант, при който всеки бот сам прилага собствени lock, cooldown и risk проверки. При централизирания TradingEngine тези правила са общи и по-трудно могат да бъдат пропуснати при добавяне на нова стратегия.</w:t>
      </w:r>
    </w:p>
    <w:p w14:paraId="71841B95" w14:textId="77777777" w:rsidR="00D87DA4" w:rsidRPr="004C59FC" w:rsidRDefault="00D87DA4" w:rsidP="00830EDE">
      <w:pPr>
        <w:rPr>
          <w:rFonts w:cs="Times New Roman"/>
          <w:color w:val="000000" w:themeColor="text1"/>
          <w:szCs w:val="24"/>
          <w:lang w:val="bg-BG"/>
        </w:rPr>
      </w:pPr>
    </w:p>
    <w:p w14:paraId="04067A82" w14:textId="77777777" w:rsidR="00D87DA4" w:rsidRPr="004C59FC" w:rsidRDefault="00D87DA4" w:rsidP="00830EDE">
      <w:pPr>
        <w:rPr>
          <w:rFonts w:cs="Times New Roman"/>
          <w:color w:val="000000" w:themeColor="text1"/>
          <w:szCs w:val="24"/>
          <w:lang w:val="bg-BG"/>
        </w:rPr>
      </w:pPr>
    </w:p>
    <w:p w14:paraId="33728F76" w14:textId="77777777" w:rsidR="00D87DA4" w:rsidRPr="004C59FC" w:rsidRDefault="00D87DA4" w:rsidP="00830EDE">
      <w:pPr>
        <w:rPr>
          <w:rFonts w:cs="Times New Roman"/>
          <w:color w:val="000000" w:themeColor="text1"/>
          <w:szCs w:val="24"/>
          <w:lang w:val="bg-BG"/>
        </w:rPr>
      </w:pPr>
    </w:p>
    <w:p w14:paraId="24E3B839" w14:textId="77777777" w:rsidR="00D87DA4" w:rsidRPr="004C59FC" w:rsidRDefault="00D87DA4" w:rsidP="00830EDE">
      <w:pPr>
        <w:rPr>
          <w:rFonts w:cs="Times New Roman"/>
          <w:color w:val="000000" w:themeColor="text1"/>
          <w:szCs w:val="24"/>
          <w:lang w:val="bg-BG"/>
        </w:rPr>
      </w:pPr>
    </w:p>
    <w:p w14:paraId="7AF868D3" w14:textId="77777777" w:rsidR="00D87DA4" w:rsidRPr="004C59FC" w:rsidRDefault="00D87DA4" w:rsidP="00830EDE">
      <w:pPr>
        <w:rPr>
          <w:rFonts w:cs="Times New Roman"/>
          <w:color w:val="000000" w:themeColor="text1"/>
          <w:szCs w:val="24"/>
          <w:lang w:val="bg-BG"/>
        </w:rPr>
      </w:pPr>
    </w:p>
    <w:p w14:paraId="20EB50DD" w14:textId="77777777" w:rsidR="00D87DA4" w:rsidRPr="004C59FC" w:rsidRDefault="00D87DA4" w:rsidP="00830EDE">
      <w:pPr>
        <w:rPr>
          <w:rFonts w:cs="Times New Roman"/>
          <w:color w:val="000000" w:themeColor="text1"/>
          <w:szCs w:val="24"/>
          <w:lang w:val="bg-BG"/>
        </w:rPr>
      </w:pPr>
    </w:p>
    <w:p w14:paraId="0CD74E4C" w14:textId="77777777" w:rsidR="00D87DA4" w:rsidRPr="004C59FC" w:rsidRDefault="00D87DA4" w:rsidP="00830EDE">
      <w:pPr>
        <w:rPr>
          <w:rFonts w:cs="Times New Roman"/>
          <w:color w:val="000000" w:themeColor="text1"/>
          <w:szCs w:val="24"/>
          <w:lang w:val="bg-BG"/>
        </w:rPr>
      </w:pPr>
    </w:p>
    <w:p w14:paraId="421BF3D2" w14:textId="77777777" w:rsidR="00D87DA4" w:rsidRPr="004C59FC" w:rsidRDefault="00D87DA4" w:rsidP="00830EDE">
      <w:pPr>
        <w:rPr>
          <w:rFonts w:cs="Times New Roman"/>
          <w:color w:val="000000" w:themeColor="text1"/>
          <w:szCs w:val="24"/>
          <w:lang w:val="bg-BG"/>
        </w:rPr>
      </w:pPr>
    </w:p>
    <w:p w14:paraId="6388717D" w14:textId="77777777" w:rsidR="00D87DA4" w:rsidRPr="004C59FC" w:rsidRDefault="00D87DA4" w:rsidP="00830EDE">
      <w:pPr>
        <w:rPr>
          <w:rFonts w:cs="Times New Roman"/>
          <w:color w:val="000000" w:themeColor="text1"/>
          <w:szCs w:val="24"/>
          <w:lang w:val="bg-BG"/>
        </w:rPr>
      </w:pPr>
    </w:p>
    <w:p w14:paraId="59C1DA50" w14:textId="77777777" w:rsidR="00D87DA4" w:rsidRPr="004C59FC" w:rsidRDefault="00D87DA4" w:rsidP="00830EDE">
      <w:pPr>
        <w:rPr>
          <w:rFonts w:cs="Times New Roman"/>
          <w:color w:val="000000" w:themeColor="text1"/>
          <w:szCs w:val="24"/>
          <w:lang w:val="bg-BG"/>
        </w:rPr>
      </w:pPr>
    </w:p>
    <w:p w14:paraId="619AC684" w14:textId="77777777" w:rsidR="00D87DA4" w:rsidRPr="004C59FC" w:rsidRDefault="00D87DA4" w:rsidP="00830EDE">
      <w:pPr>
        <w:rPr>
          <w:rFonts w:cs="Times New Roman"/>
          <w:color w:val="000000" w:themeColor="text1"/>
          <w:szCs w:val="24"/>
          <w:lang w:val="bg-BG"/>
        </w:rPr>
      </w:pPr>
    </w:p>
    <w:p w14:paraId="734AFA9E" w14:textId="77777777" w:rsidR="00D87DA4" w:rsidRPr="004C59FC" w:rsidRDefault="00D87DA4" w:rsidP="00830EDE">
      <w:pPr>
        <w:rPr>
          <w:rFonts w:cs="Times New Roman"/>
          <w:color w:val="000000" w:themeColor="text1"/>
          <w:szCs w:val="24"/>
          <w:lang w:val="bg-BG"/>
        </w:rPr>
      </w:pPr>
    </w:p>
    <w:p w14:paraId="4B8FF6FE" w14:textId="77777777" w:rsidR="00D87DA4" w:rsidRPr="004C59FC" w:rsidRDefault="00D87DA4" w:rsidP="00830EDE">
      <w:pPr>
        <w:rPr>
          <w:rFonts w:cs="Times New Roman"/>
          <w:color w:val="000000" w:themeColor="text1"/>
          <w:szCs w:val="24"/>
          <w:lang w:val="bg-BG"/>
        </w:rPr>
      </w:pPr>
    </w:p>
    <w:p w14:paraId="2FCD4AE9" w14:textId="77777777" w:rsidR="00D87DA4" w:rsidRPr="004C59FC" w:rsidRDefault="00D87DA4" w:rsidP="00830EDE">
      <w:pPr>
        <w:rPr>
          <w:rFonts w:cs="Times New Roman"/>
          <w:color w:val="000000" w:themeColor="text1"/>
          <w:szCs w:val="24"/>
          <w:lang w:val="bg-BG"/>
        </w:rPr>
      </w:pPr>
    </w:p>
    <w:p w14:paraId="5D8E554F" w14:textId="77777777" w:rsidR="00D87DA4" w:rsidRPr="004C59FC" w:rsidRDefault="00D87DA4" w:rsidP="00830EDE">
      <w:pPr>
        <w:rPr>
          <w:rFonts w:cs="Times New Roman"/>
          <w:color w:val="000000" w:themeColor="text1"/>
          <w:szCs w:val="24"/>
          <w:lang w:val="bg-BG"/>
        </w:rPr>
      </w:pPr>
    </w:p>
    <w:p w14:paraId="121728AB" w14:textId="77777777" w:rsidR="00D87DA4" w:rsidRPr="004C59FC" w:rsidRDefault="00D87DA4" w:rsidP="00830EDE">
      <w:pPr>
        <w:rPr>
          <w:rFonts w:cs="Times New Roman"/>
          <w:color w:val="000000" w:themeColor="text1"/>
          <w:szCs w:val="24"/>
          <w:lang w:val="bg-BG"/>
        </w:rPr>
      </w:pPr>
    </w:p>
    <w:p w14:paraId="5042E9C9" w14:textId="77777777" w:rsidR="00D87DA4" w:rsidRPr="004C59FC" w:rsidRDefault="00D87DA4" w:rsidP="00830EDE">
      <w:pPr>
        <w:rPr>
          <w:rFonts w:cs="Times New Roman"/>
          <w:color w:val="000000" w:themeColor="text1"/>
          <w:szCs w:val="24"/>
          <w:lang w:val="bg-BG"/>
        </w:rPr>
      </w:pPr>
    </w:p>
    <w:p w14:paraId="2A6E45DA" w14:textId="1D4080A6" w:rsidR="00830EDE" w:rsidRPr="004C59FC" w:rsidRDefault="00D87DA4" w:rsidP="00830EDE">
      <w:pPr>
        <w:rPr>
          <w:rFonts w:cs="Times New Roman"/>
          <w:color w:val="000000" w:themeColor="text1"/>
          <w:szCs w:val="24"/>
          <w:lang w:val="bg-BG"/>
        </w:rPr>
      </w:pPr>
      <w:r w:rsidRPr="004C59FC">
        <w:rPr>
          <w:rFonts w:cs="Times New Roman"/>
          <w:noProof/>
          <w:color w:val="000000" w:themeColor="text1"/>
          <w:szCs w:val="24"/>
          <w:lang w:val="bg-BG"/>
        </w:rPr>
        <w:lastRenderedPageBreak/>
        <w:drawing>
          <wp:anchor distT="0" distB="0" distL="114300" distR="114300" simplePos="0" relativeHeight="251659264" behindDoc="1" locked="0" layoutInCell="1" allowOverlap="1" wp14:anchorId="268AEC0C" wp14:editId="731EBE59">
            <wp:simplePos x="0" y="0"/>
            <wp:positionH relativeFrom="margin">
              <wp:align>left</wp:align>
            </wp:positionH>
            <wp:positionV relativeFrom="paragraph">
              <wp:posOffset>264220</wp:posOffset>
            </wp:positionV>
            <wp:extent cx="5917565" cy="4036695"/>
            <wp:effectExtent l="0" t="0" r="6985" b="1905"/>
            <wp:wrapTight wrapText="bothSides">
              <wp:wrapPolygon edited="0">
                <wp:start x="0" y="0"/>
                <wp:lineTo x="0" y="21508"/>
                <wp:lineTo x="21556" y="21508"/>
                <wp:lineTo x="21556" y="0"/>
                <wp:lineTo x="0" y="0"/>
              </wp:wrapPolygon>
            </wp:wrapTight>
            <wp:docPr id="623033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23714" cy="4041041"/>
                    </a:xfrm>
                    <a:prstGeom prst="rect">
                      <a:avLst/>
                    </a:prstGeom>
                    <a:noFill/>
                  </pic:spPr>
                </pic:pic>
              </a:graphicData>
            </a:graphic>
            <wp14:sizeRelH relativeFrom="margin">
              <wp14:pctWidth>0</wp14:pctWidth>
            </wp14:sizeRelH>
          </wp:anchor>
        </w:drawing>
      </w:r>
      <w:r w:rsidR="00830EDE" w:rsidRPr="004C59FC">
        <w:rPr>
          <w:rFonts w:cs="Times New Roman"/>
          <w:color w:val="000000" w:themeColor="text1"/>
          <w:szCs w:val="24"/>
          <w:lang w:val="bg-BG"/>
        </w:rPr>
        <w:t>Фигура 2.2. Обработка на сигнал до отваряне на позиция</w:t>
      </w:r>
    </w:p>
    <w:p w14:paraId="3D5F6B3A" w14:textId="78061AD6" w:rsidR="00830EDE" w:rsidRPr="004C59FC" w:rsidRDefault="00830EDE" w:rsidP="00830EDE">
      <w:pPr>
        <w:rPr>
          <w:rFonts w:cs="Times New Roman"/>
          <w:color w:val="000000" w:themeColor="text1"/>
          <w:szCs w:val="24"/>
          <w:lang w:val="bg-BG"/>
        </w:rPr>
      </w:pPr>
    </w:p>
    <w:p w14:paraId="10A1699D"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2.7. Risk и Portfolio Management</w:t>
      </w:r>
    </w:p>
    <w:p w14:paraId="1B5D61D6"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Рискът е отделен от стратегията, защото двата компонента отговарят на различни въпроси. Стратегията определя дали дадено пазарно състояние е подходящо за вход, а risk manager определя дали системата има право да поеме още експозиция.</w:t>
      </w:r>
    </w:p>
    <w:p w14:paraId="687F1240"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CentralRiskManager използва portfolio snapshot и текущи risk state данни, за да оцени общия брой позиции, позиции по бот и символ, прогнозната номинална експозиция, дневната загуба, drawdown и поредица от загуби. При критични reconciliation findings също може да бъде забранено отварянето на нова позиция.</w:t>
      </w:r>
    </w:p>
    <w:p w14:paraId="6DEC1456"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Това разделение предотвратява ситуация, в която всяка стратегия има собствено непълно разбиране за портфейлния риск. Един бот може да изглежда в безопасно състояние самостоятелно, но общата експозиция на системата вече да е прекалено висока.</w:t>
      </w:r>
    </w:p>
    <w:p w14:paraId="14D52773"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2.8. Execution layer и Binance integration</w:t>
      </w:r>
    </w:p>
    <w:p w14:paraId="50571229"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След положително решение от стратегията и risk manager сигналът достига execution layer. Тук бизнес намерението се превръща в конкретни Binance Futures операции. Различните семейства ботове могат да използват различни executor-и, но всички се стремят да спазват общи правила за безопасно изпълнение.</w:t>
      </w:r>
    </w:p>
    <w:p w14:paraId="37608F41" w14:textId="5BBE6854"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lastRenderedPageBreak/>
        <w:t>Важна роля имат client order identifiers. Те позволяват всяка поръчка да бъде свързана с конкретен bot/position/lifecycle action. При network timeout системата не трябва втоматично да предполага, че поръчката не е изпълнена. Чрез идентификатора може да се направи последваща проверка и да се избегне изпращане на втори market order.</w:t>
      </w:r>
    </w:p>
    <w:p w14:paraId="0E647AB9"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При protected position стратегии execution layer създава не само entry, но и защитни поръчки като take-profit и stop-loss. При други стратегии логиката е по-проста, например TP-only grid. Това показва защо bot-specific executor остава отделен от общия TradingEngine.</w:t>
      </w:r>
    </w:p>
    <w:p w14:paraId="3FC4B0F9"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2.9. UserStreamService – обратна връзка от борсата</w:t>
      </w:r>
    </w:p>
    <w:p w14:paraId="77C608E9"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HTTP response от Binance не е достатъчен за целия lifecycle на позицията. Поръчка може да бъде изпълнена по-късно, частично, отменена или задействана след промяна на пазара. Затова UserStreamService поддържа отделна връзка към Binance user data stream.</w:t>
      </w:r>
    </w:p>
    <w:p w14:paraId="0350C54A"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Получените order/account събития се публикуват към вътрешната система и се обработват от bot-specific handlers. Например изпълнен take-profit може да доведе до създаване на нова protective STOP3 поръчка. По този начин lifecycle логиката е event-driven и следва реалното състояние на борсата, а не само локално предположение.</w:t>
      </w:r>
    </w:p>
    <w:p w14:paraId="4CAD5810"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2.10. Redis като комуникационен и бърз state слой</w:t>
      </w:r>
    </w:p>
    <w:p w14:paraId="31182FCA"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Redis се използва в няколко роли. Първата е Pub/Sub комуникация за пазарни данни, индикатори, сигнали и order events. Втората е съхраняване на краткотрайно runtime състояние, например последни стойности, idempotency keys, cooldown информация и operation locks.</w:t>
      </w:r>
    </w:p>
    <w:p w14:paraId="07EE17ED"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Основната причина Redis да се използва тук е ниското време за достъп и естествената поддръжка на expiration. Например cooldown или idempotency запис има ограничен lifecycle и не е необходимо винаги да се съхранява като постоянен relational record.</w:t>
      </w:r>
    </w:p>
    <w:p w14:paraId="541893C5"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Важно ограничение е, че Redis Pub/Sub не е durable message queue. Ако consumer не е свързан в момента на публикацията, съобщението може да бъде пропуснато. Затова критичното business състояние не трябва да съществува единствено в Pub/Sub. Durable history, lifecycle events и jobs се съхраняват в PostgreSQL.</w:t>
      </w:r>
    </w:p>
    <w:p w14:paraId="4DE9E101"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2.11. PostgreSQL като трайно хранилище</w:t>
      </w:r>
    </w:p>
    <w:p w14:paraId="2069C78B"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PostgreSQL съдържа данните, които трябва да оцелеят независимо от рестартиране на контейнерите. Тук се съхраняват позиции, търговска история, event lifecycle, operational records, jobs, performance snapshots, alerts, audit и други projections.</w:t>
      </w:r>
    </w:p>
    <w:p w14:paraId="1518F3B8"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Трайното хранилище е особено важно при reconciliation и debugging. Ако системата се рестартира, тя трябва да може да възстанови какви действия са били изпълнени и да сравни това с текущото състояние на борсата. Същите данни се използват от Dashboard и от историческите аналитични модули.</w:t>
      </w:r>
    </w:p>
    <w:p w14:paraId="794A939C"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2.12. Healing и Reconciliation</w:t>
      </w:r>
    </w:p>
    <w:p w14:paraId="3D0DC999" w14:textId="0014B82E"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 xml:space="preserve">При </w:t>
      </w:r>
      <w:r w:rsidR="00D87DA4" w:rsidRPr="004C59FC">
        <w:rPr>
          <w:rFonts w:cs="Times New Roman"/>
          <w:color w:val="000000" w:themeColor="text1"/>
          <w:szCs w:val="24"/>
          <w:lang w:val="bg-BG"/>
        </w:rPr>
        <w:t>дистрибутивна</w:t>
      </w:r>
      <w:r w:rsidRPr="004C59FC">
        <w:rPr>
          <w:rFonts w:cs="Times New Roman"/>
          <w:color w:val="000000" w:themeColor="text1"/>
          <w:szCs w:val="24"/>
          <w:lang w:val="bg-BG"/>
        </w:rPr>
        <w:t xml:space="preserve"> система не може да се приеме, че всички компоненти винаги имат едно и също състояние. Възможно е борсата да има отворена позиция, а локалният </w:t>
      </w:r>
      <w:r w:rsidRPr="004C59FC">
        <w:rPr>
          <w:rFonts w:cs="Times New Roman"/>
          <w:color w:val="000000" w:themeColor="text1"/>
          <w:szCs w:val="24"/>
          <w:lang w:val="bg-BG"/>
        </w:rPr>
        <w:lastRenderedPageBreak/>
        <w:t>запис да е остарял, или обратно. Protective order може да бъде отменен външно, докато локалната система все още го счита за активен.</w:t>
      </w:r>
    </w:p>
    <w:p w14:paraId="54FBCB39"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Reconciliation сравнява локалното и външното състояние и открива несъответствия. Healing механизмите могат да предприемат безопасни корекции за определени известни случаи. Това е допълнителен защитен слой след нормалния execution flow и е необходим именно защото външната борса и локалната система не споделят една обща транзакция.</w:t>
      </w:r>
    </w:p>
    <w:p w14:paraId="5AB01EF9"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2.13. Historical data, Backtesting, Optimization и Replay</w:t>
      </w:r>
    </w:p>
    <w:p w14:paraId="31A12B6C"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Live системата е допълнена от отделна изследователска част. Historical data модулите съхраняват пазарна информация за последваща обработка. Backtesting изпълнява стратегии върху исторически candles и генерира позиции, executions, equity curve и performance metrics.</w:t>
      </w:r>
    </w:p>
    <w:p w14:paraId="0F0B9678" w14:textId="4653B915"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 xml:space="preserve">Optimization използва многократно backtesting с различни </w:t>
      </w:r>
      <w:r w:rsidR="00D87DA4" w:rsidRPr="004C59FC">
        <w:rPr>
          <w:rFonts w:cs="Times New Roman"/>
          <w:color w:val="000000" w:themeColor="text1"/>
          <w:szCs w:val="24"/>
          <w:lang w:val="bg-BG"/>
        </w:rPr>
        <w:t>комбинации от параметри</w:t>
      </w:r>
      <w:r w:rsidRPr="004C59FC">
        <w:rPr>
          <w:rFonts w:cs="Times New Roman"/>
          <w:color w:val="000000" w:themeColor="text1"/>
          <w:szCs w:val="24"/>
          <w:lang w:val="bg-BG"/>
        </w:rPr>
        <w:t>, за да сравнява резултатите и да търси по-подходящи настройки. Replay възпроизвежда историческа последователност от събития и позволява да се анализира как системата е достигнала до конкретно състояние.</w:t>
      </w:r>
    </w:p>
    <w:p w14:paraId="4A9830F7"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Тези компоненти са отделени от live trading pipeline, защото имат различни изисквания. Те могат да обработват големи исторически диапазони и да изпълняват множество експерименти, без това да влияе върху latency или надеждността на работещия trading engine.</w:t>
      </w:r>
    </w:p>
    <w:p w14:paraId="4B9B567C"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2.14. Jobs Worker</w:t>
      </w:r>
    </w:p>
    <w:p w14:paraId="2151BC53"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По-дългите операции като historical ingestion, backtesting, optimization и други background задачи не трябва да се изпълняват вътре в HTTP request към Dashboard API. Поради това те се моделират като jobs, които се записват и след това се обработват от отделен worker.</w:t>
      </w:r>
    </w:p>
    <w:p w14:paraId="57B2777F"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Dashboard получава accepted response и по-късно следи статуса на задачата. Това позволява HTTP заявката да остане кратка, а дългият процес да има собствен retry/status/error lifecycle.</w:t>
      </w:r>
    </w:p>
    <w:p w14:paraId="749F1794"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2.15. Dashboard API и Dashboard Web</w:t>
      </w:r>
    </w:p>
    <w:p w14:paraId="16587DCE"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Dashboard представлява отделен control plane върху системата. Dashboard API предоставя защитени endpoints за overview, bots, configuration, commands, positions, signals, analytics, backtests, optimization, replay, paper trading, health, alerts и audit.</w:t>
      </w:r>
    </w:p>
    <w:p w14:paraId="5BDF172F"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Dashboard Web е React/TypeScript приложение, което комуникира единствено с този API. То не знае DB credentials и не изпраща директно orders към Binance. Тази архитектурна граница позволява authorization, idempotency и validation да останат в backend слоя.</w:t>
      </w:r>
    </w:p>
    <w:p w14:paraId="18894DA1"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В production Web приложението се build-ва като статични assets и се serve-ва от Nginx. Nginx proxy-ва `/api/` към Dashboard API и едновременно поддържа SPA routing чрез fallback към `index.html`.</w:t>
      </w:r>
    </w:p>
    <w:p w14:paraId="6673CE03"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lastRenderedPageBreak/>
        <w:t>2.16. Observability и operational layer</w:t>
      </w:r>
    </w:p>
    <w:p w14:paraId="03B32F99"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Система, която работи непрекъснато, трябва да бъде наблюдаема. Затова отделните услуги публикуват heartbeat и health информация, а operational слойът съхранява alerts и audit records.</w:t>
      </w:r>
    </w:p>
    <w:p w14:paraId="0C35A048"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Това позволява да бъде разграничен например проблем в MarketDataService от проблем в StrategyService или Dashboard. Correlation IDs свързват една операция между frontend и backend, а audit записите позволяват да се установи кой operator е извършил дадено действие.</w:t>
      </w:r>
    </w:p>
    <w:p w14:paraId="00529744"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2.17. Deployment архитектура</w:t>
      </w:r>
    </w:p>
    <w:p w14:paraId="7B81CC83"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За демонстрационната среда системата е предназначена да бъде разположена върху Synology NAS чрез Docker Compose. Всеки основен компонент работи в собствен контейнер, но всички са свързани в обща вътрешна Docker мрежа.</w:t>
      </w:r>
    </w:p>
    <w:p w14:paraId="3D8FC25D" w14:textId="4DF6B8EC" w:rsidR="00830EDE" w:rsidRPr="004C59FC" w:rsidRDefault="00D87DA4" w:rsidP="00830EDE">
      <w:pPr>
        <w:rPr>
          <w:rFonts w:cs="Times New Roman"/>
          <w:color w:val="000000" w:themeColor="text1"/>
          <w:szCs w:val="24"/>
          <w:lang w:val="bg-BG"/>
        </w:rPr>
      </w:pPr>
      <w:r w:rsidRPr="004C59FC">
        <w:rPr>
          <w:rFonts w:cs="Times New Roman"/>
          <w:noProof/>
          <w:color w:val="000000" w:themeColor="text1"/>
          <w:szCs w:val="24"/>
          <w:lang w:val="bg-BG"/>
        </w:rPr>
        <w:drawing>
          <wp:anchor distT="0" distB="0" distL="114300" distR="114300" simplePos="0" relativeHeight="251658240" behindDoc="0" locked="0" layoutInCell="1" allowOverlap="1" wp14:anchorId="1CE33505" wp14:editId="0D210DDA">
            <wp:simplePos x="0" y="0"/>
            <wp:positionH relativeFrom="margin">
              <wp:align>right</wp:align>
            </wp:positionH>
            <wp:positionV relativeFrom="paragraph">
              <wp:posOffset>200025</wp:posOffset>
            </wp:positionV>
            <wp:extent cx="5972810" cy="2585085"/>
            <wp:effectExtent l="0" t="0" r="8890" b="5715"/>
            <wp:wrapThrough wrapText="bothSides">
              <wp:wrapPolygon edited="0">
                <wp:start x="0" y="0"/>
                <wp:lineTo x="0" y="21489"/>
                <wp:lineTo x="21563" y="21489"/>
                <wp:lineTo x="21563" y="0"/>
                <wp:lineTo x="0" y="0"/>
              </wp:wrapPolygon>
            </wp:wrapThrough>
            <wp:docPr id="1154063052"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72810" cy="2585085"/>
                    </a:xfrm>
                    <a:prstGeom prst="rect">
                      <a:avLst/>
                    </a:prstGeom>
                    <a:noFill/>
                    <a:ln>
                      <a:noFill/>
                    </a:ln>
                  </pic:spPr>
                </pic:pic>
              </a:graphicData>
            </a:graphic>
            <wp14:sizeRelH relativeFrom="page">
              <wp14:pctWidth>0</wp14:pctWidth>
            </wp14:sizeRelH>
            <wp14:sizeRelV relativeFrom="page">
              <wp14:pctHeight>0</wp14:pctHeight>
            </wp14:sizeRelV>
          </wp:anchor>
        </w:drawing>
      </w:r>
      <w:r w:rsidR="00830EDE" w:rsidRPr="004C59FC">
        <w:rPr>
          <w:rFonts w:cs="Times New Roman"/>
          <w:color w:val="000000" w:themeColor="text1"/>
          <w:szCs w:val="24"/>
          <w:lang w:val="bg-BG"/>
        </w:rPr>
        <w:t>Фигура 2.3. Deployment архитектура върху Synology NAS</w:t>
      </w:r>
    </w:p>
    <w:p w14:paraId="46920FF1" w14:textId="4FF39061" w:rsidR="00830EDE" w:rsidRPr="004C59FC" w:rsidRDefault="00830EDE" w:rsidP="00830EDE">
      <w:pPr>
        <w:rPr>
          <w:rFonts w:cs="Times New Roman"/>
          <w:color w:val="000000" w:themeColor="text1"/>
          <w:szCs w:val="24"/>
          <w:lang w:val="bg-BG"/>
        </w:rPr>
      </w:pPr>
    </w:p>
    <w:p w14:paraId="6C7A66DE"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Контейнерите използват healthchecks и dependency conditions, така че например Dashboard Web да чака Dashboard API да бъде healthy, а основните services да стартират след наличност на PostgreSQL и Redis. Това прави deployment-а повторяем и позволява една и съща конфигурация да бъде използвана при локална и NAS среда с различни environment variables.</w:t>
      </w:r>
    </w:p>
    <w:p w14:paraId="2EC93614"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2.18. Основни архитектурни решения и техните причини</w:t>
      </w:r>
    </w:p>
    <w:tbl>
      <w:tblPr>
        <w:tblStyle w:val="TableGrid"/>
        <w:tblW w:w="0" w:type="auto"/>
        <w:jc w:val="center"/>
        <w:tblLook w:val="04A0" w:firstRow="1" w:lastRow="0" w:firstColumn="1" w:lastColumn="0" w:noHBand="0" w:noVBand="1"/>
      </w:tblPr>
      <w:tblGrid>
        <w:gridCol w:w="4699"/>
        <w:gridCol w:w="4697"/>
      </w:tblGrid>
      <w:tr w:rsidR="00830EDE" w:rsidRPr="004C59FC" w14:paraId="0652460A" w14:textId="77777777" w:rsidTr="009C003C">
        <w:trPr>
          <w:jc w:val="center"/>
        </w:trPr>
        <w:tc>
          <w:tcPr>
            <w:tcW w:w="4703" w:type="dxa"/>
            <w:shd w:val="clear" w:color="auto" w:fill="E7EEF8"/>
          </w:tcPr>
          <w:p w14:paraId="782C789A" w14:textId="77777777" w:rsidR="00830EDE" w:rsidRPr="004C59FC" w:rsidRDefault="00830EDE" w:rsidP="009C003C">
            <w:pPr>
              <w:rPr>
                <w:rFonts w:cs="Times New Roman"/>
                <w:color w:val="000000" w:themeColor="text1"/>
                <w:sz w:val="24"/>
                <w:szCs w:val="24"/>
                <w:lang w:val="bg-BG"/>
              </w:rPr>
            </w:pPr>
            <w:r w:rsidRPr="004C59FC">
              <w:rPr>
                <w:rFonts w:cs="Times New Roman"/>
                <w:b/>
                <w:color w:val="000000" w:themeColor="text1"/>
                <w:sz w:val="24"/>
                <w:szCs w:val="24"/>
                <w:lang w:val="bg-BG"/>
              </w:rPr>
              <w:t>Решение</w:t>
            </w:r>
          </w:p>
        </w:tc>
        <w:tc>
          <w:tcPr>
            <w:tcW w:w="4703" w:type="dxa"/>
            <w:shd w:val="clear" w:color="auto" w:fill="E7EEF8"/>
          </w:tcPr>
          <w:p w14:paraId="5D1B95E4" w14:textId="77777777" w:rsidR="00830EDE" w:rsidRPr="004C59FC" w:rsidRDefault="00830EDE" w:rsidP="009C003C">
            <w:pPr>
              <w:rPr>
                <w:rFonts w:cs="Times New Roman"/>
                <w:color w:val="000000" w:themeColor="text1"/>
                <w:sz w:val="24"/>
                <w:szCs w:val="24"/>
                <w:lang w:val="bg-BG"/>
              </w:rPr>
            </w:pPr>
            <w:r w:rsidRPr="004C59FC">
              <w:rPr>
                <w:rFonts w:cs="Times New Roman"/>
                <w:b/>
                <w:color w:val="000000" w:themeColor="text1"/>
                <w:sz w:val="24"/>
                <w:szCs w:val="24"/>
                <w:lang w:val="bg-BG"/>
              </w:rPr>
              <w:t>Причина</w:t>
            </w:r>
          </w:p>
        </w:tc>
      </w:tr>
      <w:tr w:rsidR="00830EDE" w:rsidRPr="004C59FC" w14:paraId="43EDE789" w14:textId="77777777" w:rsidTr="009C003C">
        <w:trPr>
          <w:jc w:val="center"/>
        </w:trPr>
        <w:tc>
          <w:tcPr>
            <w:tcW w:w="4703" w:type="dxa"/>
          </w:tcPr>
          <w:p w14:paraId="1D55AAED"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Отделен MarketDataService</w:t>
            </w:r>
          </w:p>
        </w:tc>
        <w:tc>
          <w:tcPr>
            <w:tcW w:w="4703" w:type="dxa"/>
          </w:tcPr>
          <w:p w14:paraId="7A8B0FE6"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Една централизирана връзка към market stream и повторно използване на данните.</w:t>
            </w:r>
          </w:p>
        </w:tc>
      </w:tr>
      <w:tr w:rsidR="00830EDE" w:rsidRPr="004C59FC" w14:paraId="114EE8AC" w14:textId="77777777" w:rsidTr="009C003C">
        <w:trPr>
          <w:jc w:val="center"/>
        </w:trPr>
        <w:tc>
          <w:tcPr>
            <w:tcW w:w="4703" w:type="dxa"/>
          </w:tcPr>
          <w:p w14:paraId="18D84BB6"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Отделен IndicatorServices</w:t>
            </w:r>
          </w:p>
        </w:tc>
        <w:tc>
          <w:tcPr>
            <w:tcW w:w="4703" w:type="dxa"/>
          </w:tcPr>
          <w:p w14:paraId="3CDD4FE5"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Математиката на индикаторите не се дублира във всяка стратегия.</w:t>
            </w:r>
          </w:p>
        </w:tc>
      </w:tr>
      <w:tr w:rsidR="00830EDE" w:rsidRPr="004C59FC" w14:paraId="7F1A4E8C" w14:textId="77777777" w:rsidTr="009C003C">
        <w:trPr>
          <w:jc w:val="center"/>
        </w:trPr>
        <w:tc>
          <w:tcPr>
            <w:tcW w:w="4703" w:type="dxa"/>
          </w:tcPr>
          <w:p w14:paraId="1B40D837"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lastRenderedPageBreak/>
              <w:t>Централен TradingEngine</w:t>
            </w:r>
          </w:p>
        </w:tc>
        <w:tc>
          <w:tcPr>
            <w:tcW w:w="4703" w:type="dxa"/>
          </w:tcPr>
          <w:p w14:paraId="21B385A2"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Общи safety проверки за всички ботове.</w:t>
            </w:r>
          </w:p>
        </w:tc>
      </w:tr>
      <w:tr w:rsidR="00830EDE" w:rsidRPr="004C59FC" w14:paraId="709AACD4" w14:textId="77777777" w:rsidTr="009C003C">
        <w:trPr>
          <w:jc w:val="center"/>
        </w:trPr>
        <w:tc>
          <w:tcPr>
            <w:tcW w:w="4703" w:type="dxa"/>
          </w:tcPr>
          <w:p w14:paraId="2F4441A1"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Отделен RiskManager</w:t>
            </w:r>
          </w:p>
        </w:tc>
        <w:tc>
          <w:tcPr>
            <w:tcW w:w="4703" w:type="dxa"/>
          </w:tcPr>
          <w:p w14:paraId="68967F33"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Портфейлният риск не зависи от конкретна стратегия.</w:t>
            </w:r>
          </w:p>
        </w:tc>
      </w:tr>
      <w:tr w:rsidR="00830EDE" w:rsidRPr="004C59FC" w14:paraId="385CA168" w14:textId="77777777" w:rsidTr="009C003C">
        <w:trPr>
          <w:jc w:val="center"/>
        </w:trPr>
        <w:tc>
          <w:tcPr>
            <w:tcW w:w="4703" w:type="dxa"/>
          </w:tcPr>
          <w:p w14:paraId="78E53108"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UserStreamService</w:t>
            </w:r>
          </w:p>
        </w:tc>
        <w:tc>
          <w:tcPr>
            <w:tcW w:w="4703" w:type="dxa"/>
          </w:tcPr>
          <w:p w14:paraId="0B96EF07"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Lifecycle се определя от реалните борсови събития.</w:t>
            </w:r>
          </w:p>
        </w:tc>
      </w:tr>
      <w:tr w:rsidR="00830EDE" w:rsidRPr="004C59FC" w14:paraId="253329A2" w14:textId="77777777" w:rsidTr="009C003C">
        <w:trPr>
          <w:jc w:val="center"/>
        </w:trPr>
        <w:tc>
          <w:tcPr>
            <w:tcW w:w="4703" w:type="dxa"/>
          </w:tcPr>
          <w:p w14:paraId="54A8DFA8"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Redis + PostgreSQL</w:t>
            </w:r>
          </w:p>
        </w:tc>
        <w:tc>
          <w:tcPr>
            <w:tcW w:w="4703" w:type="dxa"/>
          </w:tcPr>
          <w:p w14:paraId="6D9917CE"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Бърз runtime state и комуникация, комбинирани с durable storage.</w:t>
            </w:r>
          </w:p>
        </w:tc>
      </w:tr>
      <w:tr w:rsidR="00830EDE" w:rsidRPr="004C59FC" w14:paraId="117A9165" w14:textId="77777777" w:rsidTr="009C003C">
        <w:trPr>
          <w:jc w:val="center"/>
        </w:trPr>
        <w:tc>
          <w:tcPr>
            <w:tcW w:w="4703" w:type="dxa"/>
          </w:tcPr>
          <w:p w14:paraId="36D0DFA1"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Backtesting/Optimization отделно от live</w:t>
            </w:r>
          </w:p>
        </w:tc>
        <w:tc>
          <w:tcPr>
            <w:tcW w:w="4703" w:type="dxa"/>
          </w:tcPr>
          <w:p w14:paraId="061FEAAD"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Research workload не влияе на runtime latency.</w:t>
            </w:r>
          </w:p>
        </w:tc>
      </w:tr>
      <w:tr w:rsidR="00830EDE" w:rsidRPr="004C59FC" w14:paraId="416D7165" w14:textId="77777777" w:rsidTr="009C003C">
        <w:trPr>
          <w:jc w:val="center"/>
        </w:trPr>
        <w:tc>
          <w:tcPr>
            <w:tcW w:w="4703" w:type="dxa"/>
          </w:tcPr>
          <w:p w14:paraId="2628790E"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Dashboard като control plane</w:t>
            </w:r>
          </w:p>
        </w:tc>
        <w:tc>
          <w:tcPr>
            <w:tcW w:w="4703" w:type="dxa"/>
          </w:tcPr>
          <w:p w14:paraId="79B8CBC0"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UI няма direct access до execution/DB secrets.</w:t>
            </w:r>
          </w:p>
        </w:tc>
      </w:tr>
      <w:tr w:rsidR="00830EDE" w:rsidRPr="004C59FC" w14:paraId="320A833A" w14:textId="77777777" w:rsidTr="009C003C">
        <w:trPr>
          <w:jc w:val="center"/>
        </w:trPr>
        <w:tc>
          <w:tcPr>
            <w:tcW w:w="4703" w:type="dxa"/>
          </w:tcPr>
          <w:p w14:paraId="1EA41838"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Docker deployment</w:t>
            </w:r>
          </w:p>
        </w:tc>
        <w:tc>
          <w:tcPr>
            <w:tcW w:w="4703" w:type="dxa"/>
          </w:tcPr>
          <w:p w14:paraId="1841DEBC" w14:textId="77777777" w:rsidR="00830EDE" w:rsidRPr="004C59FC" w:rsidRDefault="00830EDE"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Повторяемо разгръщане и изолация между компонентите.</w:t>
            </w:r>
          </w:p>
        </w:tc>
      </w:tr>
    </w:tbl>
    <w:p w14:paraId="585912FF" w14:textId="77777777" w:rsidR="00830EDE" w:rsidRPr="004C59FC" w:rsidRDefault="00830EDE" w:rsidP="00830EDE">
      <w:pPr>
        <w:rPr>
          <w:rFonts w:cs="Times New Roman"/>
          <w:color w:val="000000" w:themeColor="text1"/>
          <w:szCs w:val="24"/>
          <w:lang w:val="bg-BG"/>
        </w:rPr>
      </w:pPr>
    </w:p>
    <w:p w14:paraId="6C3AB30D" w14:textId="77777777" w:rsidR="00830EDE" w:rsidRPr="004C59FC" w:rsidRDefault="00830EDE" w:rsidP="00830EDE">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2.19. Обобщение</w:t>
      </w:r>
    </w:p>
    <w:p w14:paraId="22F3E193"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Архитектурата е изградена около идеята всяка основна отговорност да има ясно място. Market data, indicators, signals, strategy decision, risk, execution, external feedback, durable storage и operator control са отделени, но са свързани чрез формализирани договори и събития.</w:t>
      </w:r>
    </w:p>
    <w:p w14:paraId="012194F4" w14:textId="77777777" w:rsidR="00830EDE" w:rsidRPr="004C59FC" w:rsidRDefault="00830EDE" w:rsidP="00830EDE">
      <w:pPr>
        <w:rPr>
          <w:rFonts w:cs="Times New Roman"/>
          <w:color w:val="000000" w:themeColor="text1"/>
          <w:szCs w:val="24"/>
          <w:lang w:val="bg-BG"/>
        </w:rPr>
      </w:pPr>
      <w:r w:rsidRPr="004C59FC">
        <w:rPr>
          <w:rFonts w:cs="Times New Roman"/>
          <w:color w:val="000000" w:themeColor="text1"/>
          <w:szCs w:val="24"/>
          <w:lang w:val="bg-BG"/>
        </w:rPr>
        <w:t>Това разделение позволява системата да бъде развивана постепенно. Нов bot може да използва съществуващия TradingEngine и risk слой; нов indicator може да бъде добавен без промяна в Dashboard; нов historical experiment може да бъде изпълнен без да влияе върху live services. Следващата глава разглежда технологиите, чрез които тази архитектура е реализирана, и причините те да бъдат избрани.</w:t>
      </w:r>
    </w:p>
    <w:p w14:paraId="18DBDD11" w14:textId="77777777" w:rsidR="00EE4178" w:rsidRPr="004C59FC" w:rsidRDefault="00EE4178" w:rsidP="00EE4178">
      <w:pPr>
        <w:pStyle w:val="Heading1"/>
        <w:rPr>
          <w:rFonts w:ascii="Times New Roman" w:hAnsi="Times New Roman" w:cs="Times New Roman"/>
          <w:color w:val="000000" w:themeColor="text1"/>
          <w:sz w:val="24"/>
          <w:szCs w:val="24"/>
          <w:lang w:val="bg-BG"/>
        </w:rPr>
      </w:pPr>
    </w:p>
    <w:p w14:paraId="1D2CC857" w14:textId="77777777" w:rsidR="00EE4178" w:rsidRPr="004C59FC" w:rsidRDefault="00EE4178" w:rsidP="00EE4178">
      <w:pPr>
        <w:pStyle w:val="Heading1"/>
        <w:rPr>
          <w:rFonts w:ascii="Times New Roman" w:hAnsi="Times New Roman" w:cs="Times New Roman"/>
          <w:color w:val="000000" w:themeColor="text1"/>
          <w:sz w:val="24"/>
          <w:szCs w:val="24"/>
          <w:lang w:val="bg-BG"/>
        </w:rPr>
      </w:pPr>
    </w:p>
    <w:p w14:paraId="78A70180" w14:textId="77777777" w:rsidR="00EE4178" w:rsidRPr="004C59FC" w:rsidRDefault="00EE4178" w:rsidP="00EE4178">
      <w:pPr>
        <w:pStyle w:val="Heading1"/>
        <w:rPr>
          <w:rFonts w:ascii="Times New Roman" w:hAnsi="Times New Roman" w:cs="Times New Roman"/>
          <w:color w:val="000000" w:themeColor="text1"/>
          <w:sz w:val="24"/>
          <w:szCs w:val="24"/>
          <w:lang w:val="bg-BG"/>
        </w:rPr>
      </w:pPr>
    </w:p>
    <w:p w14:paraId="012A99EB" w14:textId="77777777" w:rsidR="00EE4178" w:rsidRPr="004C59FC" w:rsidRDefault="00EE4178" w:rsidP="00EE4178">
      <w:pPr>
        <w:pStyle w:val="Heading1"/>
        <w:rPr>
          <w:rFonts w:ascii="Times New Roman" w:hAnsi="Times New Roman" w:cs="Times New Roman"/>
          <w:color w:val="000000" w:themeColor="text1"/>
          <w:sz w:val="24"/>
          <w:szCs w:val="24"/>
          <w:lang w:val="bg-BG"/>
        </w:rPr>
      </w:pPr>
    </w:p>
    <w:p w14:paraId="011575BC" w14:textId="52EBFC5D" w:rsidR="00EE4178" w:rsidRPr="004C59FC" w:rsidRDefault="00EE4178" w:rsidP="00EE4178">
      <w:pPr>
        <w:pStyle w:val="Heading1"/>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 xml:space="preserve">                                                                                                                                                                                        </w:t>
      </w:r>
    </w:p>
    <w:p w14:paraId="46134C69" w14:textId="77777777" w:rsidR="00EE4178" w:rsidRPr="004C59FC" w:rsidRDefault="00EE4178" w:rsidP="00EE4178">
      <w:pPr>
        <w:pStyle w:val="Heading1"/>
        <w:rPr>
          <w:rFonts w:ascii="Times New Roman" w:hAnsi="Times New Roman" w:cs="Times New Roman"/>
          <w:color w:val="000000" w:themeColor="text1"/>
          <w:sz w:val="24"/>
          <w:szCs w:val="24"/>
          <w:lang w:val="bg-BG"/>
        </w:rPr>
      </w:pPr>
    </w:p>
    <w:p w14:paraId="76FDCD26" w14:textId="423D55D9"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ГЛАВА 3. ИЗБОР НА ТЕХНОЛОГИИ И СРЕДСТВА ЗА РЕАЛИЗАЦИЯ</w:t>
      </w:r>
    </w:p>
    <w:p w14:paraId="01B41A44"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lastRenderedPageBreak/>
        <w:t>3.1. Подход при избора на технологии</w:t>
      </w:r>
    </w:p>
    <w:p w14:paraId="75604A56"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Изборът на технологии за системата е направен според конкретните натоварвания и отговорности на отделните компоненти, а не с цел всички части да използват една и съща технология. Системата трябва едновременно да обработва непрекъснати пазарни потоци, да извършва асинхронни мрежови операции, да пази трайна история, да поддържа бързо runtime състояние, да изпълнява исторически изчисления и да предоставя удобен операторски интерфейс. Тези задачи имат различни изисквания и затова се комбинират няколко технологии.</w:t>
      </w:r>
    </w:p>
    <w:p w14:paraId="0A10C8D2"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Основен критерий е предвидимостта. При търговска система е по-важно използваните средства да са добре разбрани, тестируеми и да позволяват наблюдение на грешките, отколкото да бъдат максимално нови или сложни. Друг важен критерий е възможността една и съща codebase да се използва локално, в контейнеризирана NAS среда и при бъдещо преместване към облачна инфраструктура.</w:t>
      </w:r>
    </w:p>
    <w:p w14:paraId="40F4E958"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3.2. C# и .NET като основна backend платформа</w:t>
      </w:r>
    </w:p>
    <w:p w14:paraId="0EA8B2A2"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Основната част от системата е реализирана на C# и .NET. Тази платформа е подходяща за приложения с много асинхронни операции, постоянно работещи background services и голям брой модели и договори между отделните компоненти. C# предоставя силна статична типизация, generics, pattern matching, records и добър модел за обработване на асинхронни операции чрез async/await.</w:t>
      </w:r>
    </w:p>
    <w:p w14:paraId="78D9A646"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Async/await е особено важен в този проект, защото голяма част от времето услугите чакат външни операции - WebSocket съобщение, HTTP отговор от Binance, Redis операция или SQL заявка. При правилно използване асинхронният модел позволява една услуга да обработва множество независими операции, без да блокира отделна нишка за всяко чакане.</w:t>
      </w:r>
    </w:p>
    <w:p w14:paraId="50CCB8D3"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Dependency Injection, предоставен от .NET, се използва за свързване на интерфейси с конкретни реализации. Това позволява например TradingEngine да зависи от абстракции за риск, състояние и изпълнение, а unit тестовете да подменят тези зависимости с контролирани test implementations. По този начин инфраструктурният код остава отделен от business rules.</w:t>
      </w:r>
    </w:p>
    <w:p w14:paraId="58DB57FC"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Използването на strongly typed options позволява конфигурацията на отделните услуги и ботове да бъде описана като класове, а не като разпръснати string стойности. Това е важно при голям брой параметри като symbol, leverage, quantity, cooldown, risk limits, Binance endpoints и environment settings.</w:t>
      </w:r>
    </w:p>
    <w:p w14:paraId="71CB3683"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3.3. ASP.NET Core за Dashboard API и HTTP интеграции</w:t>
      </w:r>
    </w:p>
    <w:p w14:paraId="1BF722DF"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ASP.NET Core е използван за Dashboard API и за HTTP-oriented компоненти. Той предоставя routing, middleware pipeline, authentication, authorization, dependency injection и интеграция с configuration и logging механизмите на .NET.</w:t>
      </w:r>
    </w:p>
    <w:p w14:paraId="73019269"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 xml:space="preserve">Dashboard API има различна роля от trading runtime services. Той предоставя защитен външен интерфейс към operational state, jobs, history и configuration, без Web приложението да получава директен достъп до базата или до Binance credentials. Middleware pipeline </w:t>
      </w:r>
      <w:r w:rsidRPr="004C59FC">
        <w:rPr>
          <w:rFonts w:cs="Times New Roman"/>
          <w:color w:val="000000" w:themeColor="text1"/>
          <w:szCs w:val="24"/>
          <w:lang w:val="bg-BG"/>
        </w:rPr>
        <w:lastRenderedPageBreak/>
        <w:t>позволява cross-cutting механизми като authentication, correlation identifiers, idempotency, error handling и rate limiting да бъдат приложени централизирано.</w:t>
      </w:r>
    </w:p>
    <w:p w14:paraId="1E5AB856"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Този подход е по-подходящ от direct database access от frontend-а, защото backend остава authoritative слой за validation и authorization. Дори ако потребителският интерфейс скрие даден бутон, API все още трябва да провери дали текущият потребител има право да извърши операцията.</w:t>
      </w:r>
    </w:p>
    <w:p w14:paraId="195E8E31"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3.4. PostgreSQL като трайно хранилище</w:t>
      </w:r>
    </w:p>
    <w:p w14:paraId="5B81A433"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PostgreSQL е избран за данните, които трябва да бъдат трайни и възстановими след рестарт. Такива са историческите позиции, trade и lifecycle записи, jobs, event store данни, performance snapshots, alerts, audit и други operational projections.</w:t>
      </w:r>
    </w:p>
    <w:p w14:paraId="17850D6D"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Релационната база е подходяща, защото значителна част от данните имат ясни връзки и трябва да могат да бъдат филтрирани и агрегирани. Например Dashboard може да извлича позиции за конкретен bot и период, а analytics модулът да изчислява показатели върху исторически записи.</w:t>
      </w:r>
    </w:p>
    <w:p w14:paraId="6660BA5B"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PostgreSQL предоставя транзакции, constraints, indexes и надеждно durable storage. Това е различно от Redis, където основната цел е бърз runtime access. При важни lifecycle събития системата не трябва да зависи единствено от volatile communication channel.</w:t>
      </w:r>
    </w:p>
    <w:p w14:paraId="27DA11E6"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3.5. Npgsql и Dapper</w:t>
      </w:r>
    </w:p>
    <w:p w14:paraId="73ED5A0D"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За комуникация с PostgreSQL се използва Npgsql, който е .NET provider за PostgreSQL, а в persistence слоя се използва и Dapper. Dapper е лек mapper върху SQL и позволява заявките да останат видими и контролируеми.</w:t>
      </w:r>
    </w:p>
    <w:p w14:paraId="73A49915"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Този подход е подходящ за read-oriented dashboard, history и analytics заявки, където е важно да се контролира конкретният SQL, join-овете и aggregation логиката. Вместо автоматично генериране на сложни заявки, разработчикът може ясно да вижда какво се изпълнява върху базата.</w:t>
      </w:r>
    </w:p>
    <w:p w14:paraId="0C91BE48"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Trade-off е, че при Dapper повече mapping и SQL се поддържат ръчно. За настоящия проект това е приемливо, защото дава добра предвидимост и улеснява оптимизацията на исторически заявки.</w:t>
      </w:r>
    </w:p>
    <w:p w14:paraId="4E3D892D"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3.6. Redis и StackExchange.Redis</w:t>
      </w:r>
    </w:p>
    <w:p w14:paraId="29C465F4"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Redis е използван за low-latency комуникация и runtime state. Основните сценарии включват Pub/Sub канали за candles, indicators, trading signals и order events, както и ключове за idempotency, cooldown, operation locks и последни известни стойности.</w:t>
      </w:r>
    </w:p>
    <w:p w14:paraId="6E881CFA"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Redis е подходящ за подобни данни заради много ниското време за достъп и native expiration. Например cooldown key трябва да съществува само за определено време. При изтичането му Redis може автоматично да премахне стойността, вместо application process да поддържа собствен timer за всеки сигнал.</w:t>
      </w:r>
    </w:p>
    <w:p w14:paraId="76CC8CC4"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lastRenderedPageBreak/>
        <w:t>Комуникацията се реализира чрез StackExchange.Redis. Това е широко използвана .NET библиотека, която предоставя асинхронни операции, Pub/Sub и управление на връзките.</w:t>
      </w:r>
    </w:p>
    <w:p w14:paraId="2041356A"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Важен архитектурен trade-off е, че Redis Pub/Sub не е durable queue. Съобщение, публикувано при липса на subscriber, може да бъде загубено. Поради това Pub/Sub се използва за runtime distribution, докато бизнес историята и състоянието, необходимо за възстановяване, се записват трайно.</w:t>
      </w:r>
    </w:p>
    <w:p w14:paraId="00AAE0E1"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3.7. Binance Futures REST API и WebSocket</w:t>
      </w:r>
    </w:p>
    <w:p w14:paraId="3681C226"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Binance Futures е външната система, от която се получават реални пазарни данни и към която могат да бъдат изпращани поръчки в Demo или Production среда. Интеграцията използва два различни комуникационни модела: REST операции и WebSocket потоци.</w:t>
      </w:r>
    </w:p>
    <w:p w14:paraId="2B01FE4E"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WebSocket е подходящ за market data и UserStream, защото събитията пристигат непрекъснато и не е ефективно клиентът постоянно да прави HTTP polling. REST API се използва за операции като създаване, отмяна и проверка на поръчки, извличане на exchange информация и други explicit commands.</w:t>
      </w:r>
    </w:p>
    <w:p w14:paraId="0685B4C1"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Това разделение следва естеството на комуникацията: WebSocket за поток от събития, HTTP за заявка-отговор. Системата трябва да обработва reconnect, timeout и uncertain outcome, защото външната мрежа не може да бъде разглеждана като локална функция с гарантиран резултат.</w:t>
      </w:r>
    </w:p>
    <w:p w14:paraId="52740F5A"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3.8. Docker и Docker Compose</w:t>
      </w:r>
    </w:p>
    <w:p w14:paraId="497DD539"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Docker е използван за контейнеризация на отделните услуги. Всеки service има собствен runtime container и dependencies, а Docker Compose описва как услугите се свързват помежду си, какви environment variables получават и какъв е редът на стартиране.</w:t>
      </w:r>
    </w:p>
    <w:p w14:paraId="7B69CA43"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Контейнеризацията е особено полезна в този проект, защото системата включва множество процеси плюс PostgreSQL и Redis. Без Docker локалната и NAS конфигурацията лесно биха се различавали. Чрез Compose същият topology може да бъде възпроизведен с минимални промени в environment settings.</w:t>
      </w:r>
    </w:p>
    <w:p w14:paraId="24817563"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Healthchecks се използват, за да не се приема автоматично, че контейнерът е готов само защото процесът е стартирал. Например Dashboard Web чака Dashboard API, а backend services зависят от availability на PostgreSQL и Redis.</w:t>
      </w:r>
    </w:p>
    <w:p w14:paraId="158112FC"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3.9. Synology NAS като демонстрационна среда</w:t>
      </w:r>
    </w:p>
    <w:p w14:paraId="13C213FC"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За deployment на практическата част е избран Synology NAS. Причината не е, че системата зависи от конкретен NAS производител, а че устройството предоставя постоянно работещ Linux/Docker host, върху който всички услуги могат да бъдат разположени в реална мрежова среда.</w:t>
      </w:r>
    </w:p>
    <w:p w14:paraId="17855423"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 xml:space="preserve">Това е полезно за дипломната работа, защото демонстрира, че системата не функционира единствено в development environment на Visual Studio. Containerized deployment позволява Dashboard да се отвори от отделен browser, services да работят </w:t>
      </w:r>
      <w:r w:rsidRPr="004C59FC">
        <w:rPr>
          <w:rFonts w:cs="Times New Roman"/>
          <w:color w:val="000000" w:themeColor="text1"/>
          <w:szCs w:val="24"/>
          <w:lang w:val="bg-BG"/>
        </w:rPr>
        <w:lastRenderedPageBreak/>
        <w:t>постоянно, а интеграцията с Binance да бъде тествана по начин, по-близък до реална експлоатация.</w:t>
      </w:r>
    </w:p>
    <w:p w14:paraId="70F96EEB" w14:textId="42248D3A"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Тук по-късно, в главата за deployment, ще бъде поставена реална снимка от Synology Container Manager или от `docker compose ps`, на която се виждат основните контейнери и техният статус.</w:t>
      </w:r>
    </w:p>
    <w:p w14:paraId="2C213405"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3.10. React и TypeScript за Dashboard Web</w:t>
      </w:r>
    </w:p>
    <w:p w14:paraId="10D56708"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Потребителският интерфейс е реализиран с React и TypeScript. React позволява приложението да бъде разделено на малки компоненти и feature области, например Bots, Positions, Analytics, Backtests, Optimization, Replays и Operations.</w:t>
      </w:r>
    </w:p>
    <w:p w14:paraId="65DE4EC2"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TypeScript добавя статична типизация към frontend кода. Това е полезно, защото Dashboard работи с множество DTO модели и API contracts. При промяна в property или type част от несъответствията могат да бъдат открити още при build, вместо чак при runtime.</w:t>
      </w:r>
    </w:p>
    <w:p w14:paraId="1C8052CD"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Web проектът е организиран feature-oriented. Всеки по-голям модул има API functions, query hooks, formatters и visual components. Така например replay logic е отделена от bot configuration logic и от generic UI primitives.</w:t>
      </w:r>
    </w:p>
    <w:p w14:paraId="01F552A6"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3.11. Vite, React Router и TanStack React Query</w:t>
      </w:r>
    </w:p>
    <w:p w14:paraId="3B706B6B"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Vite е използван като development и build инструмент за Web проекта. Той предоставя бърз development server, module bundling и production build. TypeScript compiler се изпълнява преди Vite build, така че build процесът включва и type checking.</w:t>
      </w:r>
    </w:p>
    <w:p w14:paraId="62D5BBCB"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React Router управлява client-side navigation. Страници като Overview, Bots, Analytics, Backtests и Replays имат собствен URL и могат да бъдат отваряни директно. Protected routes се поставят зад authentication guard.</w:t>
      </w:r>
    </w:p>
    <w:p w14:paraId="3C923602"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TanStack React Query управлява server state. Вместо всяка страница да поддържа собствен `loading/error/data` state чрез ръчно написани useEffect hooks, query layer централизира caching, refetch, polling и invalidation.</w:t>
      </w:r>
    </w:p>
    <w:p w14:paraId="502ECDB5"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Това е особено подходящо при Dashboard, защото authoritative state е в backend. След bot command или configuration update frontend не трябва сам да измисля финалното runtime състояние, а да invalidate-не съответните queries и да прочете актуалната projection от API.</w:t>
      </w:r>
    </w:p>
    <w:p w14:paraId="2E967092"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3.12. Tailwind CSS и Recharts</w:t>
      </w:r>
    </w:p>
    <w:p w14:paraId="5C696662"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Tailwind CSS се използва за layout и styling чрез utility classes. В проекта цветовете и основните semantic стойности са допълнени с CSS variables, което позволява consistent dark dashboard theme.</w:t>
      </w:r>
    </w:p>
    <w:p w14:paraId="5289932B"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Recharts се използва за визуализация на аналитични данни, например equity curve. За по-специализираните candlestick визуализации е реализирана custom chart логика. Разделянето между API data и chart presentation позволява аналитичните компоненти да останат независими от HTTP transport.</w:t>
      </w:r>
    </w:p>
    <w:p w14:paraId="02DFC319"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lastRenderedPageBreak/>
        <w:t>3.13. Nginx за production Web hosting</w:t>
      </w:r>
    </w:p>
    <w:p w14:paraId="5D4C4DD4" w14:textId="03A5962F"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След Vite build</w:t>
      </w:r>
      <w:r w:rsidR="00CD06A8" w:rsidRPr="004C59FC">
        <w:rPr>
          <w:rFonts w:cs="Times New Roman"/>
          <w:color w:val="000000" w:themeColor="text1"/>
          <w:szCs w:val="24"/>
          <w:lang w:val="bg-BG"/>
        </w:rPr>
        <w:t>,</w:t>
      </w:r>
      <w:r w:rsidRPr="004C59FC">
        <w:rPr>
          <w:rFonts w:cs="Times New Roman"/>
          <w:color w:val="000000" w:themeColor="text1"/>
          <w:szCs w:val="24"/>
          <w:lang w:val="bg-BG"/>
        </w:rPr>
        <w:t xml:space="preserve"> Web приложението представлява статични HTML, JavaScript и CSS assets. За production те се serve-ват от Nginx. Това е по-леко решение от поддържане на Node server само заради статичния frontend.</w:t>
      </w:r>
    </w:p>
    <w:p w14:paraId="53529D40"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Nginx изпълнява и reverse proxy към Dashboard API. Browser изпраща заявка към `/api/...`, а Nginx я препраща към вътрешния Docker service `dashboard-api`. Така browser не трябва да знае internal container адресите, а Web и API могат да се използват през един origin.</w:t>
      </w:r>
    </w:p>
    <w:p w14:paraId="23678BED"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Конфигурацията използва и SPA fallback към `index.html`, което позволява директно отваряне на client routes като `/analytics` или `/bots/BOT8012`.</w:t>
      </w:r>
    </w:p>
    <w:p w14:paraId="566FB73F" w14:textId="768DDC5C"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3.14. xUnit тестване</w:t>
      </w:r>
    </w:p>
    <w:p w14:paraId="16D5D5EA" w14:textId="50A33A0C"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За тестове се използва xUnit. Той е добре интегриран с .NET и позволява unit и integration-oriented tests да бъдат изпълнявани локално.</w:t>
      </w:r>
    </w:p>
    <w:p w14:paraId="49D6764C"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Тестовете са важна част от избора на архитектура. Когато domain logic зависи от интерфейси и малки модели, тя може да бъде проверена без реален Redis, Binance или PostgreSQL. Интеграционните сценарии се използват отделно за проверка на връзката между компонентите.</w:t>
      </w:r>
    </w:p>
    <w:p w14:paraId="43851408"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3.15. Prometheus, health, heartbeat, alerts и audit</w:t>
      </w:r>
    </w:p>
    <w:p w14:paraId="635E4940"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За operational visibility се използват метрики и специализирани health механизми. Prometheus-compatible метрики позволяват наблюдение на runtime показатели, а heartbeat записите показват дали отделна услуга продължава да работи и да обновява състоянието си.</w:t>
      </w:r>
    </w:p>
    <w:p w14:paraId="332D0DFE"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Alerts и audit са допълнителен operational слой. Alert показва открит проблем, докато audit проследява извършени действия. Тази информация се визуализира и в Dashboard, което позволява техническото състояние да бъде проверявано без директен достъп до container logs или базата.</w:t>
      </w:r>
    </w:p>
    <w:p w14:paraId="627E98C5"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3.16. Карта на технологиите към компонентите</w:t>
      </w:r>
    </w:p>
    <w:p w14:paraId="3D0A4FA7" w14:textId="77777777" w:rsidR="00CD06A8" w:rsidRPr="004C59FC" w:rsidRDefault="00CD06A8" w:rsidP="00EE4178">
      <w:pPr>
        <w:rPr>
          <w:rFonts w:cs="Times New Roman"/>
          <w:color w:val="000000" w:themeColor="text1"/>
          <w:szCs w:val="24"/>
          <w:lang w:val="bg-BG"/>
        </w:rPr>
      </w:pPr>
    </w:p>
    <w:p w14:paraId="13623ED2" w14:textId="77777777" w:rsidR="00CD06A8" w:rsidRPr="004C59FC" w:rsidRDefault="00CD06A8" w:rsidP="00EE4178">
      <w:pPr>
        <w:rPr>
          <w:rFonts w:cs="Times New Roman"/>
          <w:color w:val="000000" w:themeColor="text1"/>
          <w:szCs w:val="24"/>
          <w:lang w:val="bg-BG"/>
        </w:rPr>
      </w:pPr>
    </w:p>
    <w:p w14:paraId="0D40BE32" w14:textId="77777777" w:rsidR="00CD06A8" w:rsidRPr="004C59FC" w:rsidRDefault="00CD06A8" w:rsidP="00EE4178">
      <w:pPr>
        <w:rPr>
          <w:rFonts w:cs="Times New Roman"/>
          <w:color w:val="000000" w:themeColor="text1"/>
          <w:szCs w:val="24"/>
          <w:lang w:val="bg-BG"/>
        </w:rPr>
      </w:pPr>
    </w:p>
    <w:p w14:paraId="64F6961B" w14:textId="77777777" w:rsidR="00CD06A8" w:rsidRPr="004C59FC" w:rsidRDefault="00CD06A8" w:rsidP="00EE4178">
      <w:pPr>
        <w:rPr>
          <w:rFonts w:cs="Times New Roman"/>
          <w:color w:val="000000" w:themeColor="text1"/>
          <w:szCs w:val="24"/>
          <w:lang w:val="bg-BG"/>
        </w:rPr>
      </w:pPr>
    </w:p>
    <w:p w14:paraId="2F727F89" w14:textId="77777777" w:rsidR="00CD06A8" w:rsidRPr="004C59FC" w:rsidRDefault="00CD06A8" w:rsidP="00EE4178">
      <w:pPr>
        <w:rPr>
          <w:rFonts w:cs="Times New Roman"/>
          <w:color w:val="000000" w:themeColor="text1"/>
          <w:szCs w:val="24"/>
          <w:lang w:val="bg-BG"/>
        </w:rPr>
      </w:pPr>
    </w:p>
    <w:p w14:paraId="752ABCA4" w14:textId="77777777" w:rsidR="00CD06A8" w:rsidRPr="004C59FC" w:rsidRDefault="00CD06A8" w:rsidP="00EE4178">
      <w:pPr>
        <w:rPr>
          <w:rFonts w:cs="Times New Roman"/>
          <w:color w:val="000000" w:themeColor="text1"/>
          <w:szCs w:val="24"/>
          <w:lang w:val="bg-BG"/>
        </w:rPr>
      </w:pPr>
    </w:p>
    <w:p w14:paraId="5A9831DA" w14:textId="77777777" w:rsidR="00CD06A8" w:rsidRPr="004C59FC" w:rsidRDefault="00CD06A8" w:rsidP="00EE4178">
      <w:pPr>
        <w:rPr>
          <w:rFonts w:cs="Times New Roman"/>
          <w:color w:val="000000" w:themeColor="text1"/>
          <w:szCs w:val="24"/>
          <w:lang w:val="bg-BG"/>
        </w:rPr>
      </w:pPr>
    </w:p>
    <w:p w14:paraId="4D4DE369" w14:textId="77777777" w:rsidR="00CD06A8" w:rsidRPr="004C59FC" w:rsidRDefault="00CD06A8" w:rsidP="00EE4178">
      <w:pPr>
        <w:rPr>
          <w:rFonts w:cs="Times New Roman"/>
          <w:color w:val="000000" w:themeColor="text1"/>
          <w:szCs w:val="24"/>
          <w:lang w:val="bg-BG"/>
        </w:rPr>
      </w:pPr>
    </w:p>
    <w:p w14:paraId="418DDB70" w14:textId="77777777" w:rsidR="00CD06A8" w:rsidRPr="004C59FC" w:rsidRDefault="00CD06A8" w:rsidP="00EE4178">
      <w:pPr>
        <w:rPr>
          <w:rFonts w:cs="Times New Roman"/>
          <w:color w:val="000000" w:themeColor="text1"/>
          <w:szCs w:val="24"/>
          <w:lang w:val="bg-BG"/>
        </w:rPr>
      </w:pPr>
    </w:p>
    <w:p w14:paraId="6FFB9C80" w14:textId="77777777" w:rsidR="00CD06A8" w:rsidRPr="004C59FC" w:rsidRDefault="00CD06A8" w:rsidP="00EE4178">
      <w:pPr>
        <w:rPr>
          <w:rFonts w:cs="Times New Roman"/>
          <w:color w:val="000000" w:themeColor="text1"/>
          <w:szCs w:val="24"/>
          <w:lang w:val="bg-BG"/>
        </w:rPr>
      </w:pPr>
    </w:p>
    <w:p w14:paraId="4EBF44A3" w14:textId="77777777" w:rsidR="00CD06A8" w:rsidRPr="004C59FC" w:rsidRDefault="00CD06A8" w:rsidP="00EE4178">
      <w:pPr>
        <w:rPr>
          <w:rFonts w:cs="Times New Roman"/>
          <w:color w:val="000000" w:themeColor="text1"/>
          <w:szCs w:val="24"/>
          <w:lang w:val="bg-BG"/>
        </w:rPr>
      </w:pPr>
    </w:p>
    <w:p w14:paraId="47D15F3F" w14:textId="77777777" w:rsidR="00CD06A8" w:rsidRPr="004C59FC" w:rsidRDefault="00CD06A8" w:rsidP="00EE4178">
      <w:pPr>
        <w:rPr>
          <w:rFonts w:cs="Times New Roman"/>
          <w:color w:val="000000" w:themeColor="text1"/>
          <w:szCs w:val="24"/>
          <w:lang w:val="bg-BG"/>
        </w:rPr>
      </w:pPr>
    </w:p>
    <w:p w14:paraId="18934C72" w14:textId="77777777" w:rsidR="00CD06A8" w:rsidRPr="004C59FC" w:rsidRDefault="00CD06A8" w:rsidP="00EE4178">
      <w:pPr>
        <w:rPr>
          <w:rFonts w:cs="Times New Roman"/>
          <w:color w:val="000000" w:themeColor="text1"/>
          <w:szCs w:val="24"/>
          <w:lang w:val="bg-BG"/>
        </w:rPr>
      </w:pPr>
    </w:p>
    <w:p w14:paraId="7B5CF2BB" w14:textId="463FCC74"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lastRenderedPageBreak/>
        <w:t>Фигура 3.1. Основни технологии и връзката им с компонентите</w:t>
      </w:r>
    </w:p>
    <w:p w14:paraId="3FFDF181" w14:textId="0E8560D9" w:rsidR="00EE4178" w:rsidRPr="004C59FC" w:rsidRDefault="00CD06A8" w:rsidP="00EE4178">
      <w:pPr>
        <w:rPr>
          <w:rFonts w:cs="Times New Roman"/>
          <w:color w:val="000000" w:themeColor="text1"/>
          <w:szCs w:val="24"/>
          <w:lang w:val="bg-BG"/>
        </w:rPr>
      </w:pPr>
      <w:r w:rsidRPr="004C59FC">
        <w:rPr>
          <w:rFonts w:cs="Times New Roman"/>
          <w:noProof/>
          <w:color w:val="000000" w:themeColor="text1"/>
          <w:szCs w:val="24"/>
          <w:lang w:val="bg-BG"/>
        </w:rPr>
        <w:drawing>
          <wp:anchor distT="0" distB="0" distL="114300" distR="114300" simplePos="0" relativeHeight="251661312" behindDoc="1" locked="0" layoutInCell="1" allowOverlap="1" wp14:anchorId="74566298" wp14:editId="79AE4BFE">
            <wp:simplePos x="0" y="0"/>
            <wp:positionH relativeFrom="margin">
              <wp:align>left</wp:align>
            </wp:positionH>
            <wp:positionV relativeFrom="paragraph">
              <wp:posOffset>0</wp:posOffset>
            </wp:positionV>
            <wp:extent cx="5701684" cy="3255573"/>
            <wp:effectExtent l="0" t="0" r="0" b="2540"/>
            <wp:wrapTight wrapText="bothSides">
              <wp:wrapPolygon edited="0">
                <wp:start x="0" y="0"/>
                <wp:lineTo x="0" y="21490"/>
                <wp:lineTo x="21506" y="21490"/>
                <wp:lineTo x="21506" y="0"/>
                <wp:lineTo x="0" y="0"/>
              </wp:wrapPolygon>
            </wp:wrapTight>
            <wp:docPr id="15766070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01684" cy="3255573"/>
                    </a:xfrm>
                    <a:prstGeom prst="rect">
                      <a:avLst/>
                    </a:prstGeom>
                    <a:noFill/>
                  </pic:spPr>
                </pic:pic>
              </a:graphicData>
            </a:graphic>
          </wp:anchor>
        </w:drawing>
      </w:r>
    </w:p>
    <w:p w14:paraId="0C26C48C" w14:textId="77777777" w:rsidR="00EE4178" w:rsidRPr="004C59FC" w:rsidRDefault="00EE4178" w:rsidP="00EE4178">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3.17. Обобщение на технологичния избор</w:t>
      </w:r>
    </w:p>
    <w:tbl>
      <w:tblPr>
        <w:tblStyle w:val="TableGrid"/>
        <w:tblW w:w="0" w:type="auto"/>
        <w:jc w:val="center"/>
        <w:tblLook w:val="04A0" w:firstRow="1" w:lastRow="0" w:firstColumn="1" w:lastColumn="0" w:noHBand="0" w:noVBand="1"/>
      </w:tblPr>
      <w:tblGrid>
        <w:gridCol w:w="3258"/>
        <w:gridCol w:w="3070"/>
        <w:gridCol w:w="3068"/>
      </w:tblGrid>
      <w:tr w:rsidR="00EE4178" w:rsidRPr="004C59FC" w14:paraId="601C3E31" w14:textId="77777777" w:rsidTr="009C003C">
        <w:trPr>
          <w:jc w:val="center"/>
        </w:trPr>
        <w:tc>
          <w:tcPr>
            <w:tcW w:w="3135" w:type="dxa"/>
            <w:shd w:val="clear" w:color="auto" w:fill="E7EEF8"/>
          </w:tcPr>
          <w:p w14:paraId="464EEACD"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b/>
                <w:color w:val="000000" w:themeColor="text1"/>
                <w:sz w:val="24"/>
                <w:szCs w:val="24"/>
                <w:lang w:val="bg-BG"/>
              </w:rPr>
              <w:t>Технология</w:t>
            </w:r>
          </w:p>
        </w:tc>
        <w:tc>
          <w:tcPr>
            <w:tcW w:w="3135" w:type="dxa"/>
            <w:shd w:val="clear" w:color="auto" w:fill="E7EEF8"/>
          </w:tcPr>
          <w:p w14:paraId="5C92A04C"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b/>
                <w:color w:val="000000" w:themeColor="text1"/>
                <w:sz w:val="24"/>
                <w:szCs w:val="24"/>
                <w:lang w:val="bg-BG"/>
              </w:rPr>
              <w:t>Основна роля</w:t>
            </w:r>
          </w:p>
        </w:tc>
        <w:tc>
          <w:tcPr>
            <w:tcW w:w="3135" w:type="dxa"/>
            <w:shd w:val="clear" w:color="auto" w:fill="E7EEF8"/>
          </w:tcPr>
          <w:p w14:paraId="001C7E0C"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b/>
                <w:color w:val="000000" w:themeColor="text1"/>
                <w:sz w:val="24"/>
                <w:szCs w:val="24"/>
                <w:lang w:val="bg-BG"/>
              </w:rPr>
              <w:t>Причина за избора</w:t>
            </w:r>
          </w:p>
        </w:tc>
      </w:tr>
      <w:tr w:rsidR="00EE4178" w:rsidRPr="004C59FC" w14:paraId="3DFC07C7" w14:textId="77777777" w:rsidTr="009C003C">
        <w:trPr>
          <w:jc w:val="center"/>
        </w:trPr>
        <w:tc>
          <w:tcPr>
            <w:tcW w:w="3135" w:type="dxa"/>
          </w:tcPr>
          <w:p w14:paraId="368AC19C"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C# / .NET</w:t>
            </w:r>
          </w:p>
        </w:tc>
        <w:tc>
          <w:tcPr>
            <w:tcW w:w="3135" w:type="dxa"/>
          </w:tcPr>
          <w:p w14:paraId="04323D71"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Backend services и domain logic</w:t>
            </w:r>
          </w:p>
        </w:tc>
        <w:tc>
          <w:tcPr>
            <w:tcW w:w="3135" w:type="dxa"/>
          </w:tcPr>
          <w:p w14:paraId="166BBB45"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Strong typing, async/await, DI, mature ecosystem.</w:t>
            </w:r>
          </w:p>
        </w:tc>
      </w:tr>
      <w:tr w:rsidR="00EE4178" w:rsidRPr="004C59FC" w14:paraId="06B1CE4B" w14:textId="77777777" w:rsidTr="009C003C">
        <w:trPr>
          <w:jc w:val="center"/>
        </w:trPr>
        <w:tc>
          <w:tcPr>
            <w:tcW w:w="3135" w:type="dxa"/>
          </w:tcPr>
          <w:p w14:paraId="08C3429A"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ASP.NET Core</w:t>
            </w:r>
          </w:p>
        </w:tc>
        <w:tc>
          <w:tcPr>
            <w:tcW w:w="3135" w:type="dxa"/>
          </w:tcPr>
          <w:p w14:paraId="45DEB13D"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Dashboard API</w:t>
            </w:r>
          </w:p>
        </w:tc>
        <w:tc>
          <w:tcPr>
            <w:tcW w:w="3135" w:type="dxa"/>
          </w:tcPr>
          <w:p w14:paraId="0B4239D8"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Middleware, authentication, routing, authorization.</w:t>
            </w:r>
          </w:p>
        </w:tc>
      </w:tr>
      <w:tr w:rsidR="00EE4178" w:rsidRPr="004C59FC" w14:paraId="2F586A4D" w14:textId="77777777" w:rsidTr="009C003C">
        <w:trPr>
          <w:jc w:val="center"/>
        </w:trPr>
        <w:tc>
          <w:tcPr>
            <w:tcW w:w="3135" w:type="dxa"/>
          </w:tcPr>
          <w:p w14:paraId="6E43B6E9"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PostgreSQL</w:t>
            </w:r>
          </w:p>
        </w:tc>
        <w:tc>
          <w:tcPr>
            <w:tcW w:w="3135" w:type="dxa"/>
          </w:tcPr>
          <w:p w14:paraId="36CCF42B"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Durable data</w:t>
            </w:r>
          </w:p>
        </w:tc>
        <w:tc>
          <w:tcPr>
            <w:tcW w:w="3135" w:type="dxa"/>
          </w:tcPr>
          <w:p w14:paraId="6FBFE245"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Transactions, relational queries, reliability.</w:t>
            </w:r>
          </w:p>
        </w:tc>
      </w:tr>
      <w:tr w:rsidR="00EE4178" w:rsidRPr="004C59FC" w14:paraId="3E6BADDC" w14:textId="77777777" w:rsidTr="009C003C">
        <w:trPr>
          <w:jc w:val="center"/>
        </w:trPr>
        <w:tc>
          <w:tcPr>
            <w:tcW w:w="3135" w:type="dxa"/>
          </w:tcPr>
          <w:p w14:paraId="6DF2E1EA"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Npgsql / Dapper</w:t>
            </w:r>
          </w:p>
        </w:tc>
        <w:tc>
          <w:tcPr>
            <w:tcW w:w="3135" w:type="dxa"/>
          </w:tcPr>
          <w:p w14:paraId="19D1B4F6"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Data access</w:t>
            </w:r>
          </w:p>
        </w:tc>
        <w:tc>
          <w:tcPr>
            <w:tcW w:w="3135" w:type="dxa"/>
          </w:tcPr>
          <w:p w14:paraId="1D180B06"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Direct PostgreSQL support и контролируем SQL.</w:t>
            </w:r>
          </w:p>
        </w:tc>
      </w:tr>
      <w:tr w:rsidR="00EE4178" w:rsidRPr="004C59FC" w14:paraId="5D659D47" w14:textId="77777777" w:rsidTr="009C003C">
        <w:trPr>
          <w:jc w:val="center"/>
        </w:trPr>
        <w:tc>
          <w:tcPr>
            <w:tcW w:w="3135" w:type="dxa"/>
          </w:tcPr>
          <w:p w14:paraId="43F9B21B"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Redis</w:t>
            </w:r>
          </w:p>
        </w:tc>
        <w:tc>
          <w:tcPr>
            <w:tcW w:w="3135" w:type="dxa"/>
          </w:tcPr>
          <w:p w14:paraId="5D327FD6"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Pub/Sub и runtime state</w:t>
            </w:r>
          </w:p>
        </w:tc>
        <w:tc>
          <w:tcPr>
            <w:tcW w:w="3135" w:type="dxa"/>
          </w:tcPr>
          <w:p w14:paraId="755F2043" w14:textId="1E623CCA"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Low latency, expiration.</w:t>
            </w:r>
          </w:p>
        </w:tc>
      </w:tr>
      <w:tr w:rsidR="00EE4178" w:rsidRPr="004C59FC" w14:paraId="58362F58" w14:textId="77777777" w:rsidTr="009C003C">
        <w:trPr>
          <w:jc w:val="center"/>
        </w:trPr>
        <w:tc>
          <w:tcPr>
            <w:tcW w:w="3135" w:type="dxa"/>
          </w:tcPr>
          <w:p w14:paraId="1E4F9F36"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Binance REST/WebSocket</w:t>
            </w:r>
          </w:p>
        </w:tc>
        <w:tc>
          <w:tcPr>
            <w:tcW w:w="3135" w:type="dxa"/>
          </w:tcPr>
          <w:p w14:paraId="6F9B9C1A"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External exchange integration</w:t>
            </w:r>
          </w:p>
        </w:tc>
        <w:tc>
          <w:tcPr>
            <w:tcW w:w="3135" w:type="dxa"/>
          </w:tcPr>
          <w:p w14:paraId="3FC08835"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Commands + event streams.</w:t>
            </w:r>
          </w:p>
        </w:tc>
      </w:tr>
      <w:tr w:rsidR="00EE4178" w:rsidRPr="004C59FC" w14:paraId="56B89CD7" w14:textId="77777777" w:rsidTr="009C003C">
        <w:trPr>
          <w:jc w:val="center"/>
        </w:trPr>
        <w:tc>
          <w:tcPr>
            <w:tcW w:w="3135" w:type="dxa"/>
          </w:tcPr>
          <w:p w14:paraId="31C337DC"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Docker Compose</w:t>
            </w:r>
          </w:p>
        </w:tc>
        <w:tc>
          <w:tcPr>
            <w:tcW w:w="3135" w:type="dxa"/>
          </w:tcPr>
          <w:p w14:paraId="2942B430"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Deployment</w:t>
            </w:r>
          </w:p>
        </w:tc>
        <w:tc>
          <w:tcPr>
            <w:tcW w:w="3135" w:type="dxa"/>
          </w:tcPr>
          <w:p w14:paraId="7F0750ED"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Repeatable multi-service environment.</w:t>
            </w:r>
          </w:p>
        </w:tc>
      </w:tr>
      <w:tr w:rsidR="00EE4178" w:rsidRPr="004C59FC" w14:paraId="0FBC94E8" w14:textId="77777777" w:rsidTr="009C003C">
        <w:trPr>
          <w:jc w:val="center"/>
        </w:trPr>
        <w:tc>
          <w:tcPr>
            <w:tcW w:w="3135" w:type="dxa"/>
          </w:tcPr>
          <w:p w14:paraId="0365D0FB"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React / TypeScript</w:t>
            </w:r>
          </w:p>
        </w:tc>
        <w:tc>
          <w:tcPr>
            <w:tcW w:w="3135" w:type="dxa"/>
          </w:tcPr>
          <w:p w14:paraId="740EDDBC"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Dashboard Web</w:t>
            </w:r>
          </w:p>
        </w:tc>
        <w:tc>
          <w:tcPr>
            <w:tcW w:w="3135" w:type="dxa"/>
          </w:tcPr>
          <w:p w14:paraId="795D6A1B"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Component model + typed frontend contracts.</w:t>
            </w:r>
          </w:p>
        </w:tc>
      </w:tr>
      <w:tr w:rsidR="00EE4178" w:rsidRPr="004C59FC" w14:paraId="45612A4C" w14:textId="77777777" w:rsidTr="009C003C">
        <w:trPr>
          <w:jc w:val="center"/>
        </w:trPr>
        <w:tc>
          <w:tcPr>
            <w:tcW w:w="3135" w:type="dxa"/>
          </w:tcPr>
          <w:p w14:paraId="50A94EF0"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React Query</w:t>
            </w:r>
          </w:p>
        </w:tc>
        <w:tc>
          <w:tcPr>
            <w:tcW w:w="3135" w:type="dxa"/>
          </w:tcPr>
          <w:p w14:paraId="0A46320B" w14:textId="77777777"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Server state</w:t>
            </w:r>
          </w:p>
        </w:tc>
        <w:tc>
          <w:tcPr>
            <w:tcW w:w="3135" w:type="dxa"/>
          </w:tcPr>
          <w:p w14:paraId="41FA9634" w14:textId="19C9559B" w:rsidR="00EE4178" w:rsidRPr="004C59FC" w:rsidRDefault="00EE4178" w:rsidP="004C59F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Caching,</w:t>
            </w:r>
            <w:r w:rsidR="004C59FC">
              <w:rPr>
                <w:rFonts w:cs="Times New Roman"/>
                <w:color w:val="000000" w:themeColor="text1"/>
                <w:sz w:val="24"/>
                <w:szCs w:val="24"/>
                <w:lang w:val="bg-BG"/>
              </w:rPr>
              <w:t xml:space="preserve"> </w:t>
            </w:r>
            <w:r w:rsidRPr="004C59FC">
              <w:rPr>
                <w:rFonts w:cs="Times New Roman"/>
                <w:color w:val="000000" w:themeColor="text1"/>
                <w:sz w:val="24"/>
                <w:szCs w:val="24"/>
                <w:lang w:val="bg-BG"/>
              </w:rPr>
              <w:t>polling, invalidation.</w:t>
            </w:r>
          </w:p>
        </w:tc>
      </w:tr>
      <w:tr w:rsidR="00EE4178" w:rsidRPr="004C59FC" w14:paraId="33EFDEA3" w14:textId="77777777" w:rsidTr="009C003C">
        <w:trPr>
          <w:jc w:val="center"/>
        </w:trPr>
        <w:tc>
          <w:tcPr>
            <w:tcW w:w="3135" w:type="dxa"/>
          </w:tcPr>
          <w:p w14:paraId="3BA0848B"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lastRenderedPageBreak/>
              <w:t>Nginx</w:t>
            </w:r>
          </w:p>
        </w:tc>
        <w:tc>
          <w:tcPr>
            <w:tcW w:w="3135" w:type="dxa"/>
          </w:tcPr>
          <w:p w14:paraId="1809A7A8"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Web hosting/proxy</w:t>
            </w:r>
          </w:p>
        </w:tc>
        <w:tc>
          <w:tcPr>
            <w:tcW w:w="3135" w:type="dxa"/>
          </w:tcPr>
          <w:p w14:paraId="4571A5BB"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Lightweight static hosting и same-origin API proxy.</w:t>
            </w:r>
          </w:p>
        </w:tc>
      </w:tr>
      <w:tr w:rsidR="00EE4178" w:rsidRPr="004C59FC" w14:paraId="5A190DAF" w14:textId="77777777" w:rsidTr="009C003C">
        <w:trPr>
          <w:jc w:val="center"/>
        </w:trPr>
        <w:tc>
          <w:tcPr>
            <w:tcW w:w="3135" w:type="dxa"/>
          </w:tcPr>
          <w:p w14:paraId="143CD5AE"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xUnit</w:t>
            </w:r>
          </w:p>
        </w:tc>
        <w:tc>
          <w:tcPr>
            <w:tcW w:w="3135" w:type="dxa"/>
          </w:tcPr>
          <w:p w14:paraId="7CDE2C1B"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Testing</w:t>
            </w:r>
          </w:p>
        </w:tc>
        <w:tc>
          <w:tcPr>
            <w:tcW w:w="3135" w:type="dxa"/>
          </w:tcPr>
          <w:p w14:paraId="724EF4FA"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Native .NET testing workflow.</w:t>
            </w:r>
          </w:p>
        </w:tc>
      </w:tr>
      <w:tr w:rsidR="00EE4178" w:rsidRPr="004C59FC" w14:paraId="23E9591F" w14:textId="77777777" w:rsidTr="009C003C">
        <w:trPr>
          <w:jc w:val="center"/>
        </w:trPr>
        <w:tc>
          <w:tcPr>
            <w:tcW w:w="3135" w:type="dxa"/>
          </w:tcPr>
          <w:p w14:paraId="0E2EDDF3"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Prometheus/health/audit</w:t>
            </w:r>
          </w:p>
        </w:tc>
        <w:tc>
          <w:tcPr>
            <w:tcW w:w="3135" w:type="dxa"/>
          </w:tcPr>
          <w:p w14:paraId="370571EB"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Observability</w:t>
            </w:r>
          </w:p>
        </w:tc>
        <w:tc>
          <w:tcPr>
            <w:tcW w:w="3135" w:type="dxa"/>
          </w:tcPr>
          <w:p w14:paraId="66F01883" w14:textId="77777777" w:rsidR="00EE4178" w:rsidRPr="004C59FC" w:rsidRDefault="00EE4178"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Operational visibility и traceability.</w:t>
            </w:r>
          </w:p>
        </w:tc>
      </w:tr>
    </w:tbl>
    <w:p w14:paraId="4A0CB395" w14:textId="77777777" w:rsidR="00EE4178" w:rsidRPr="004C59FC" w:rsidRDefault="00EE4178" w:rsidP="00EE4178">
      <w:pPr>
        <w:rPr>
          <w:rFonts w:cs="Times New Roman"/>
          <w:color w:val="000000" w:themeColor="text1"/>
          <w:szCs w:val="24"/>
          <w:lang w:val="bg-BG"/>
        </w:rPr>
      </w:pPr>
    </w:p>
    <w:p w14:paraId="6452333E" w14:textId="77777777" w:rsidR="00EE4178" w:rsidRPr="004C59FC" w:rsidRDefault="00EE4178" w:rsidP="00EE4178">
      <w:pPr>
        <w:rPr>
          <w:rFonts w:cs="Times New Roman"/>
          <w:color w:val="000000" w:themeColor="text1"/>
          <w:szCs w:val="24"/>
          <w:lang w:val="bg-BG"/>
        </w:rPr>
      </w:pPr>
      <w:r w:rsidRPr="004C59FC">
        <w:rPr>
          <w:rFonts w:cs="Times New Roman"/>
          <w:color w:val="000000" w:themeColor="text1"/>
          <w:szCs w:val="24"/>
          <w:lang w:val="bg-BG"/>
        </w:rPr>
        <w:t>Комбинацията от тези технологии позволява системата да покрие различни изисквания, без една технология да бъде използвана извън естествената си роля. Redis се използва за бърз runtime обмен, PostgreSQL за трайна история, WebSocket за потоци, REST за explicit операции, React за presentation и .NET за основната бизнес логика.</w:t>
      </w:r>
    </w:p>
    <w:p w14:paraId="0EB2A8AE" w14:textId="77777777" w:rsidR="00EE4178" w:rsidRPr="004C59FC" w:rsidRDefault="00EE4178" w:rsidP="00830EDE">
      <w:pPr>
        <w:rPr>
          <w:rFonts w:cs="Times New Roman"/>
          <w:color w:val="000000" w:themeColor="text1"/>
          <w:szCs w:val="24"/>
          <w:lang w:val="bg-BG"/>
        </w:rPr>
      </w:pPr>
    </w:p>
    <w:p w14:paraId="62818CCC" w14:textId="77777777" w:rsidR="00CD06A8" w:rsidRPr="004C59FC" w:rsidRDefault="00CD06A8" w:rsidP="00830EDE">
      <w:pPr>
        <w:rPr>
          <w:rFonts w:cs="Times New Roman"/>
          <w:color w:val="000000" w:themeColor="text1"/>
          <w:szCs w:val="24"/>
          <w:lang w:val="bg-BG"/>
        </w:rPr>
      </w:pPr>
    </w:p>
    <w:p w14:paraId="5F8C7D2D" w14:textId="77777777" w:rsidR="00CD06A8" w:rsidRPr="004C59FC" w:rsidRDefault="00CD06A8" w:rsidP="00830EDE">
      <w:pPr>
        <w:rPr>
          <w:rFonts w:cs="Times New Roman"/>
          <w:color w:val="000000" w:themeColor="text1"/>
          <w:szCs w:val="24"/>
          <w:lang w:val="bg-BG"/>
        </w:rPr>
      </w:pPr>
    </w:p>
    <w:p w14:paraId="5C05ACD7" w14:textId="77777777" w:rsidR="00CD06A8" w:rsidRPr="004C59FC" w:rsidRDefault="00CD06A8" w:rsidP="00830EDE">
      <w:pPr>
        <w:rPr>
          <w:rFonts w:cs="Times New Roman"/>
          <w:color w:val="000000" w:themeColor="text1"/>
          <w:szCs w:val="24"/>
          <w:lang w:val="bg-BG"/>
        </w:rPr>
      </w:pPr>
    </w:p>
    <w:p w14:paraId="6F6C6FBF" w14:textId="77777777" w:rsidR="00CD06A8" w:rsidRPr="004C59FC" w:rsidRDefault="00CD06A8" w:rsidP="00830EDE">
      <w:pPr>
        <w:rPr>
          <w:rFonts w:cs="Times New Roman"/>
          <w:color w:val="000000" w:themeColor="text1"/>
          <w:szCs w:val="24"/>
          <w:lang w:val="bg-BG"/>
        </w:rPr>
      </w:pPr>
    </w:p>
    <w:p w14:paraId="01B03F82" w14:textId="77777777" w:rsidR="00CD06A8" w:rsidRPr="004C59FC" w:rsidRDefault="00CD06A8" w:rsidP="00830EDE">
      <w:pPr>
        <w:rPr>
          <w:rFonts w:cs="Times New Roman"/>
          <w:color w:val="000000" w:themeColor="text1"/>
          <w:szCs w:val="24"/>
          <w:lang w:val="bg-BG"/>
        </w:rPr>
      </w:pPr>
    </w:p>
    <w:p w14:paraId="2C74BBE4" w14:textId="77777777" w:rsidR="00CD06A8" w:rsidRPr="004C59FC" w:rsidRDefault="00CD06A8" w:rsidP="00830EDE">
      <w:pPr>
        <w:rPr>
          <w:rFonts w:cs="Times New Roman"/>
          <w:color w:val="000000" w:themeColor="text1"/>
          <w:szCs w:val="24"/>
          <w:lang w:val="bg-BG"/>
        </w:rPr>
      </w:pPr>
    </w:p>
    <w:p w14:paraId="0CC2E440" w14:textId="77777777" w:rsidR="00CD06A8" w:rsidRPr="004C59FC" w:rsidRDefault="00CD06A8" w:rsidP="00830EDE">
      <w:pPr>
        <w:rPr>
          <w:rFonts w:cs="Times New Roman"/>
          <w:color w:val="000000" w:themeColor="text1"/>
          <w:szCs w:val="24"/>
          <w:lang w:val="bg-BG"/>
        </w:rPr>
      </w:pPr>
    </w:p>
    <w:p w14:paraId="450F51CF" w14:textId="77777777" w:rsidR="00CD06A8" w:rsidRPr="004C59FC" w:rsidRDefault="00CD06A8" w:rsidP="00830EDE">
      <w:pPr>
        <w:rPr>
          <w:rFonts w:cs="Times New Roman"/>
          <w:color w:val="000000" w:themeColor="text1"/>
          <w:szCs w:val="24"/>
          <w:lang w:val="bg-BG"/>
        </w:rPr>
      </w:pPr>
    </w:p>
    <w:p w14:paraId="76A94DBF" w14:textId="77777777" w:rsidR="00CD06A8" w:rsidRPr="004C59FC" w:rsidRDefault="00CD06A8" w:rsidP="00830EDE">
      <w:pPr>
        <w:rPr>
          <w:rFonts w:cs="Times New Roman"/>
          <w:color w:val="000000" w:themeColor="text1"/>
          <w:szCs w:val="24"/>
          <w:lang w:val="bg-BG"/>
        </w:rPr>
      </w:pPr>
    </w:p>
    <w:p w14:paraId="4160B916" w14:textId="77777777" w:rsidR="00CD06A8" w:rsidRPr="004C59FC" w:rsidRDefault="00CD06A8" w:rsidP="00830EDE">
      <w:pPr>
        <w:rPr>
          <w:rFonts w:cs="Times New Roman"/>
          <w:color w:val="000000" w:themeColor="text1"/>
          <w:szCs w:val="24"/>
          <w:lang w:val="bg-BG"/>
        </w:rPr>
      </w:pPr>
    </w:p>
    <w:p w14:paraId="1B3681BC" w14:textId="77777777" w:rsidR="00CD06A8" w:rsidRPr="004C59FC" w:rsidRDefault="00CD06A8" w:rsidP="00830EDE">
      <w:pPr>
        <w:rPr>
          <w:rFonts w:cs="Times New Roman"/>
          <w:color w:val="000000" w:themeColor="text1"/>
          <w:szCs w:val="24"/>
          <w:lang w:val="bg-BG"/>
        </w:rPr>
      </w:pPr>
    </w:p>
    <w:p w14:paraId="63B5AEA5" w14:textId="77777777" w:rsidR="00CD06A8" w:rsidRPr="004C59FC" w:rsidRDefault="00CD06A8" w:rsidP="00830EDE">
      <w:pPr>
        <w:rPr>
          <w:rFonts w:cs="Times New Roman"/>
          <w:color w:val="000000" w:themeColor="text1"/>
          <w:szCs w:val="24"/>
          <w:lang w:val="bg-BG"/>
        </w:rPr>
      </w:pPr>
    </w:p>
    <w:p w14:paraId="49C4638F" w14:textId="77777777" w:rsidR="00CD06A8" w:rsidRPr="004C59FC" w:rsidRDefault="00CD06A8" w:rsidP="00830EDE">
      <w:pPr>
        <w:rPr>
          <w:rFonts w:cs="Times New Roman"/>
          <w:color w:val="000000" w:themeColor="text1"/>
          <w:szCs w:val="24"/>
          <w:lang w:val="bg-BG"/>
        </w:rPr>
      </w:pPr>
    </w:p>
    <w:p w14:paraId="53AAEEF5" w14:textId="77777777" w:rsidR="00CD06A8" w:rsidRPr="004C59FC" w:rsidRDefault="00CD06A8" w:rsidP="00830EDE">
      <w:pPr>
        <w:rPr>
          <w:rFonts w:cs="Times New Roman"/>
          <w:color w:val="000000" w:themeColor="text1"/>
          <w:szCs w:val="24"/>
          <w:lang w:val="bg-BG"/>
        </w:rPr>
      </w:pPr>
    </w:p>
    <w:p w14:paraId="4E146BA5" w14:textId="77777777" w:rsidR="00CD06A8" w:rsidRPr="004C59FC" w:rsidRDefault="00CD06A8" w:rsidP="00830EDE">
      <w:pPr>
        <w:rPr>
          <w:rFonts w:cs="Times New Roman"/>
          <w:color w:val="000000" w:themeColor="text1"/>
          <w:szCs w:val="24"/>
          <w:lang w:val="bg-BG"/>
        </w:rPr>
      </w:pPr>
    </w:p>
    <w:p w14:paraId="4544EAD1" w14:textId="77777777" w:rsidR="00CD06A8" w:rsidRPr="004C59FC" w:rsidRDefault="00CD06A8" w:rsidP="00830EDE">
      <w:pPr>
        <w:rPr>
          <w:rFonts w:cs="Times New Roman"/>
          <w:color w:val="000000" w:themeColor="text1"/>
          <w:szCs w:val="24"/>
          <w:lang w:val="bg-BG"/>
        </w:rPr>
      </w:pPr>
    </w:p>
    <w:p w14:paraId="5F9E560F" w14:textId="77777777" w:rsidR="00CD06A8" w:rsidRPr="004C59FC" w:rsidRDefault="00CD06A8" w:rsidP="00830EDE">
      <w:pPr>
        <w:rPr>
          <w:rFonts w:cs="Times New Roman"/>
          <w:color w:val="000000" w:themeColor="text1"/>
          <w:szCs w:val="24"/>
          <w:lang w:val="bg-BG"/>
        </w:rPr>
      </w:pPr>
    </w:p>
    <w:p w14:paraId="4FE00624" w14:textId="77777777" w:rsidR="00CD06A8" w:rsidRPr="004C59FC" w:rsidRDefault="00CD06A8" w:rsidP="00830EDE">
      <w:pPr>
        <w:rPr>
          <w:rFonts w:cs="Times New Roman"/>
          <w:color w:val="000000" w:themeColor="text1"/>
          <w:szCs w:val="24"/>
          <w:lang w:val="bg-BG"/>
        </w:rPr>
      </w:pPr>
    </w:p>
    <w:p w14:paraId="3C207BFE" w14:textId="77777777" w:rsidR="00CD06A8" w:rsidRPr="004C59FC" w:rsidRDefault="00CD06A8" w:rsidP="00830EDE">
      <w:pPr>
        <w:rPr>
          <w:rFonts w:cs="Times New Roman"/>
          <w:color w:val="000000" w:themeColor="text1"/>
          <w:szCs w:val="24"/>
          <w:lang w:val="bg-BG"/>
        </w:rPr>
      </w:pPr>
    </w:p>
    <w:p w14:paraId="7D8DE261" w14:textId="77777777" w:rsidR="00CD06A8" w:rsidRPr="004C59FC" w:rsidRDefault="00CD06A8" w:rsidP="00830EDE">
      <w:pPr>
        <w:rPr>
          <w:rFonts w:cs="Times New Roman"/>
          <w:color w:val="000000" w:themeColor="text1"/>
          <w:szCs w:val="24"/>
          <w:lang w:val="bg-BG"/>
        </w:rPr>
      </w:pPr>
    </w:p>
    <w:p w14:paraId="7DE5AA16" w14:textId="77777777" w:rsidR="00CD06A8" w:rsidRPr="004C59FC" w:rsidRDefault="00CD06A8" w:rsidP="00830EDE">
      <w:pPr>
        <w:rPr>
          <w:rFonts w:cs="Times New Roman"/>
          <w:color w:val="000000" w:themeColor="text1"/>
          <w:szCs w:val="24"/>
          <w:lang w:val="bg-BG"/>
        </w:rPr>
      </w:pPr>
    </w:p>
    <w:p w14:paraId="17DD5432" w14:textId="77777777" w:rsidR="00CD06A8" w:rsidRPr="004C59FC" w:rsidRDefault="00CD06A8" w:rsidP="00830EDE">
      <w:pPr>
        <w:rPr>
          <w:rFonts w:cs="Times New Roman"/>
          <w:color w:val="000000" w:themeColor="text1"/>
          <w:szCs w:val="24"/>
          <w:lang w:val="bg-BG"/>
        </w:rPr>
      </w:pPr>
    </w:p>
    <w:p w14:paraId="400DABF1" w14:textId="77777777" w:rsidR="00CD06A8" w:rsidRPr="004C59FC" w:rsidRDefault="00CD06A8" w:rsidP="00830EDE">
      <w:pPr>
        <w:rPr>
          <w:rFonts w:cs="Times New Roman"/>
          <w:color w:val="000000" w:themeColor="text1"/>
          <w:szCs w:val="24"/>
          <w:lang w:val="bg-BG"/>
        </w:rPr>
      </w:pPr>
    </w:p>
    <w:p w14:paraId="35E61EE2" w14:textId="77777777" w:rsidR="00CD06A8" w:rsidRPr="004C59FC" w:rsidRDefault="00CD06A8" w:rsidP="00830EDE">
      <w:pPr>
        <w:rPr>
          <w:rFonts w:cs="Times New Roman"/>
          <w:color w:val="000000" w:themeColor="text1"/>
          <w:szCs w:val="24"/>
          <w:lang w:val="bg-BG"/>
        </w:rPr>
      </w:pPr>
    </w:p>
    <w:p w14:paraId="00440DF4" w14:textId="77777777" w:rsidR="00CD06A8" w:rsidRPr="004C59FC" w:rsidRDefault="00CD06A8" w:rsidP="00830EDE">
      <w:pPr>
        <w:rPr>
          <w:rFonts w:cs="Times New Roman"/>
          <w:color w:val="000000" w:themeColor="text1"/>
          <w:szCs w:val="24"/>
          <w:lang w:val="bg-BG"/>
        </w:rPr>
      </w:pPr>
    </w:p>
    <w:p w14:paraId="7249F73E" w14:textId="77777777" w:rsidR="00CD06A8" w:rsidRPr="004C59FC" w:rsidRDefault="00CD06A8" w:rsidP="00830EDE">
      <w:pPr>
        <w:rPr>
          <w:rFonts w:cs="Times New Roman"/>
          <w:color w:val="000000" w:themeColor="text1"/>
          <w:szCs w:val="24"/>
          <w:lang w:val="bg-BG"/>
        </w:rPr>
      </w:pPr>
    </w:p>
    <w:p w14:paraId="5E642814" w14:textId="77777777" w:rsidR="00CD06A8" w:rsidRPr="004C59FC" w:rsidRDefault="00CD06A8" w:rsidP="00830EDE">
      <w:pPr>
        <w:rPr>
          <w:rFonts w:cs="Times New Roman"/>
          <w:color w:val="000000" w:themeColor="text1"/>
          <w:szCs w:val="24"/>
          <w:lang w:val="bg-BG"/>
        </w:rPr>
      </w:pPr>
    </w:p>
    <w:p w14:paraId="724D04DD" w14:textId="77777777" w:rsidR="004C59FC" w:rsidRPr="004C59FC" w:rsidRDefault="004C59FC" w:rsidP="004C59FC">
      <w:pPr>
        <w:pStyle w:val="Heading1"/>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lastRenderedPageBreak/>
        <w:t>ГЛАВА 4. РЕАЛИЗАЦИЯ НА ОСНОВНИЯ ТЪРГОВСКИ ПРОЦЕС</w:t>
      </w:r>
    </w:p>
    <w:p w14:paraId="0FC08740"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4.1. Обхват на реализацията</w:t>
      </w:r>
    </w:p>
    <w:p w14:paraId="68116A8E"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Основният практически фокус на разработката е надеждното преминаване на един търговски сигнал през всички необходими проверки до създаване, проследяване и затваряне на позиция. Макар системата да съдържа допълнителни модули за исторически анализ, оптимизация, наблюдение и управление, те имат подпомагаща роля спрямо този основен процес.</w:t>
      </w:r>
    </w:p>
    <w:p w14:paraId="7F31AE49"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За експерименталната част се разглеждат две представителни стратегии с различно поведение. Първата е стратегия от тип TP-only grid, при която позицията се управлява основно чрез цел за печалба. Втората е стратегия със защитни поръчки, при която след отваряне се използват take-profit, stop-loss и последваща защитна логика. Изборът на два различни модела позволява да се провери както прост, така и по-сложен жизнен цикъл на позиция.</w:t>
      </w:r>
    </w:p>
    <w:p w14:paraId="2FF82B85"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Работата с реални средства не е част от дипломната разработка. Практическите проверки се извършват чрез симулирана търговия и Binance Demo среда. По този начин може да се валидира реалният обмен на заявки и събития, без да се поема финансов риск.</w:t>
      </w:r>
    </w:p>
    <w:p w14:paraId="5EAA50AD"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4.2. Получаване на пазарни данни</w:t>
      </w:r>
    </w:p>
    <w:p w14:paraId="46E5E200" w14:textId="47648746"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 xml:space="preserve">Пазарните данни постъпват в системата чрез `MarketDataService`, който поддържа WebSocket връзка с Binance Futures. Услугата приема данни за пазарни свещи, преобразува ги към вътрешен модел и пропуска </w:t>
      </w:r>
      <w:r>
        <w:rPr>
          <w:rFonts w:cs="Times New Roman"/>
          <w:color w:val="000000" w:themeColor="text1"/>
          <w:szCs w:val="24"/>
          <w:lang w:val="bg-BG"/>
        </w:rPr>
        <w:t>незатворените</w:t>
      </w:r>
      <w:r w:rsidRPr="004C59FC">
        <w:rPr>
          <w:rFonts w:cs="Times New Roman"/>
          <w:color w:val="000000" w:themeColor="text1"/>
          <w:szCs w:val="24"/>
          <w:lang w:val="bg-BG"/>
        </w:rPr>
        <w:t xml:space="preserve"> свещи.</w:t>
      </w:r>
    </w:p>
    <w:p w14:paraId="7C1BFC14"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Използването само на затворени свещи е важно, защото стойностите на текущата свещ могат да се променят до края на периода. Ако стратегията реагира на междинна стойност, е възможно да се получи сигнал, който вече не е валиден след окончателното затваряне на свещта.</w:t>
      </w:r>
    </w:p>
    <w:p w14:paraId="58A2828D"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След проверка за логическа коректност данните се публикуват в Redis. Там те са достъпни за услугата за индикатори и за останалите компоненти, които трябва да работят с текущото пазарно състояние.</w:t>
      </w:r>
    </w:p>
    <w:p w14:paraId="6D773BA7"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4.3. Изчисляване на технически индикатори</w:t>
      </w:r>
    </w:p>
    <w:p w14:paraId="12386D1B"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`IndicatorServices` получава затворените пазарни свещи и изчислява необходимите технически индикатори. В разработката се използват Alligator, SMA и Bollinger Bands, като всяка нова свещ обновява текущото състояние на съответния индикатор.</w:t>
      </w:r>
    </w:p>
    <w:p w14:paraId="19BE6CF8"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При стартиране на услугата се извършва начално зареждане с исторически данни, за да бъдат натрупани необходимите предходни стойности. След това изчисленията продължават последователно за всяка нова затворена свещ. Това намалява ненужното преизчисляване на цялата история.</w:t>
      </w:r>
    </w:p>
    <w:p w14:paraId="39671680"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Заедно със стойностите се съхранява и моментът, към който се отнасят те. Това е особено важно при стратегии, които използват повече от един времеви интервал, защото трябва да се избегне смесване на нова пазарна свещ със стара стойност на индикатор.</w:t>
      </w:r>
    </w:p>
    <w:p w14:paraId="42D6ED03"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lastRenderedPageBreak/>
        <w:t>4.4. Генериране на търговски сигнал</w:t>
      </w:r>
    </w:p>
    <w:p w14:paraId="4A4F74FD"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След като необходимите пазарни и индикаторни данни са налични, конкретната стратегия проверява дали са изпълнени условията за търговско действие. Резултатът е търговски сигнал, съдържащ идентификатор, име на бот, символ, посока, време на генериране и източник.</w:t>
      </w:r>
    </w:p>
    <w:p w14:paraId="6547F323"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Сигналът не се приема като директна команда за отваряне на позиция. Той представлява предложение за действие, което трябва да бъде проверено от общите механизми за безопасност. Това разделение е съществено, защото позволява правилата за стратегията да останат независими от правилата за надеждност.</w:t>
      </w:r>
    </w:p>
    <w:p w14:paraId="14476EC4"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Системата поддържа и режим за наблюдение на вътрешните сигнали без изпълнение. При него стратегията може да бъде проверявана върху реални пазарни данни, без сигналът да достига до създаване на позиция. След потвърждение на поведението може да се премине към симулирано изпълнение.</w:t>
      </w:r>
    </w:p>
    <w:p w14:paraId="13712202"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4.5. Последователност за безопасна обработка на сигнал</w:t>
      </w:r>
    </w:p>
    <w:p w14:paraId="7632612B"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Централната роля при обработването на сигнал се изпълнява от `TradingEngine`. Неговата задача е да приложи една и съща последователност от проверки за всички стратегии, преди да бъде разрешено изпълнение.</w:t>
      </w:r>
    </w:p>
    <w:p w14:paraId="05C6A28A"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Първо се проверява времето на сигнала. Прекалено стар или очевидно невалиден сигнал не трябва да бъде изпълняван. След това се проверява уникалният `SignalId`. Ако същият идентификатор вече е бил обработен, новото съобщение се прекратява без повторно отваряне на позиция.</w:t>
      </w:r>
    </w:p>
    <w:p w14:paraId="30563B9C"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Следва заключване на операцията за конкретния бот, символ и посока. Целта е две едновременно пристигнали събития да не извършат противоречиви действия. След заключването се проверяват текущото състояние на бота, времевото ограничение между две последователни операции и правилата на конкретната стратегия.</w:t>
      </w:r>
    </w:p>
    <w:p w14:paraId="7739A157"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Ако всички проверки са успешни, сигналът се предава към модула за управление на риска. Едва след положителна оценка се допуска изпълнение на позицията.</w:t>
      </w:r>
    </w:p>
    <w:p w14:paraId="124C76F3" w14:textId="77777777" w:rsidR="004C59FC" w:rsidRDefault="004C59FC" w:rsidP="004C59FC">
      <w:pPr>
        <w:rPr>
          <w:rFonts w:cs="Times New Roman"/>
          <w:color w:val="000000" w:themeColor="text1"/>
          <w:szCs w:val="24"/>
          <w:lang w:val="bg-BG"/>
        </w:rPr>
      </w:pPr>
    </w:p>
    <w:p w14:paraId="204AFA3D" w14:textId="77777777" w:rsidR="004C59FC" w:rsidRDefault="004C59FC" w:rsidP="004C59FC">
      <w:pPr>
        <w:rPr>
          <w:rFonts w:cs="Times New Roman"/>
          <w:color w:val="000000" w:themeColor="text1"/>
          <w:szCs w:val="24"/>
          <w:lang w:val="bg-BG"/>
        </w:rPr>
      </w:pPr>
    </w:p>
    <w:p w14:paraId="6C5A5948" w14:textId="77777777" w:rsidR="004C59FC" w:rsidRDefault="004C59FC" w:rsidP="004C59FC">
      <w:pPr>
        <w:rPr>
          <w:rFonts w:cs="Times New Roman"/>
          <w:color w:val="000000" w:themeColor="text1"/>
          <w:szCs w:val="24"/>
          <w:lang w:val="bg-BG"/>
        </w:rPr>
      </w:pPr>
    </w:p>
    <w:p w14:paraId="23A8947D" w14:textId="77777777" w:rsidR="004C59FC" w:rsidRDefault="004C59FC" w:rsidP="004C59FC">
      <w:pPr>
        <w:rPr>
          <w:rFonts w:cs="Times New Roman"/>
          <w:color w:val="000000" w:themeColor="text1"/>
          <w:szCs w:val="24"/>
          <w:lang w:val="bg-BG"/>
        </w:rPr>
      </w:pPr>
    </w:p>
    <w:p w14:paraId="02348D21" w14:textId="77777777" w:rsidR="004C59FC" w:rsidRDefault="004C59FC" w:rsidP="004C59FC">
      <w:pPr>
        <w:rPr>
          <w:rFonts w:cs="Times New Roman"/>
          <w:color w:val="000000" w:themeColor="text1"/>
          <w:szCs w:val="24"/>
          <w:lang w:val="bg-BG"/>
        </w:rPr>
      </w:pPr>
    </w:p>
    <w:p w14:paraId="4A839FD8" w14:textId="77777777" w:rsidR="004C59FC" w:rsidRDefault="004C59FC" w:rsidP="004C59FC">
      <w:pPr>
        <w:rPr>
          <w:rFonts w:cs="Times New Roman"/>
          <w:color w:val="000000" w:themeColor="text1"/>
          <w:szCs w:val="24"/>
          <w:lang w:val="bg-BG"/>
        </w:rPr>
      </w:pPr>
    </w:p>
    <w:p w14:paraId="7E0FA8B2" w14:textId="77777777" w:rsidR="004C59FC" w:rsidRDefault="004C59FC" w:rsidP="004C59FC">
      <w:pPr>
        <w:rPr>
          <w:rFonts w:cs="Times New Roman"/>
          <w:color w:val="000000" w:themeColor="text1"/>
          <w:szCs w:val="24"/>
          <w:lang w:val="bg-BG"/>
        </w:rPr>
      </w:pPr>
    </w:p>
    <w:p w14:paraId="3FA5E10C" w14:textId="77777777" w:rsidR="004C59FC" w:rsidRDefault="004C59FC" w:rsidP="004C59FC">
      <w:pPr>
        <w:rPr>
          <w:rFonts w:cs="Times New Roman"/>
          <w:color w:val="000000" w:themeColor="text1"/>
          <w:szCs w:val="24"/>
          <w:lang w:val="bg-BG"/>
        </w:rPr>
      </w:pPr>
    </w:p>
    <w:p w14:paraId="6C0F0591" w14:textId="77777777" w:rsidR="004C59FC" w:rsidRDefault="004C59FC" w:rsidP="004C59FC">
      <w:pPr>
        <w:rPr>
          <w:rFonts w:cs="Times New Roman"/>
          <w:color w:val="000000" w:themeColor="text1"/>
          <w:szCs w:val="24"/>
          <w:lang w:val="bg-BG"/>
        </w:rPr>
      </w:pPr>
    </w:p>
    <w:p w14:paraId="45E17F8F" w14:textId="77777777" w:rsidR="004C59FC" w:rsidRDefault="004C59FC" w:rsidP="004C59FC">
      <w:pPr>
        <w:rPr>
          <w:rFonts w:cs="Times New Roman"/>
          <w:color w:val="000000" w:themeColor="text1"/>
          <w:szCs w:val="24"/>
          <w:lang w:val="bg-BG"/>
        </w:rPr>
      </w:pPr>
    </w:p>
    <w:p w14:paraId="2837AAB4" w14:textId="77777777" w:rsidR="004C59FC" w:rsidRDefault="004C59FC" w:rsidP="004C59FC">
      <w:pPr>
        <w:rPr>
          <w:rFonts w:cs="Times New Roman"/>
          <w:color w:val="000000" w:themeColor="text1"/>
          <w:szCs w:val="24"/>
          <w:lang w:val="bg-BG"/>
        </w:rPr>
      </w:pPr>
    </w:p>
    <w:p w14:paraId="5EB7C7EC" w14:textId="77777777" w:rsidR="004C59FC" w:rsidRDefault="004C59FC" w:rsidP="004C59FC">
      <w:pPr>
        <w:rPr>
          <w:rFonts w:cs="Times New Roman"/>
          <w:color w:val="000000" w:themeColor="text1"/>
          <w:szCs w:val="24"/>
          <w:lang w:val="bg-BG"/>
        </w:rPr>
      </w:pPr>
    </w:p>
    <w:p w14:paraId="2AF57CD5" w14:textId="77777777" w:rsidR="004C59FC" w:rsidRDefault="004C59FC" w:rsidP="004C59FC">
      <w:pPr>
        <w:rPr>
          <w:rFonts w:cs="Times New Roman"/>
          <w:color w:val="000000" w:themeColor="text1"/>
          <w:szCs w:val="24"/>
          <w:lang w:val="bg-BG"/>
        </w:rPr>
      </w:pPr>
    </w:p>
    <w:p w14:paraId="78EF865B" w14:textId="4B7D8F76"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lastRenderedPageBreak/>
        <w:t>Фигура 4.1. Последователност за обработка на търговски сигнал</w:t>
      </w:r>
    </w:p>
    <w:p w14:paraId="7F48FE2F" w14:textId="401F6910" w:rsidR="004C59FC" w:rsidRPr="004C59FC" w:rsidRDefault="004C59FC" w:rsidP="004C59FC">
      <w:pPr>
        <w:rPr>
          <w:rFonts w:cs="Times New Roman"/>
          <w:color w:val="000000" w:themeColor="text1"/>
          <w:szCs w:val="24"/>
          <w:lang w:val="bg-BG"/>
        </w:rPr>
      </w:pPr>
      <w:r>
        <w:rPr>
          <w:noProof/>
        </w:rPr>
        <w:drawing>
          <wp:inline distT="0" distB="0" distL="0" distR="0" wp14:anchorId="49705C6D" wp14:editId="7DEA75BC">
            <wp:extent cx="2874010" cy="7559675"/>
            <wp:effectExtent l="0" t="0" r="2540" b="3175"/>
            <wp:docPr id="927115307"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74010" cy="7559675"/>
                    </a:xfrm>
                    <a:prstGeom prst="rect">
                      <a:avLst/>
                    </a:prstGeom>
                    <a:noFill/>
                    <a:ln>
                      <a:noFill/>
                    </a:ln>
                  </pic:spPr>
                </pic:pic>
              </a:graphicData>
            </a:graphic>
          </wp:inline>
        </w:drawing>
      </w:r>
    </w:p>
    <w:p w14:paraId="2E4C5493"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lastRenderedPageBreak/>
        <w:t>4.6. Предотвратяване на повторно изпълнение</w:t>
      </w:r>
    </w:p>
    <w:p w14:paraId="41555CDA"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Един от основните инженерни проблеми в системата е повторното получаване на едно и също съобщение. При асинхронна комуникация повторение може да възникне поради повторно публикуване, мрежов проблем или повторен опит на външен компонент.</w:t>
      </w:r>
    </w:p>
    <w:p w14:paraId="02D7DBAF"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За да не се създадат две позиции от едно логическо решение, всеки сигнал има уникален идентификатор. Преди започване на обработката системата резервира този идентификатор. Ако той вече е в състояние „обработва се“ или „завършен“, повторното съобщение не се изпълнява.</w:t>
      </w:r>
    </w:p>
    <w:p w14:paraId="2E137CCD"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След успешно завършване идентификаторът се маркира като обработен за определен период. При неуспешна операция състоянието се освобождава според вида на грешката. Този механизъм се проверява чрез контролирани тестове, при които един и същ `SignalId` се подава многократно и се очаква точно едно логическо изпълнение.</w:t>
      </w:r>
    </w:p>
    <w:p w14:paraId="3CA78F1B"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4.7. Синхронизация на едновременни операции</w:t>
      </w:r>
    </w:p>
    <w:p w14:paraId="0329C5FF"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Освен повторни съобщения е възможно различни валидни сигнали да пристигнат почти едновременно. Ако и двата започнат да работят върху едно и също състояние, те могат да вземат решение на база остаряла информация.</w:t>
      </w:r>
    </w:p>
    <w:p w14:paraId="749D6A2D"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Затова се използва механизъм за заключване на операцията. Заключването е обвързано с бот, символ и посока и има ограничен период на валидност. Докато една операция се обработва, конфликтна операция не може да премине през същия критичен участък.</w:t>
      </w:r>
    </w:p>
    <w:p w14:paraId="55FF3670"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Този механизъм не замества ограниченията на стратегията, а ги допълва. След като бъде получено заключване, стратегията отново проверява реалните активни позиции, за да вземе решение върху най-актуалното налично състояние.</w:t>
      </w:r>
    </w:p>
    <w:p w14:paraId="3AD83B6F"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4.8. Правила на стратегията</w:t>
      </w:r>
    </w:p>
    <w:p w14:paraId="146CD583"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След общите проверки се прилагат правилата на конкретната стратегия. Те отговарят на въпроса дали при текущото пазарно състояние и активни позиции нов вход е допустим.</w:t>
      </w:r>
    </w:p>
    <w:p w14:paraId="2E47C14E"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При TP-only grid стратегията се проверява броят активни позиции в същата посока и разстоянието между текущата цена и най-новата позиция. Ако е достигнат максималният брой позиции или разстоянието е недостатъчно, сигналът се блокира.</w:t>
      </w:r>
    </w:p>
    <w:p w14:paraId="11CFA874"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При стратегията със защитни поръчки правилата са различни, защото жизненият цикъл включва stop-loss, частично затваряне и последваща защита. Точно поради тази причина конкретните правила не са вградени в общия `TradingEngine`, а са отделени в стратегията на съответния бот.</w:t>
      </w:r>
    </w:p>
    <w:p w14:paraId="667E18D2"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4.9. Централизирано управление на риска</w:t>
      </w:r>
    </w:p>
    <w:p w14:paraId="0E8B105A"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Дори когато конкретната стратегия разрешава нова позиция, системата трябва да провери дали общият риск остава в допустими граници. Тази задача се изпълнява от централизирания модул за управление на риска.</w:t>
      </w:r>
    </w:p>
    <w:p w14:paraId="07FEFAEE"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lastRenderedPageBreak/>
        <w:t>Оценката използва информация за броя отворени позиции, експозицията по символ, общата номинална стойност, дневния резултат, drawdown и други ограничения. При необходимост могат да бъдат взети предвид и вече резервирани, но все още незавършени операции.</w:t>
      </w:r>
    </w:p>
    <w:p w14:paraId="5BED32B5"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По този начин две почти едновременни позиции не могат да използват един и същ свободен лимит. Ако първата операция вече е резервирала част от допустимата експозиция, втората ще бъде оценена спрямо оставащия ресурс.</w:t>
      </w:r>
    </w:p>
    <w:p w14:paraId="35BF3713"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Критично несъответствие между локалното състояние и борсата също може да доведе до временно блокиране на нови позиции. Това е по-безопасно от продължаване на търговията, когато системата не е уверена в текущата си експозиция.</w:t>
      </w:r>
    </w:p>
    <w:p w14:paraId="03B0AE45"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4.10. Изпълнение на позицията</w:t>
      </w:r>
    </w:p>
    <w:p w14:paraId="2C1A42CB"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След положително решение от стратегията и модула за управление на риска се извиква конкретната реализация за изпълнение. Тя може да работи в симулирана среда или да изпраща заявки към Binance Demo.</w:t>
      </w:r>
    </w:p>
    <w:p w14:paraId="0681224B"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При работа с Binance всяка поръчка получава собствен клиентски идентификатор. Това позволява по-късно да се провери дали дадена поръчка е била приета, дори когато мрежовият отговор е прекъснат или не е получен навреме.</w:t>
      </w:r>
    </w:p>
    <w:p w14:paraId="230D41BC"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Това е важно, защото липсата на HTTP отговор не доказва, че поръчката не е изпълнена. Ако системата веднага изпрати втора пазарна поръчка, може неволно да удвои позицията.</w:t>
      </w:r>
    </w:p>
    <w:p w14:paraId="4E9F7C66"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4.11. Жизнен цикъл на позиция със защитни поръчки</w:t>
      </w:r>
    </w:p>
    <w:p w14:paraId="57742A3F"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По-сложният от двата разглеждани модела е позицията със защитни поръчки. След първоначалния вход се създават take-profit и stop-loss поръчки. При достигане на целта за печалба част от позицията може да бъде затворена, а останалата част да бъде защитена с последваща STOP3 поръчка.</w:t>
      </w:r>
    </w:p>
    <w:p w14:paraId="1E85A0E2"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Локалният модел на позицията пази текущото количество, състоянието на защитните поръчки и дали позицията вече е затворена. Това позволява системата да реагира коректно на последващи събития.</w:t>
      </w:r>
    </w:p>
    <w:p w14:paraId="2034DCBD" w14:textId="77777777" w:rsidR="00E54707" w:rsidRDefault="00E54707" w:rsidP="004C59FC">
      <w:pPr>
        <w:rPr>
          <w:rFonts w:cs="Times New Roman"/>
          <w:color w:val="000000" w:themeColor="text1"/>
          <w:szCs w:val="24"/>
          <w:lang w:val="bg-BG"/>
        </w:rPr>
      </w:pPr>
    </w:p>
    <w:p w14:paraId="078A0F32" w14:textId="77777777" w:rsidR="00E54707" w:rsidRDefault="00E54707" w:rsidP="004C59FC">
      <w:pPr>
        <w:rPr>
          <w:rFonts w:cs="Times New Roman"/>
          <w:color w:val="000000" w:themeColor="text1"/>
          <w:szCs w:val="24"/>
          <w:lang w:val="bg-BG"/>
        </w:rPr>
      </w:pPr>
    </w:p>
    <w:p w14:paraId="7ADAF201" w14:textId="77777777" w:rsidR="00E54707" w:rsidRDefault="00E54707" w:rsidP="004C59FC">
      <w:pPr>
        <w:rPr>
          <w:rFonts w:cs="Times New Roman"/>
          <w:color w:val="000000" w:themeColor="text1"/>
          <w:szCs w:val="24"/>
          <w:lang w:val="bg-BG"/>
        </w:rPr>
      </w:pPr>
    </w:p>
    <w:p w14:paraId="0AF71E3D" w14:textId="77777777" w:rsidR="00E54707" w:rsidRDefault="00E54707" w:rsidP="004C59FC">
      <w:pPr>
        <w:rPr>
          <w:rFonts w:cs="Times New Roman"/>
          <w:color w:val="000000" w:themeColor="text1"/>
          <w:szCs w:val="24"/>
          <w:lang w:val="bg-BG"/>
        </w:rPr>
      </w:pPr>
    </w:p>
    <w:p w14:paraId="1D4ADD7D" w14:textId="77777777" w:rsidR="00E54707" w:rsidRDefault="00E54707" w:rsidP="004C59FC">
      <w:pPr>
        <w:rPr>
          <w:rFonts w:cs="Times New Roman"/>
          <w:color w:val="000000" w:themeColor="text1"/>
          <w:szCs w:val="24"/>
          <w:lang w:val="bg-BG"/>
        </w:rPr>
      </w:pPr>
    </w:p>
    <w:p w14:paraId="4773F5EC" w14:textId="77777777" w:rsidR="00E54707" w:rsidRDefault="00E54707" w:rsidP="004C59FC">
      <w:pPr>
        <w:rPr>
          <w:rFonts w:cs="Times New Roman"/>
          <w:color w:val="000000" w:themeColor="text1"/>
          <w:szCs w:val="24"/>
          <w:lang w:val="bg-BG"/>
        </w:rPr>
      </w:pPr>
    </w:p>
    <w:p w14:paraId="24869389" w14:textId="77777777" w:rsidR="00E54707" w:rsidRDefault="00E54707" w:rsidP="004C59FC">
      <w:pPr>
        <w:rPr>
          <w:rFonts w:cs="Times New Roman"/>
          <w:color w:val="000000" w:themeColor="text1"/>
          <w:szCs w:val="24"/>
          <w:lang w:val="bg-BG"/>
        </w:rPr>
      </w:pPr>
    </w:p>
    <w:p w14:paraId="1A463A9F" w14:textId="77777777" w:rsidR="00E54707" w:rsidRDefault="00E54707" w:rsidP="004C59FC">
      <w:pPr>
        <w:rPr>
          <w:rFonts w:cs="Times New Roman"/>
          <w:color w:val="000000" w:themeColor="text1"/>
          <w:szCs w:val="24"/>
          <w:lang w:val="bg-BG"/>
        </w:rPr>
      </w:pPr>
    </w:p>
    <w:p w14:paraId="258551E0" w14:textId="77777777" w:rsidR="00E54707" w:rsidRDefault="00E54707" w:rsidP="004C59FC">
      <w:pPr>
        <w:rPr>
          <w:rFonts w:cs="Times New Roman"/>
          <w:color w:val="000000" w:themeColor="text1"/>
          <w:szCs w:val="24"/>
          <w:lang w:val="bg-BG"/>
        </w:rPr>
      </w:pPr>
    </w:p>
    <w:p w14:paraId="2C0658ED" w14:textId="77777777" w:rsidR="00E54707" w:rsidRDefault="00E54707" w:rsidP="004C59FC">
      <w:pPr>
        <w:rPr>
          <w:rFonts w:cs="Times New Roman"/>
          <w:color w:val="000000" w:themeColor="text1"/>
          <w:szCs w:val="24"/>
          <w:lang w:val="bg-BG"/>
        </w:rPr>
      </w:pPr>
    </w:p>
    <w:p w14:paraId="11080F6C" w14:textId="77777777" w:rsidR="00E54707" w:rsidRDefault="00E54707" w:rsidP="004C59FC">
      <w:pPr>
        <w:rPr>
          <w:rFonts w:cs="Times New Roman"/>
          <w:color w:val="000000" w:themeColor="text1"/>
          <w:szCs w:val="24"/>
          <w:lang w:val="bg-BG"/>
        </w:rPr>
      </w:pPr>
    </w:p>
    <w:p w14:paraId="0779CA75" w14:textId="5A0598D1"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lastRenderedPageBreak/>
        <w:t>Фигура 4.2. Жизнен цикъл на позиция със защитни поръчки</w:t>
      </w:r>
    </w:p>
    <w:p w14:paraId="223D56D0" w14:textId="3B5C2BB5" w:rsidR="004C59FC" w:rsidRPr="004C59FC" w:rsidRDefault="00E54707" w:rsidP="004C59FC">
      <w:pPr>
        <w:rPr>
          <w:rFonts w:cs="Times New Roman"/>
          <w:color w:val="000000" w:themeColor="text1"/>
          <w:szCs w:val="24"/>
          <w:lang w:val="bg-BG"/>
        </w:rPr>
      </w:pPr>
      <w:r>
        <w:rPr>
          <w:rFonts w:cs="Times New Roman"/>
          <w:noProof/>
          <w:color w:val="000000" w:themeColor="text1"/>
          <w:szCs w:val="24"/>
          <w:lang w:val="bg-BG"/>
        </w:rPr>
        <w:drawing>
          <wp:inline distT="0" distB="0" distL="0" distR="0" wp14:anchorId="596F6173" wp14:editId="36DACCA2">
            <wp:extent cx="3588923" cy="4104000"/>
            <wp:effectExtent l="0" t="0" r="0" b="0"/>
            <wp:docPr id="8985175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88923" cy="4104000"/>
                    </a:xfrm>
                    <a:prstGeom prst="rect">
                      <a:avLst/>
                    </a:prstGeom>
                    <a:noFill/>
                  </pic:spPr>
                </pic:pic>
              </a:graphicData>
            </a:graphic>
          </wp:inline>
        </w:drawing>
      </w:r>
    </w:p>
    <w:p w14:paraId="26382309"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4.12. Обработка на събития от Binance</w:t>
      </w:r>
    </w:p>
    <w:p w14:paraId="52A4CFF5"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След създаване на поръчка работата на системата не приключва. Binance изпраща последващи събития чрез потребителския поток, които показват реалната промяна в състоянието на поръчката.</w:t>
      </w:r>
    </w:p>
    <w:p w14:paraId="17CAD2FB"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`UserStreamService` получава тези събития и ги преобразува към вътрешни съобщения. Съответният обработчик на бота реагира на изпълнен take-profit, задействан stop-loss или друга промяна.</w:t>
      </w:r>
    </w:p>
    <w:p w14:paraId="5B0CAD04"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Така локалното състояние се обновява на база събитията от борсата, а не само на база първоначалния отговор при създаване на поръчката.</w:t>
      </w:r>
    </w:p>
    <w:p w14:paraId="10565763"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4.13. Проверка и възстановяване на състоянието</w:t>
      </w:r>
    </w:p>
    <w:p w14:paraId="5B6317C7"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При работа с външна система е възможно локалното състояние и състоянието в Binance временно да се разминават. Това може да се случи след рестарт, пропуснато събитие или ръчна промяна.</w:t>
      </w:r>
    </w:p>
    <w:p w14:paraId="03940A95"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Механизмът за сверяване на състоянието периодично сравнява локалните позиции и поръчки с наличните данни от борсата. При разлика се регистрира несъответствие. В определени безопасни случаи системата може автоматично да коригира локалния запис.</w:t>
      </w:r>
    </w:p>
    <w:p w14:paraId="6166AF13"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lastRenderedPageBreak/>
        <w:t>Тази функционалност е една от основните части на практическата проверка. При контролирано прекъсване се измерва дали системата възстановява наблюдаемото състояние в рамките на предварително зададен брой интервали за сверяване.</w:t>
      </w:r>
    </w:p>
    <w:p w14:paraId="3B57478A"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4.14. Симулирана търговия</w:t>
      </w:r>
    </w:p>
    <w:p w14:paraId="1E605898"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Преди използване на Binance Demo основният процес се проверява чрез симулирана търговия (Paper Trading). В този режим сигналът преминава през същите проверки за уникалност, синхронизация, правила на стратегията и риск, но реална поръчка към борсата не се изпраща.</w:t>
      </w:r>
    </w:p>
    <w:p w14:paraId="7133826D"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Симулираният изпълнител създава позиция, изчислява комисиона и приплъзване и следи условията за затваряне спрямо пазарната цена. По този начин може да се провери цялата логика без използване на реални средства.</w:t>
      </w:r>
    </w:p>
    <w:p w14:paraId="601F8D2D"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Този режим е особено подходящ за контролирани end-to-end тестове, защото входният сигнал може да бъде зададен предварително, а очакваното състояние след всяка стъпка е известно.</w:t>
      </w:r>
    </w:p>
    <w:p w14:paraId="3577E1AC"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4.15. Контролиран тестов сценарий</w:t>
      </w:r>
    </w:p>
    <w:p w14:paraId="531953A8"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За да бъде практическата проверка повторяема, се използва контролиран тестов сигнал. Вместо да се чака случайно пазарно условие, помощен инструмент публикува валиден `TradeSignal` към Redis канала за търговски сигнали.</w:t>
      </w:r>
    </w:p>
    <w:p w14:paraId="0DAB3B83"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Сигналът има предварително известни параметри и уникален идентификатор. След това се проследява дали е приет, дали е разрешен от правилата на стратегията и риска, дали е създадена позиция и дали състоянието се вижда в уеб таблото.</w:t>
      </w:r>
    </w:p>
    <w:p w14:paraId="7D16BE25" w14:textId="7209502A" w:rsidR="004C59FC" w:rsidRPr="004C59FC" w:rsidRDefault="00E54707" w:rsidP="004C59FC">
      <w:pPr>
        <w:rPr>
          <w:rFonts w:cs="Times New Roman"/>
          <w:color w:val="000000" w:themeColor="text1"/>
          <w:szCs w:val="24"/>
          <w:lang w:val="bg-BG"/>
        </w:rPr>
      </w:pPr>
      <w:r>
        <w:rPr>
          <w:noProof/>
        </w:rPr>
        <w:drawing>
          <wp:anchor distT="0" distB="0" distL="114300" distR="114300" simplePos="0" relativeHeight="251662336" behindDoc="1" locked="0" layoutInCell="1" allowOverlap="1" wp14:anchorId="4840316B" wp14:editId="78FFD5A8">
            <wp:simplePos x="0" y="0"/>
            <wp:positionH relativeFrom="column">
              <wp:posOffset>-434340</wp:posOffset>
            </wp:positionH>
            <wp:positionV relativeFrom="paragraph">
              <wp:posOffset>359745</wp:posOffset>
            </wp:positionV>
            <wp:extent cx="6851650" cy="2880995"/>
            <wp:effectExtent l="0" t="0" r="6350" b="0"/>
            <wp:wrapTight wrapText="bothSides">
              <wp:wrapPolygon edited="0">
                <wp:start x="0" y="0"/>
                <wp:lineTo x="0" y="21424"/>
                <wp:lineTo x="21560" y="21424"/>
                <wp:lineTo x="21560" y="0"/>
                <wp:lineTo x="0" y="0"/>
              </wp:wrapPolygon>
            </wp:wrapTight>
            <wp:docPr id="660798894"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1650" cy="2880995"/>
                    </a:xfrm>
                    <a:prstGeom prst="rect">
                      <a:avLst/>
                    </a:prstGeom>
                    <a:noFill/>
                    <a:ln>
                      <a:noFill/>
                    </a:ln>
                  </pic:spPr>
                </pic:pic>
              </a:graphicData>
            </a:graphic>
            <wp14:sizeRelH relativeFrom="margin">
              <wp14:pctWidth>0</wp14:pctWidth>
            </wp14:sizeRelH>
          </wp:anchor>
        </w:drawing>
      </w:r>
      <w:r w:rsidR="004C59FC" w:rsidRPr="004C59FC">
        <w:rPr>
          <w:rFonts w:cs="Times New Roman"/>
          <w:color w:val="000000" w:themeColor="text1"/>
          <w:szCs w:val="24"/>
          <w:lang w:val="bg-BG"/>
        </w:rPr>
        <w:t>Фигура 4.3. Контролиран тест от сигнал до позиция</w:t>
      </w:r>
    </w:p>
    <w:p w14:paraId="724577DB" w14:textId="1BF71C67" w:rsidR="004C59FC" w:rsidRPr="004C59FC" w:rsidRDefault="004C59FC" w:rsidP="004C59FC">
      <w:pPr>
        <w:rPr>
          <w:rFonts w:cs="Times New Roman"/>
          <w:color w:val="000000" w:themeColor="text1"/>
          <w:szCs w:val="24"/>
          <w:lang w:val="bg-BG"/>
        </w:rPr>
      </w:pPr>
    </w:p>
    <w:p w14:paraId="6E140B43"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lastRenderedPageBreak/>
        <w:t>4.16. Историческо тестване като средство за проверка</w:t>
      </w:r>
    </w:p>
    <w:p w14:paraId="1200E92D"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Историческото тестване не е основният предмет на дипломната работа, а средство за проверка на поведението на двете избрани стратегии върху еднакви входни данни.</w:t>
      </w:r>
    </w:p>
    <w:p w14:paraId="47FE231D"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Използват се исторически пазарни свещи от Binance за предварително определен период. При повторно изпълнение със същите входни данни и същата конфигурация се очаква еднакъв резултат. Това позволява да се проверява детерминираността на логиката.</w:t>
      </w:r>
    </w:p>
    <w:p w14:paraId="7B95D91D"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При анализа могат да се използват показатели като реализиран PnL, максимален drawdown, процент успешни позиции и profit factor. Тези показатели служат за сравнение между конфигурации, а не за доказване на бъдеща доходност.</w:t>
      </w:r>
    </w:p>
    <w:p w14:paraId="3EB7159C"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4.17. Подпомагащи средства за наблюдение</w:t>
      </w:r>
    </w:p>
    <w:p w14:paraId="10C4E70E"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За наблюдение на разработката се използват уеб табло, health информация, heartbeat записи, alerts и audit. Тези компоненти не са самостоятелен изследователски фокус, а средство да се види дали основният търговски процес работи правилно.</w:t>
      </w:r>
    </w:p>
    <w:p w14:paraId="6CE0AE58"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Уеб таблото показва състояние на ботовете, сигнали, позиции, исторически резултати и здравето на основните услуги. При проблем може да се установи кой компонент е спрял да обновява състоянието си или коя операция е била блокирана.</w:t>
      </w:r>
    </w:p>
    <w:p w14:paraId="028D50E5"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4.18. Критерии за практическа верификация</w:t>
      </w:r>
    </w:p>
    <w:p w14:paraId="02651C77"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Успешната реализация се проверява чрез набор от предварително определени сценарии. По този начин оценката не се основава само на визуално наблюдение, а на конкретни очаквани резултати.</w:t>
      </w:r>
    </w:p>
    <w:tbl>
      <w:tblPr>
        <w:tblStyle w:val="TableGrid"/>
        <w:tblW w:w="0" w:type="auto"/>
        <w:jc w:val="center"/>
        <w:tblLook w:val="04A0" w:firstRow="1" w:lastRow="0" w:firstColumn="1" w:lastColumn="0" w:noHBand="0" w:noVBand="1"/>
      </w:tblPr>
      <w:tblGrid>
        <w:gridCol w:w="4698"/>
        <w:gridCol w:w="4698"/>
      </w:tblGrid>
      <w:tr w:rsidR="004C59FC" w:rsidRPr="004C59FC" w14:paraId="41B01A78" w14:textId="77777777" w:rsidTr="009C003C">
        <w:trPr>
          <w:jc w:val="center"/>
        </w:trPr>
        <w:tc>
          <w:tcPr>
            <w:tcW w:w="4703" w:type="dxa"/>
            <w:shd w:val="clear" w:color="auto" w:fill="E7EEF8"/>
          </w:tcPr>
          <w:p w14:paraId="7C01A858"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b/>
                <w:color w:val="000000" w:themeColor="text1"/>
                <w:sz w:val="24"/>
                <w:szCs w:val="24"/>
                <w:lang w:val="bg-BG"/>
              </w:rPr>
              <w:t>Сценарий</w:t>
            </w:r>
          </w:p>
        </w:tc>
        <w:tc>
          <w:tcPr>
            <w:tcW w:w="4703" w:type="dxa"/>
            <w:shd w:val="clear" w:color="auto" w:fill="E7EEF8"/>
          </w:tcPr>
          <w:p w14:paraId="66A421C3"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b/>
                <w:color w:val="000000" w:themeColor="text1"/>
                <w:sz w:val="24"/>
                <w:szCs w:val="24"/>
                <w:lang w:val="bg-BG"/>
              </w:rPr>
              <w:t>Очакван резултат</w:t>
            </w:r>
          </w:p>
        </w:tc>
      </w:tr>
      <w:tr w:rsidR="004C59FC" w:rsidRPr="004C59FC" w14:paraId="1A349733" w14:textId="77777777" w:rsidTr="009C003C">
        <w:trPr>
          <w:jc w:val="center"/>
        </w:trPr>
        <w:tc>
          <w:tcPr>
            <w:tcW w:w="4703" w:type="dxa"/>
          </w:tcPr>
          <w:p w14:paraId="1BF44543"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Повторен SignalId</w:t>
            </w:r>
          </w:p>
        </w:tc>
        <w:tc>
          <w:tcPr>
            <w:tcW w:w="4703" w:type="dxa"/>
          </w:tcPr>
          <w:p w14:paraId="0511E2C0"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Точно едно логическо изпълнение.</w:t>
            </w:r>
          </w:p>
        </w:tc>
      </w:tr>
      <w:tr w:rsidR="004C59FC" w:rsidRPr="004C59FC" w14:paraId="2BD406A2" w14:textId="77777777" w:rsidTr="009C003C">
        <w:trPr>
          <w:jc w:val="center"/>
        </w:trPr>
        <w:tc>
          <w:tcPr>
            <w:tcW w:w="4703" w:type="dxa"/>
          </w:tcPr>
          <w:p w14:paraId="6E9942E3"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Сигнал в период на изчакване</w:t>
            </w:r>
          </w:p>
        </w:tc>
        <w:tc>
          <w:tcPr>
            <w:tcW w:w="4703" w:type="dxa"/>
          </w:tcPr>
          <w:p w14:paraId="08A7E39F"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Новата позиция се блокира.</w:t>
            </w:r>
          </w:p>
        </w:tc>
      </w:tr>
      <w:tr w:rsidR="004C59FC" w:rsidRPr="004C59FC" w14:paraId="299AF181" w14:textId="77777777" w:rsidTr="009C003C">
        <w:trPr>
          <w:jc w:val="center"/>
        </w:trPr>
        <w:tc>
          <w:tcPr>
            <w:tcW w:w="4703" w:type="dxa"/>
          </w:tcPr>
          <w:p w14:paraId="000F2D5A"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Достигнат лимит на позиции</w:t>
            </w:r>
          </w:p>
        </w:tc>
        <w:tc>
          <w:tcPr>
            <w:tcW w:w="4703" w:type="dxa"/>
          </w:tcPr>
          <w:p w14:paraId="614B8785"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Стратегията или рискът отказва нов вход.</w:t>
            </w:r>
          </w:p>
        </w:tc>
      </w:tr>
      <w:tr w:rsidR="004C59FC" w:rsidRPr="004C59FC" w14:paraId="22ECC59B" w14:textId="77777777" w:rsidTr="009C003C">
        <w:trPr>
          <w:jc w:val="center"/>
        </w:trPr>
        <w:tc>
          <w:tcPr>
            <w:tcW w:w="4703" w:type="dxa"/>
          </w:tcPr>
          <w:p w14:paraId="382FB077"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Превишен рисков лимит</w:t>
            </w:r>
          </w:p>
        </w:tc>
        <w:tc>
          <w:tcPr>
            <w:tcW w:w="4703" w:type="dxa"/>
          </w:tcPr>
          <w:p w14:paraId="18918D77"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Сигналът не достига до изпълнение.</w:t>
            </w:r>
          </w:p>
        </w:tc>
      </w:tr>
      <w:tr w:rsidR="004C59FC" w:rsidRPr="004C59FC" w14:paraId="4BD1B6C1" w14:textId="77777777" w:rsidTr="009C003C">
        <w:trPr>
          <w:jc w:val="center"/>
        </w:trPr>
        <w:tc>
          <w:tcPr>
            <w:tcW w:w="4703" w:type="dxa"/>
          </w:tcPr>
          <w:p w14:paraId="706587B3"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Симулирана търговия</w:t>
            </w:r>
          </w:p>
        </w:tc>
        <w:tc>
          <w:tcPr>
            <w:tcW w:w="4703" w:type="dxa"/>
          </w:tcPr>
          <w:p w14:paraId="0213C74E"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Създава се една проследима позиция.</w:t>
            </w:r>
          </w:p>
        </w:tc>
      </w:tr>
      <w:tr w:rsidR="004C59FC" w:rsidRPr="004C59FC" w14:paraId="5853D374" w14:textId="77777777" w:rsidTr="009C003C">
        <w:trPr>
          <w:jc w:val="center"/>
        </w:trPr>
        <w:tc>
          <w:tcPr>
            <w:tcW w:w="4703" w:type="dxa"/>
          </w:tcPr>
          <w:p w14:paraId="475CE587"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Binance Demo</w:t>
            </w:r>
          </w:p>
        </w:tc>
        <w:tc>
          <w:tcPr>
            <w:tcW w:w="4703" w:type="dxa"/>
          </w:tcPr>
          <w:p w14:paraId="51DE4D99"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Създава се и се проследява демонстрационна поръчка.</w:t>
            </w:r>
          </w:p>
        </w:tc>
      </w:tr>
      <w:tr w:rsidR="004C59FC" w:rsidRPr="004C59FC" w14:paraId="6CDFF136" w14:textId="77777777" w:rsidTr="009C003C">
        <w:trPr>
          <w:jc w:val="center"/>
        </w:trPr>
        <w:tc>
          <w:tcPr>
            <w:tcW w:w="4703" w:type="dxa"/>
          </w:tcPr>
          <w:p w14:paraId="22E3E00F"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Затваряне на позиция</w:t>
            </w:r>
          </w:p>
        </w:tc>
        <w:tc>
          <w:tcPr>
            <w:tcW w:w="4703" w:type="dxa"/>
          </w:tcPr>
          <w:p w14:paraId="1B176DE7"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Локалното и външното състояние се синхронизират.</w:t>
            </w:r>
          </w:p>
        </w:tc>
      </w:tr>
      <w:tr w:rsidR="004C59FC" w:rsidRPr="004C59FC" w14:paraId="7F0E19E4" w14:textId="77777777" w:rsidTr="009C003C">
        <w:trPr>
          <w:jc w:val="center"/>
        </w:trPr>
        <w:tc>
          <w:tcPr>
            <w:tcW w:w="4703" w:type="dxa"/>
          </w:tcPr>
          <w:p w14:paraId="66358A98"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Контролирано прекъсване</w:t>
            </w:r>
          </w:p>
        </w:tc>
        <w:tc>
          <w:tcPr>
            <w:tcW w:w="4703" w:type="dxa"/>
          </w:tcPr>
          <w:p w14:paraId="2F12CB4D"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Състоянието се възстановява след сверяване.</w:t>
            </w:r>
          </w:p>
        </w:tc>
      </w:tr>
      <w:tr w:rsidR="004C59FC" w:rsidRPr="004C59FC" w14:paraId="45A00167" w14:textId="77777777" w:rsidTr="009C003C">
        <w:trPr>
          <w:jc w:val="center"/>
        </w:trPr>
        <w:tc>
          <w:tcPr>
            <w:tcW w:w="4703" w:type="dxa"/>
          </w:tcPr>
          <w:p w14:paraId="5B04469F"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Повторен исторически тест</w:t>
            </w:r>
          </w:p>
        </w:tc>
        <w:tc>
          <w:tcPr>
            <w:tcW w:w="4703" w:type="dxa"/>
          </w:tcPr>
          <w:p w14:paraId="4E163946"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Получава се детерминиран резултат.</w:t>
            </w:r>
          </w:p>
        </w:tc>
      </w:tr>
      <w:tr w:rsidR="004C59FC" w:rsidRPr="004C59FC" w14:paraId="3688F38C" w14:textId="77777777" w:rsidTr="009C003C">
        <w:trPr>
          <w:jc w:val="center"/>
        </w:trPr>
        <w:tc>
          <w:tcPr>
            <w:tcW w:w="4703" w:type="dxa"/>
          </w:tcPr>
          <w:p w14:paraId="2662B77E"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Наблюдение на услуги</w:t>
            </w:r>
          </w:p>
        </w:tc>
        <w:tc>
          <w:tcPr>
            <w:tcW w:w="4703" w:type="dxa"/>
          </w:tcPr>
          <w:p w14:paraId="342625E8"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Health/heartbeat отразяват текущото състояние.</w:t>
            </w:r>
          </w:p>
        </w:tc>
      </w:tr>
    </w:tbl>
    <w:p w14:paraId="3EF41987" w14:textId="77777777" w:rsidR="004C59FC" w:rsidRPr="004C59FC" w:rsidRDefault="004C59FC" w:rsidP="004C59FC">
      <w:pPr>
        <w:rPr>
          <w:rFonts w:cs="Times New Roman"/>
          <w:color w:val="000000" w:themeColor="text1"/>
          <w:szCs w:val="24"/>
          <w:lang w:val="bg-BG"/>
        </w:rPr>
      </w:pPr>
    </w:p>
    <w:p w14:paraId="35841773"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lastRenderedPageBreak/>
        <w:t>4.19. Места за реални изображения</w:t>
      </w:r>
    </w:p>
    <w:p w14:paraId="27847497"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След завършване на разгръщането и практическите тестове в тази глава могат да бъдат добавени няколко реални изображения. Те трябва да показват резултата от описаните сценарии, а не да дублират архитектурните диаграми.</w:t>
      </w:r>
    </w:p>
    <w:tbl>
      <w:tblPr>
        <w:tblStyle w:val="TableGrid"/>
        <w:tblW w:w="0" w:type="auto"/>
        <w:jc w:val="center"/>
        <w:tblLook w:val="04A0" w:firstRow="1" w:lastRow="0" w:firstColumn="1" w:lastColumn="0" w:noHBand="0" w:noVBand="1"/>
      </w:tblPr>
      <w:tblGrid>
        <w:gridCol w:w="4697"/>
        <w:gridCol w:w="4699"/>
      </w:tblGrid>
      <w:tr w:rsidR="004C59FC" w:rsidRPr="004C59FC" w14:paraId="7CC5796E" w14:textId="77777777" w:rsidTr="009C003C">
        <w:trPr>
          <w:jc w:val="center"/>
        </w:trPr>
        <w:tc>
          <w:tcPr>
            <w:tcW w:w="4703" w:type="dxa"/>
            <w:shd w:val="clear" w:color="auto" w:fill="E7EEF8"/>
          </w:tcPr>
          <w:p w14:paraId="1F798838"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b/>
                <w:color w:val="000000" w:themeColor="text1"/>
                <w:sz w:val="24"/>
                <w:szCs w:val="24"/>
                <w:lang w:val="bg-BG"/>
              </w:rPr>
              <w:t>Фигура</w:t>
            </w:r>
          </w:p>
        </w:tc>
        <w:tc>
          <w:tcPr>
            <w:tcW w:w="4703" w:type="dxa"/>
            <w:shd w:val="clear" w:color="auto" w:fill="E7EEF8"/>
          </w:tcPr>
          <w:p w14:paraId="146B8B23"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b/>
                <w:color w:val="000000" w:themeColor="text1"/>
                <w:sz w:val="24"/>
                <w:szCs w:val="24"/>
                <w:lang w:val="bg-BG"/>
              </w:rPr>
              <w:t>Съдържание</w:t>
            </w:r>
          </w:p>
        </w:tc>
      </w:tr>
      <w:tr w:rsidR="004C59FC" w:rsidRPr="004C59FC" w14:paraId="08A42FDD" w14:textId="77777777" w:rsidTr="009C003C">
        <w:trPr>
          <w:jc w:val="center"/>
        </w:trPr>
        <w:tc>
          <w:tcPr>
            <w:tcW w:w="4703" w:type="dxa"/>
          </w:tcPr>
          <w:p w14:paraId="3ED0683F"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Фиг. 4.4</w:t>
            </w:r>
          </w:p>
        </w:tc>
        <w:tc>
          <w:tcPr>
            <w:tcW w:w="4703" w:type="dxa"/>
          </w:tcPr>
          <w:p w14:paraId="5C3C1951"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Уеб табло със създаден контролиран сигнал и неговия SignalId.</w:t>
            </w:r>
          </w:p>
        </w:tc>
      </w:tr>
      <w:tr w:rsidR="004C59FC" w:rsidRPr="004C59FC" w14:paraId="04727706" w14:textId="77777777" w:rsidTr="009C003C">
        <w:trPr>
          <w:jc w:val="center"/>
        </w:trPr>
        <w:tc>
          <w:tcPr>
            <w:tcW w:w="4703" w:type="dxa"/>
          </w:tcPr>
          <w:p w14:paraId="1DCCF94B"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Фиг. 4.5</w:t>
            </w:r>
          </w:p>
        </w:tc>
        <w:tc>
          <w:tcPr>
            <w:tcW w:w="4703" w:type="dxa"/>
          </w:tcPr>
          <w:p w14:paraId="5B847B13"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Симулирана позиция след разрешен сигнал.</w:t>
            </w:r>
          </w:p>
        </w:tc>
      </w:tr>
      <w:tr w:rsidR="004C59FC" w:rsidRPr="004C59FC" w14:paraId="69088DE5" w14:textId="77777777" w:rsidTr="009C003C">
        <w:trPr>
          <w:jc w:val="center"/>
        </w:trPr>
        <w:tc>
          <w:tcPr>
            <w:tcW w:w="4703" w:type="dxa"/>
          </w:tcPr>
          <w:p w14:paraId="364CE2F8"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Фиг. 4.6</w:t>
            </w:r>
          </w:p>
        </w:tc>
        <w:tc>
          <w:tcPr>
            <w:tcW w:w="4703" w:type="dxa"/>
          </w:tcPr>
          <w:p w14:paraId="3EAC0A01"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Binance Demo позиция и защитни поръчки.</w:t>
            </w:r>
          </w:p>
        </w:tc>
      </w:tr>
      <w:tr w:rsidR="004C59FC" w:rsidRPr="004C59FC" w14:paraId="45241FAB" w14:textId="77777777" w:rsidTr="009C003C">
        <w:trPr>
          <w:jc w:val="center"/>
        </w:trPr>
        <w:tc>
          <w:tcPr>
            <w:tcW w:w="4703" w:type="dxa"/>
          </w:tcPr>
          <w:p w14:paraId="0838799D"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Фиг. 4.7</w:t>
            </w:r>
          </w:p>
        </w:tc>
        <w:tc>
          <w:tcPr>
            <w:tcW w:w="4703" w:type="dxa"/>
          </w:tcPr>
          <w:p w14:paraId="799E3354"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Резултат от историческо тестване на една от двете стратегии.</w:t>
            </w:r>
          </w:p>
        </w:tc>
      </w:tr>
      <w:tr w:rsidR="004C59FC" w:rsidRPr="004C59FC" w14:paraId="49C81F5B" w14:textId="77777777" w:rsidTr="009C003C">
        <w:trPr>
          <w:jc w:val="center"/>
        </w:trPr>
        <w:tc>
          <w:tcPr>
            <w:tcW w:w="4703" w:type="dxa"/>
          </w:tcPr>
          <w:p w14:paraId="15DFAA3B"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Фиг. 4.8</w:t>
            </w:r>
          </w:p>
        </w:tc>
        <w:tc>
          <w:tcPr>
            <w:tcW w:w="4703" w:type="dxa"/>
          </w:tcPr>
          <w:p w14:paraId="40925B5F" w14:textId="77777777" w:rsidR="004C59FC" w:rsidRPr="004C59FC" w:rsidRDefault="004C59FC" w:rsidP="009C003C">
            <w:pPr>
              <w:spacing w:line="240" w:lineRule="auto"/>
              <w:rPr>
                <w:rFonts w:cs="Times New Roman"/>
                <w:color w:val="000000" w:themeColor="text1"/>
                <w:sz w:val="24"/>
                <w:szCs w:val="24"/>
                <w:lang w:val="bg-BG"/>
              </w:rPr>
            </w:pPr>
            <w:r w:rsidRPr="004C59FC">
              <w:rPr>
                <w:rFonts w:cs="Times New Roman"/>
                <w:color w:val="000000" w:themeColor="text1"/>
                <w:sz w:val="24"/>
                <w:szCs w:val="24"/>
                <w:lang w:val="bg-BG"/>
              </w:rPr>
              <w:t>Health/heartbeat изглед след контролирано прекъсване и възстановяване.</w:t>
            </w:r>
          </w:p>
        </w:tc>
      </w:tr>
    </w:tbl>
    <w:p w14:paraId="1D67C9B7" w14:textId="77777777" w:rsidR="004C59FC" w:rsidRPr="004C59FC" w:rsidRDefault="004C59FC" w:rsidP="004C59FC">
      <w:pPr>
        <w:rPr>
          <w:rFonts w:cs="Times New Roman"/>
          <w:color w:val="000000" w:themeColor="text1"/>
          <w:szCs w:val="24"/>
          <w:lang w:val="bg-BG"/>
        </w:rPr>
      </w:pPr>
    </w:p>
    <w:p w14:paraId="31B23B49" w14:textId="77777777" w:rsidR="004C59FC" w:rsidRPr="004C59FC" w:rsidRDefault="004C59FC" w:rsidP="004C59FC">
      <w:pPr>
        <w:pStyle w:val="Heading2"/>
        <w:rPr>
          <w:rFonts w:ascii="Times New Roman" w:hAnsi="Times New Roman" w:cs="Times New Roman"/>
          <w:color w:val="000000" w:themeColor="text1"/>
          <w:sz w:val="24"/>
          <w:szCs w:val="24"/>
          <w:lang w:val="bg-BG"/>
        </w:rPr>
      </w:pPr>
      <w:r w:rsidRPr="004C59FC">
        <w:rPr>
          <w:rFonts w:ascii="Times New Roman" w:hAnsi="Times New Roman" w:cs="Times New Roman"/>
          <w:color w:val="000000" w:themeColor="text1"/>
          <w:sz w:val="24"/>
          <w:szCs w:val="24"/>
          <w:lang w:val="bg-BG"/>
        </w:rPr>
        <w:t>4.20. Обобщение</w:t>
      </w:r>
    </w:p>
    <w:p w14:paraId="1D993624"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Реализацията е съсредоточена върху надеждното преминаване на търговски сигнал до позиция и последващото поддържане на нейното състояние. Основните защитни механизми са предотвратяване на повторно изпълнение, синхронизация на едновременни операции, проверка на правилата на стратегията, централизирано управление на риска и сверяване на локалното състояние с борсата.</w:t>
      </w:r>
    </w:p>
    <w:p w14:paraId="19BEB5A8"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Двете представителни стратегии позволяват да бъдат проверени различни жизнени цикли, без обхватът на дипломната работа да се разширява към пълно изследване на всички налични ботове. Симулираната търговия, Binance Demo, историческото тестване и уеб таблото служат като средства за верификация на основния процес.</w:t>
      </w:r>
    </w:p>
    <w:p w14:paraId="444BB8CF" w14:textId="77777777" w:rsidR="004C59FC" w:rsidRPr="004C59FC" w:rsidRDefault="004C59FC" w:rsidP="004C59FC">
      <w:pPr>
        <w:rPr>
          <w:rFonts w:cs="Times New Roman"/>
          <w:color w:val="000000" w:themeColor="text1"/>
          <w:szCs w:val="24"/>
          <w:lang w:val="bg-BG"/>
        </w:rPr>
      </w:pPr>
      <w:r w:rsidRPr="004C59FC">
        <w:rPr>
          <w:rFonts w:cs="Times New Roman"/>
          <w:color w:val="000000" w:themeColor="text1"/>
          <w:szCs w:val="24"/>
          <w:lang w:val="bg-BG"/>
        </w:rPr>
        <w:t>По този начин приносът на разработката е насочен не към създаване на още една търговска стратегия, а към инженерно решение за надеждно, контролирано и наблюдаемо изпълнение на сигнали в асинхронна среда.</w:t>
      </w:r>
    </w:p>
    <w:p w14:paraId="334A96EB" w14:textId="77777777" w:rsidR="00CD06A8" w:rsidRPr="004C59FC" w:rsidRDefault="00CD06A8" w:rsidP="00830EDE">
      <w:pPr>
        <w:rPr>
          <w:rFonts w:cs="Times New Roman"/>
          <w:color w:val="000000" w:themeColor="text1"/>
          <w:szCs w:val="24"/>
          <w:lang w:val="bg-BG"/>
        </w:rPr>
      </w:pPr>
    </w:p>
    <w:sectPr w:rsidR="00CD06A8" w:rsidRPr="004C59FC" w:rsidSect="00A14E5F">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2E0B6D8"/>
    <w:lvl w:ilvl="0">
      <w:start w:val="1"/>
      <w:numFmt w:val="bullet"/>
      <w:pStyle w:val="ListBullet"/>
      <w:lvlText w:val=""/>
      <w:lvlJc w:val="left"/>
      <w:pPr>
        <w:tabs>
          <w:tab w:val="num" w:pos="360"/>
        </w:tabs>
        <w:ind w:left="360" w:hanging="360"/>
      </w:pPr>
      <w:rPr>
        <w:rFonts w:ascii="Symbol" w:hAnsi="Symbol" w:hint="default"/>
      </w:rPr>
    </w:lvl>
  </w:abstractNum>
  <w:num w:numId="1" w16cid:durableId="389428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E5F"/>
    <w:rsid w:val="00012280"/>
    <w:rsid w:val="000625F4"/>
    <w:rsid w:val="00114BBE"/>
    <w:rsid w:val="002E78FE"/>
    <w:rsid w:val="004C59FC"/>
    <w:rsid w:val="00533818"/>
    <w:rsid w:val="00713430"/>
    <w:rsid w:val="00830EDE"/>
    <w:rsid w:val="00A14E5F"/>
    <w:rsid w:val="00A47FE9"/>
    <w:rsid w:val="00A75443"/>
    <w:rsid w:val="00CD06A8"/>
    <w:rsid w:val="00D87DA4"/>
    <w:rsid w:val="00E54707"/>
    <w:rsid w:val="00EB6896"/>
    <w:rsid w:val="00EE41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0D34E"/>
  <w15:chartTrackingRefBased/>
  <w15:docId w15:val="{44F52473-3EF4-4DA7-9417-481CDBD1F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E5F"/>
    <w:pPr>
      <w:spacing w:after="0" w:line="276" w:lineRule="auto"/>
      <w:ind w:firstLine="709"/>
      <w:jc w:val="both"/>
    </w:pPr>
    <w:rPr>
      <w:rFonts w:ascii="Times New Roman" w:eastAsia="Times New Roman" w:hAnsi="Times New Roman"/>
      <w:kern w:val="0"/>
      <w:szCs w:val="22"/>
      <w14:ligatures w14:val="none"/>
    </w:rPr>
  </w:style>
  <w:style w:type="paragraph" w:styleId="Heading1">
    <w:name w:val="heading 1"/>
    <w:basedOn w:val="Normal"/>
    <w:next w:val="Normal"/>
    <w:link w:val="Heading1Char"/>
    <w:uiPriority w:val="9"/>
    <w:qFormat/>
    <w:rsid w:val="00A14E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4E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4E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4E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4E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4E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E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E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E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E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4E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4E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4E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4E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4E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E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E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E5F"/>
    <w:rPr>
      <w:rFonts w:eastAsiaTheme="majorEastAsia" w:cstheme="majorBidi"/>
      <w:color w:val="272727" w:themeColor="text1" w:themeTint="D8"/>
    </w:rPr>
  </w:style>
  <w:style w:type="paragraph" w:styleId="Title">
    <w:name w:val="Title"/>
    <w:basedOn w:val="Normal"/>
    <w:next w:val="Normal"/>
    <w:link w:val="TitleChar"/>
    <w:uiPriority w:val="10"/>
    <w:qFormat/>
    <w:rsid w:val="00A14E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E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E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E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E5F"/>
    <w:pPr>
      <w:spacing w:before="160"/>
      <w:jc w:val="center"/>
    </w:pPr>
    <w:rPr>
      <w:i/>
      <w:iCs/>
      <w:color w:val="404040" w:themeColor="text1" w:themeTint="BF"/>
    </w:rPr>
  </w:style>
  <w:style w:type="character" w:customStyle="1" w:styleId="QuoteChar">
    <w:name w:val="Quote Char"/>
    <w:basedOn w:val="DefaultParagraphFont"/>
    <w:link w:val="Quote"/>
    <w:uiPriority w:val="29"/>
    <w:rsid w:val="00A14E5F"/>
    <w:rPr>
      <w:i/>
      <w:iCs/>
      <w:color w:val="404040" w:themeColor="text1" w:themeTint="BF"/>
    </w:rPr>
  </w:style>
  <w:style w:type="paragraph" w:styleId="ListParagraph">
    <w:name w:val="List Paragraph"/>
    <w:basedOn w:val="Normal"/>
    <w:uiPriority w:val="34"/>
    <w:qFormat/>
    <w:rsid w:val="00A14E5F"/>
    <w:pPr>
      <w:ind w:left="720"/>
      <w:contextualSpacing/>
    </w:pPr>
  </w:style>
  <w:style w:type="character" w:styleId="IntenseEmphasis">
    <w:name w:val="Intense Emphasis"/>
    <w:basedOn w:val="DefaultParagraphFont"/>
    <w:uiPriority w:val="21"/>
    <w:qFormat/>
    <w:rsid w:val="00A14E5F"/>
    <w:rPr>
      <w:i/>
      <w:iCs/>
      <w:color w:val="0F4761" w:themeColor="accent1" w:themeShade="BF"/>
    </w:rPr>
  </w:style>
  <w:style w:type="paragraph" w:styleId="IntenseQuote">
    <w:name w:val="Intense Quote"/>
    <w:basedOn w:val="Normal"/>
    <w:next w:val="Normal"/>
    <w:link w:val="IntenseQuoteChar"/>
    <w:uiPriority w:val="30"/>
    <w:qFormat/>
    <w:rsid w:val="00A14E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4E5F"/>
    <w:rPr>
      <w:i/>
      <w:iCs/>
      <w:color w:val="0F4761" w:themeColor="accent1" w:themeShade="BF"/>
    </w:rPr>
  </w:style>
  <w:style w:type="character" w:styleId="IntenseReference">
    <w:name w:val="Intense Reference"/>
    <w:basedOn w:val="DefaultParagraphFont"/>
    <w:uiPriority w:val="32"/>
    <w:qFormat/>
    <w:rsid w:val="00A14E5F"/>
    <w:rPr>
      <w:b/>
      <w:bCs/>
      <w:smallCaps/>
      <w:color w:val="0F4761" w:themeColor="accent1" w:themeShade="BF"/>
      <w:spacing w:val="5"/>
    </w:rPr>
  </w:style>
  <w:style w:type="paragraph" w:styleId="ListBullet">
    <w:name w:val="List Bullet"/>
    <w:basedOn w:val="Normal"/>
    <w:uiPriority w:val="99"/>
    <w:unhideWhenUsed/>
    <w:rsid w:val="00A14E5F"/>
    <w:pPr>
      <w:numPr>
        <w:numId w:val="1"/>
      </w:numPr>
      <w:tabs>
        <w:tab w:val="clear" w:pos="360"/>
      </w:tabs>
      <w:ind w:left="0" w:firstLine="0"/>
      <w:contextualSpacing/>
    </w:pPr>
  </w:style>
  <w:style w:type="table" w:styleId="TableGrid">
    <w:name w:val="Table Grid"/>
    <w:basedOn w:val="TableNormal"/>
    <w:uiPriority w:val="59"/>
    <w:rsid w:val="00830ED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1265</TotalTime>
  <Pages>29</Pages>
  <Words>8484</Words>
  <Characters>48363</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Yoana Yotova</dc:creator>
  <cp:keywords/>
  <dc:description/>
  <cp:lastModifiedBy>Yoana Yotova</cp:lastModifiedBy>
  <cp:revision>3</cp:revision>
  <dcterms:created xsi:type="dcterms:W3CDTF">2026-09-08T22:00:00Z</dcterms:created>
  <dcterms:modified xsi:type="dcterms:W3CDTF">2026-09-09T19:06:00Z</dcterms:modified>
</cp:coreProperties>
</file>