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2209A" w14:textId="77777777" w:rsidR="0093446A" w:rsidRPr="00351FDD" w:rsidRDefault="00A9168D">
      <w:pPr>
        <w:spacing w:after="159" w:line="259" w:lineRule="auto"/>
        <w:ind w:left="0" w:right="6" w:firstLine="0"/>
        <w:jc w:val="center"/>
        <w:rPr>
          <w:lang w:val="es-MX"/>
        </w:rPr>
      </w:pPr>
      <w:bookmarkStart w:id="0" w:name="_GoBack"/>
      <w:bookmarkEnd w:id="0"/>
      <w:r w:rsidRPr="00351FDD">
        <w:rPr>
          <w:b/>
          <w:lang w:val="es-MX"/>
        </w:rPr>
        <w:t xml:space="preserve">RLM </w:t>
      </w:r>
    </w:p>
    <w:p w14:paraId="747C32F2" w14:textId="0A53A0CE" w:rsidR="0093446A" w:rsidRPr="00351FDD" w:rsidRDefault="00A9168D" w:rsidP="00CF646B">
      <w:pPr>
        <w:spacing w:after="158"/>
        <w:ind w:left="0" w:right="-9" w:firstLine="0"/>
        <w:rPr>
          <w:lang w:val="es-MX"/>
        </w:rPr>
      </w:pPr>
      <w:r w:rsidRPr="00351FDD">
        <w:rPr>
          <w:lang w:val="es-MX"/>
        </w:rPr>
        <w:t xml:space="preserve">En la lectura de regresión lineal múltiple (RLM) se introdujeron ciertos </w:t>
      </w:r>
      <w:proofErr w:type="gramStart"/>
      <w:r w:rsidRPr="00351FDD">
        <w:rPr>
          <w:lang w:val="es-MX"/>
        </w:rPr>
        <w:t>pre requisitos</w:t>
      </w:r>
      <w:proofErr w:type="gramEnd"/>
      <w:r w:rsidRPr="00351FDD">
        <w:rPr>
          <w:lang w:val="es-MX"/>
        </w:rPr>
        <w:t xml:space="preserve"> </w:t>
      </w:r>
      <w:r w:rsidRPr="00351FDD">
        <w:rPr>
          <w:lang w:val="es-MX"/>
        </w:rPr>
        <w:t xml:space="preserve">para garantizar que un RLM de buenos resultados. Para la tarea realiza una investigación complementando los dos conceptos que se omitieron en la lectura. </w:t>
      </w:r>
    </w:p>
    <w:p w14:paraId="31DCE8BB" w14:textId="2C2A2C94" w:rsidR="00CF646B" w:rsidRPr="00CF646B" w:rsidRDefault="00A9168D" w:rsidP="00CF646B">
      <w:pPr>
        <w:numPr>
          <w:ilvl w:val="0"/>
          <w:numId w:val="1"/>
        </w:numPr>
        <w:ind w:right="-9" w:hanging="360"/>
        <w:rPr>
          <w:color w:val="4472C4" w:themeColor="accent1"/>
          <w:lang w:val="es-MX"/>
        </w:rPr>
      </w:pPr>
      <w:r w:rsidRPr="00CF646B">
        <w:rPr>
          <w:color w:val="4472C4" w:themeColor="accent1"/>
          <w:lang w:val="es-MX"/>
        </w:rPr>
        <w:t>Investiga el concepto de Homocedasticidad en el contexto de una RLM (adjunta la referencia de dónde</w:t>
      </w:r>
      <w:r w:rsidRPr="00CF646B">
        <w:rPr>
          <w:color w:val="4472C4" w:themeColor="accent1"/>
          <w:lang w:val="es-MX"/>
        </w:rPr>
        <w:t xml:space="preserve"> obtuviste esta respuesta).  </w:t>
      </w:r>
    </w:p>
    <w:p w14:paraId="68FCEE06" w14:textId="73911D7F" w:rsidR="00CF646B" w:rsidRPr="00CF646B" w:rsidRDefault="00CF646B" w:rsidP="00CF646B">
      <w:pPr>
        <w:ind w:left="705" w:right="-9" w:firstLine="0"/>
        <w:rPr>
          <w:lang w:val="es-MX"/>
        </w:rPr>
      </w:pPr>
      <w:r w:rsidRPr="00CF646B">
        <w:rPr>
          <w:lang w:val="es-MX"/>
        </w:rPr>
        <w:t>La homocedasticidad describe una situación en la que el término de error (es decir, el "ruido" o la perturbación aleatoria en la relación entre las variables independientes y la variable dependiente) es el mismo en todos los valores de las variables independientes. La heterocedasticidad (la violación de la homocedasticidad) está presente cuando el tamaño del término de error difiere entre los valores de una variable independiente. El impacto de violar el supuesto de homocedasticidad es una cuestión de grado, que aumenta a medida que aumenta la heterocedasticidad</w:t>
      </w:r>
      <w:r w:rsidR="00E64473">
        <w:rPr>
          <w:lang w:val="es-MX"/>
        </w:rPr>
        <w:t xml:space="preserve"> </w:t>
      </w:r>
      <w:sdt>
        <w:sdtPr>
          <w:rPr>
            <w:lang w:val="es-MX"/>
          </w:rPr>
          <w:id w:val="-1711646283"/>
          <w:citation/>
        </w:sdtPr>
        <w:sdtContent>
          <w:r w:rsidR="00E64473">
            <w:rPr>
              <w:lang w:val="es-MX"/>
            </w:rPr>
            <w:fldChar w:fldCharType="begin"/>
          </w:r>
          <w:r w:rsidR="00E64473">
            <w:rPr>
              <w:lang w:val="es-MX"/>
            </w:rPr>
            <w:instrText xml:space="preserve"> CITATION homoscedasticity---statistics-solutions \l 2058 </w:instrText>
          </w:r>
          <w:r w:rsidR="00E64473">
            <w:rPr>
              <w:lang w:val="es-MX"/>
            </w:rPr>
            <w:fldChar w:fldCharType="separate"/>
          </w:r>
          <w:r w:rsidR="009C6C07" w:rsidRPr="009C6C07">
            <w:rPr>
              <w:noProof/>
              <w:lang w:val="es-MX"/>
            </w:rPr>
            <w:t>[1]</w:t>
          </w:r>
          <w:r w:rsidR="00E64473">
            <w:rPr>
              <w:lang w:val="es-MX"/>
            </w:rPr>
            <w:fldChar w:fldCharType="end"/>
          </w:r>
        </w:sdtContent>
      </w:sdt>
      <w:r w:rsidRPr="00CF646B">
        <w:rPr>
          <w:lang w:val="es-MX"/>
        </w:rPr>
        <w:t>.</w:t>
      </w:r>
    </w:p>
    <w:p w14:paraId="2D9148B7" w14:textId="63D2E4B5" w:rsidR="0093446A" w:rsidRPr="00CF646B" w:rsidRDefault="00A9168D" w:rsidP="00777299">
      <w:pPr>
        <w:numPr>
          <w:ilvl w:val="0"/>
          <w:numId w:val="1"/>
        </w:numPr>
        <w:ind w:right="-9" w:hanging="360"/>
        <w:rPr>
          <w:color w:val="4472C4" w:themeColor="accent1"/>
          <w:lang w:val="es-MX"/>
        </w:rPr>
      </w:pPr>
      <w:r w:rsidRPr="00CF646B">
        <w:rPr>
          <w:color w:val="4472C4" w:themeColor="accent1"/>
          <w:lang w:val="es-MX"/>
        </w:rPr>
        <w:t xml:space="preserve">Investiga los términos de correlación y covarianza, incluye cuáles son las fórmulas para calcularlas, menciona qué indican los valores de correlación y covarianza respecto a un set de datos. </w:t>
      </w:r>
    </w:p>
    <w:p w14:paraId="10763874" w14:textId="2D4E5AD8" w:rsidR="00CC3C7E" w:rsidRDefault="00CC3C7E" w:rsidP="00777299">
      <w:pPr>
        <w:ind w:left="705" w:right="-9" w:firstLine="0"/>
        <w:rPr>
          <w:lang w:val="es-MX"/>
        </w:rPr>
      </w:pPr>
      <w:r w:rsidRPr="00CC3C7E">
        <w:rPr>
          <w:lang w:val="es-MX"/>
        </w:rPr>
        <w:t>La correlación muestra la fuerza de una relación entre dos variables y se expresa numéricamente por el coeficiente de correlación. Los valores del coeficiente de correlación oscilan entre -1.0 y 1.0. Una correlación positiva perfecta significa que el coeficiente de correlación es exactamente 1. Esto implica que a medida que una seguridad se mueve, ya sea hacia arriba o hacia abajo, la otra seguridad se mueve en el mismo paso, en la misma dirección. Una correlación negativa perfecta significa que dos activos se mueven en direcciones opuestas, mientras que una correlación cero no implica ninguna relación lineal</w:t>
      </w:r>
      <w:sdt>
        <w:sdtPr>
          <w:rPr>
            <w:lang w:val="es-MX"/>
          </w:rPr>
          <w:id w:val="1968084371"/>
          <w:citation/>
        </w:sdtPr>
        <w:sdtContent>
          <w:r w:rsidR="0009331D">
            <w:rPr>
              <w:lang w:val="es-MX"/>
            </w:rPr>
            <w:fldChar w:fldCharType="begin"/>
          </w:r>
          <w:r w:rsidR="0009331D">
            <w:rPr>
              <w:lang w:val="es-MX"/>
            </w:rPr>
            <w:instrText xml:space="preserve"> CITATION correlation-definition \l 2058 </w:instrText>
          </w:r>
          <w:r w:rsidR="0009331D">
            <w:rPr>
              <w:lang w:val="es-MX"/>
            </w:rPr>
            <w:fldChar w:fldCharType="separate"/>
          </w:r>
          <w:r w:rsidR="009C6C07">
            <w:rPr>
              <w:noProof/>
              <w:lang w:val="es-MX"/>
            </w:rPr>
            <w:t xml:space="preserve"> </w:t>
          </w:r>
          <w:r w:rsidR="009C6C07" w:rsidRPr="009C6C07">
            <w:rPr>
              <w:noProof/>
              <w:lang w:val="es-MX"/>
            </w:rPr>
            <w:t>[2]</w:t>
          </w:r>
          <w:r w:rsidR="0009331D">
            <w:rPr>
              <w:lang w:val="es-MX"/>
            </w:rPr>
            <w:fldChar w:fldCharType="end"/>
          </w:r>
        </w:sdtContent>
      </w:sdt>
      <w:r w:rsidRPr="00CC3C7E">
        <w:rPr>
          <w:lang w:val="es-MX"/>
        </w:rPr>
        <w:t>.</w:t>
      </w:r>
    </w:p>
    <w:p w14:paraId="34F6C41F" w14:textId="501408EC" w:rsidR="00E64473" w:rsidRDefault="00634E9B" w:rsidP="00E64473">
      <w:pPr>
        <w:ind w:left="705" w:right="-9" w:firstLine="0"/>
        <w:jc w:val="center"/>
        <w:rPr>
          <w:lang w:val="es-MX"/>
        </w:rPr>
      </w:pPr>
      <w:r w:rsidRPr="00634E9B">
        <w:rPr>
          <w:lang w:val="es-MX"/>
        </w:rPr>
        <w:drawing>
          <wp:inline distT="0" distB="0" distL="0" distR="0" wp14:anchorId="522712B7" wp14:editId="0DC17A2F">
            <wp:extent cx="2857500" cy="144167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8443" cy="1457290"/>
                    </a:xfrm>
                    <a:prstGeom prst="rect">
                      <a:avLst/>
                    </a:prstGeom>
                  </pic:spPr>
                </pic:pic>
              </a:graphicData>
            </a:graphic>
          </wp:inline>
        </w:drawing>
      </w:r>
    </w:p>
    <w:p w14:paraId="2C9CE2E0" w14:textId="72C2F107" w:rsidR="00777299" w:rsidRDefault="00D45025" w:rsidP="003F7642">
      <w:pPr>
        <w:ind w:left="705" w:right="-9" w:firstLine="0"/>
        <w:rPr>
          <w:lang w:val="es-MX"/>
        </w:rPr>
      </w:pPr>
      <w:r w:rsidRPr="00D45025">
        <w:rPr>
          <w:lang w:val="es-MX"/>
        </w:rPr>
        <w:t>La covarianza evalúa cómo los valores medios de dos variables se mueven juntos. Si el rendimiento de la acción A aumenta cuando el rendimiento de la acción B aumenta y se encuentra la misma relación cuando el rendimiento de cada acción disminuye, entonces se dice que estas acciones tienen una covarianza positiva. En finanzas, las covarianzas se calculan para ayudar a diversificar las tenencias de seguridad</w:t>
      </w:r>
      <w:r w:rsidR="0009331D">
        <w:rPr>
          <w:lang w:val="es-MX"/>
        </w:rPr>
        <w:t xml:space="preserve"> </w:t>
      </w:r>
      <w:sdt>
        <w:sdtPr>
          <w:rPr>
            <w:lang w:val="es-MX"/>
          </w:rPr>
          <w:id w:val="1273666154"/>
          <w:citation/>
        </w:sdtPr>
        <w:sdtContent>
          <w:r w:rsidR="0009331D">
            <w:rPr>
              <w:lang w:val="es-MX"/>
            </w:rPr>
            <w:fldChar w:fldCharType="begin"/>
          </w:r>
          <w:r w:rsidR="0009331D">
            <w:rPr>
              <w:lang w:val="es-MX"/>
            </w:rPr>
            <w:instrText xml:space="preserve"> CITATION covariance-definition \l 2058 </w:instrText>
          </w:r>
          <w:r w:rsidR="0009331D">
            <w:rPr>
              <w:lang w:val="es-MX"/>
            </w:rPr>
            <w:fldChar w:fldCharType="separate"/>
          </w:r>
          <w:r w:rsidR="009C6C07" w:rsidRPr="009C6C07">
            <w:rPr>
              <w:noProof/>
              <w:lang w:val="es-MX"/>
            </w:rPr>
            <w:t>[3]</w:t>
          </w:r>
          <w:r w:rsidR="0009331D">
            <w:rPr>
              <w:lang w:val="es-MX"/>
            </w:rPr>
            <w:fldChar w:fldCharType="end"/>
          </w:r>
        </w:sdtContent>
      </w:sdt>
      <w:r w:rsidRPr="00D45025">
        <w:rPr>
          <w:lang w:val="es-MX"/>
        </w:rPr>
        <w:t>.</w:t>
      </w:r>
    </w:p>
    <w:p w14:paraId="062011EA" w14:textId="410D9ABB" w:rsidR="003F7642" w:rsidRPr="00CC3C7E" w:rsidRDefault="003F7642" w:rsidP="003F7642">
      <w:pPr>
        <w:ind w:left="705" w:right="-9" w:firstLine="0"/>
        <w:jc w:val="center"/>
        <w:rPr>
          <w:lang w:val="es-MX"/>
        </w:rPr>
      </w:pPr>
      <w:r w:rsidRPr="003F7642">
        <w:rPr>
          <w:lang w:val="es-MX"/>
        </w:rPr>
        <w:lastRenderedPageBreak/>
        <w:drawing>
          <wp:inline distT="0" distB="0" distL="0" distR="0" wp14:anchorId="41F5C4E3" wp14:editId="68F55903">
            <wp:extent cx="4419600" cy="267743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8288" cy="2682694"/>
                    </a:xfrm>
                    <a:prstGeom prst="rect">
                      <a:avLst/>
                    </a:prstGeom>
                  </pic:spPr>
                </pic:pic>
              </a:graphicData>
            </a:graphic>
          </wp:inline>
        </w:drawing>
      </w:r>
    </w:p>
    <w:p w14:paraId="399F6002" w14:textId="77777777" w:rsidR="0093446A" w:rsidRPr="00CF646B" w:rsidRDefault="00A9168D">
      <w:pPr>
        <w:numPr>
          <w:ilvl w:val="0"/>
          <w:numId w:val="1"/>
        </w:numPr>
        <w:ind w:right="-9" w:hanging="360"/>
        <w:rPr>
          <w:color w:val="4472C4" w:themeColor="accent1"/>
          <w:lang w:val="es-MX"/>
        </w:rPr>
      </w:pPr>
      <w:r w:rsidRPr="00CF646B">
        <w:rPr>
          <w:color w:val="4472C4" w:themeColor="accent1"/>
          <w:lang w:val="es-MX"/>
        </w:rPr>
        <w:t xml:space="preserve">La siguiente tabla indica la </w:t>
      </w:r>
      <w:r w:rsidRPr="00CF646B">
        <w:rPr>
          <w:color w:val="4472C4" w:themeColor="accent1"/>
          <w:lang w:val="es-MX"/>
        </w:rPr>
        <w:t xml:space="preserve">relación entre las especificaciones de una tarjeta RAM y su precio, calcula la covarianza y la correlación.  </w:t>
      </w:r>
    </w:p>
    <w:p w14:paraId="32330A2A" w14:textId="77777777" w:rsidR="0093446A" w:rsidRPr="00351FDD" w:rsidRDefault="00A9168D">
      <w:pPr>
        <w:spacing w:line="259" w:lineRule="auto"/>
        <w:ind w:left="720" w:firstLine="0"/>
        <w:jc w:val="left"/>
        <w:rPr>
          <w:lang w:val="es-MX"/>
        </w:rPr>
      </w:pPr>
      <w:r w:rsidRPr="00351FDD">
        <w:rPr>
          <w:lang w:val="es-MX"/>
        </w:rPr>
        <w:t xml:space="preserve"> </w:t>
      </w:r>
    </w:p>
    <w:tbl>
      <w:tblPr>
        <w:tblStyle w:val="TableGrid"/>
        <w:tblW w:w="8632" w:type="dxa"/>
        <w:tblInd w:w="725" w:type="dxa"/>
        <w:tblCellMar>
          <w:top w:w="53" w:type="dxa"/>
          <w:left w:w="108" w:type="dxa"/>
          <w:bottom w:w="0" w:type="dxa"/>
          <w:right w:w="115" w:type="dxa"/>
        </w:tblCellMar>
        <w:tblLook w:val="04A0" w:firstRow="1" w:lastRow="0" w:firstColumn="1" w:lastColumn="0" w:noHBand="0" w:noVBand="1"/>
      </w:tblPr>
      <w:tblGrid>
        <w:gridCol w:w="4315"/>
        <w:gridCol w:w="4333"/>
      </w:tblGrid>
      <w:tr w:rsidR="0093446A" w14:paraId="021FAE3E" w14:textId="77777777" w:rsidTr="00A41CA7">
        <w:trPr>
          <w:trHeight w:val="305"/>
        </w:trPr>
        <w:tc>
          <w:tcPr>
            <w:tcW w:w="4307" w:type="dxa"/>
            <w:tcBorders>
              <w:top w:val="single" w:sz="4" w:space="0" w:color="000000"/>
              <w:left w:val="single" w:sz="4" w:space="0" w:color="000000"/>
              <w:bottom w:val="single" w:sz="4" w:space="0" w:color="000000"/>
              <w:right w:val="single" w:sz="4" w:space="0" w:color="000000"/>
            </w:tcBorders>
          </w:tcPr>
          <w:p w14:paraId="6B19B423" w14:textId="77777777" w:rsidR="0093446A" w:rsidRDefault="00A9168D">
            <w:pPr>
              <w:spacing w:line="259" w:lineRule="auto"/>
              <w:ind w:left="0" w:firstLine="0"/>
              <w:jc w:val="left"/>
            </w:pPr>
            <w:r>
              <w:t xml:space="preserve">RAM (GB) </w:t>
            </w:r>
          </w:p>
        </w:tc>
        <w:tc>
          <w:tcPr>
            <w:tcW w:w="4325" w:type="dxa"/>
            <w:tcBorders>
              <w:top w:val="single" w:sz="4" w:space="0" w:color="000000"/>
              <w:left w:val="single" w:sz="4" w:space="0" w:color="000000"/>
              <w:bottom w:val="single" w:sz="4" w:space="0" w:color="000000"/>
              <w:right w:val="single" w:sz="4" w:space="0" w:color="000000"/>
            </w:tcBorders>
          </w:tcPr>
          <w:p w14:paraId="54209C79" w14:textId="77777777" w:rsidR="0093446A" w:rsidRDefault="00A9168D">
            <w:pPr>
              <w:spacing w:line="259" w:lineRule="auto"/>
              <w:ind w:left="0" w:firstLine="0"/>
              <w:jc w:val="left"/>
            </w:pPr>
            <w:r>
              <w:t xml:space="preserve">Price </w:t>
            </w:r>
          </w:p>
        </w:tc>
      </w:tr>
      <w:tr w:rsidR="0093446A" w14:paraId="14A9EB07" w14:textId="77777777" w:rsidTr="00A41CA7">
        <w:trPr>
          <w:trHeight w:val="302"/>
        </w:trPr>
        <w:tc>
          <w:tcPr>
            <w:tcW w:w="4307" w:type="dxa"/>
            <w:tcBorders>
              <w:top w:val="single" w:sz="4" w:space="0" w:color="000000"/>
              <w:left w:val="single" w:sz="4" w:space="0" w:color="000000"/>
              <w:bottom w:val="single" w:sz="4" w:space="0" w:color="000000"/>
              <w:right w:val="single" w:sz="4" w:space="0" w:color="000000"/>
            </w:tcBorders>
          </w:tcPr>
          <w:p w14:paraId="146C43AA" w14:textId="77777777" w:rsidR="0093446A" w:rsidRDefault="00A9168D">
            <w:pPr>
              <w:spacing w:line="259" w:lineRule="auto"/>
              <w:ind w:left="0" w:firstLine="0"/>
              <w:jc w:val="left"/>
            </w:pPr>
            <w:r>
              <w:t xml:space="preserve">4 </w:t>
            </w:r>
          </w:p>
        </w:tc>
        <w:tc>
          <w:tcPr>
            <w:tcW w:w="4325" w:type="dxa"/>
            <w:tcBorders>
              <w:top w:val="single" w:sz="4" w:space="0" w:color="000000"/>
              <w:left w:val="single" w:sz="4" w:space="0" w:color="000000"/>
              <w:bottom w:val="single" w:sz="4" w:space="0" w:color="000000"/>
              <w:right w:val="single" w:sz="4" w:space="0" w:color="000000"/>
            </w:tcBorders>
          </w:tcPr>
          <w:p w14:paraId="186C7AA6" w14:textId="77777777" w:rsidR="0093446A" w:rsidRDefault="00A9168D">
            <w:pPr>
              <w:spacing w:line="259" w:lineRule="auto"/>
              <w:ind w:left="0" w:firstLine="0"/>
              <w:jc w:val="left"/>
            </w:pPr>
            <w:r>
              <w:t xml:space="preserve">7,000 </w:t>
            </w:r>
          </w:p>
        </w:tc>
      </w:tr>
      <w:tr w:rsidR="0093446A" w14:paraId="23B8E6B4" w14:textId="77777777" w:rsidTr="00A41CA7">
        <w:trPr>
          <w:trHeight w:val="302"/>
        </w:trPr>
        <w:tc>
          <w:tcPr>
            <w:tcW w:w="4307" w:type="dxa"/>
            <w:tcBorders>
              <w:top w:val="single" w:sz="4" w:space="0" w:color="000000"/>
              <w:left w:val="single" w:sz="4" w:space="0" w:color="000000"/>
              <w:bottom w:val="single" w:sz="4" w:space="0" w:color="000000"/>
              <w:right w:val="single" w:sz="4" w:space="0" w:color="000000"/>
            </w:tcBorders>
          </w:tcPr>
          <w:p w14:paraId="55AA3246" w14:textId="77777777" w:rsidR="0093446A" w:rsidRDefault="00A9168D">
            <w:pPr>
              <w:spacing w:line="259" w:lineRule="auto"/>
              <w:ind w:left="0" w:firstLine="0"/>
              <w:jc w:val="left"/>
            </w:pPr>
            <w:r>
              <w:t xml:space="preserve">8 </w:t>
            </w:r>
          </w:p>
        </w:tc>
        <w:tc>
          <w:tcPr>
            <w:tcW w:w="4325" w:type="dxa"/>
            <w:tcBorders>
              <w:top w:val="single" w:sz="4" w:space="0" w:color="000000"/>
              <w:left w:val="single" w:sz="4" w:space="0" w:color="000000"/>
              <w:bottom w:val="single" w:sz="4" w:space="0" w:color="000000"/>
              <w:right w:val="single" w:sz="4" w:space="0" w:color="000000"/>
            </w:tcBorders>
          </w:tcPr>
          <w:p w14:paraId="7D579340" w14:textId="77777777" w:rsidR="0093446A" w:rsidRDefault="00A9168D">
            <w:pPr>
              <w:spacing w:line="259" w:lineRule="auto"/>
              <w:ind w:left="0" w:firstLine="0"/>
              <w:jc w:val="left"/>
            </w:pPr>
            <w:r>
              <w:t xml:space="preserve">9,000 </w:t>
            </w:r>
          </w:p>
        </w:tc>
      </w:tr>
      <w:tr w:rsidR="0093446A" w14:paraId="003E5760" w14:textId="77777777" w:rsidTr="00A41CA7">
        <w:trPr>
          <w:trHeight w:val="302"/>
        </w:trPr>
        <w:tc>
          <w:tcPr>
            <w:tcW w:w="4307" w:type="dxa"/>
            <w:tcBorders>
              <w:top w:val="single" w:sz="4" w:space="0" w:color="000000"/>
              <w:left w:val="single" w:sz="4" w:space="0" w:color="000000"/>
              <w:bottom w:val="single" w:sz="4" w:space="0" w:color="000000"/>
              <w:right w:val="single" w:sz="4" w:space="0" w:color="000000"/>
            </w:tcBorders>
          </w:tcPr>
          <w:p w14:paraId="077742F6" w14:textId="77777777" w:rsidR="0093446A" w:rsidRDefault="00A9168D">
            <w:pPr>
              <w:spacing w:line="259" w:lineRule="auto"/>
              <w:ind w:left="0" w:firstLine="0"/>
              <w:jc w:val="left"/>
            </w:pPr>
            <w:r>
              <w:t xml:space="preserve">12 </w:t>
            </w:r>
          </w:p>
        </w:tc>
        <w:tc>
          <w:tcPr>
            <w:tcW w:w="4325" w:type="dxa"/>
            <w:tcBorders>
              <w:top w:val="single" w:sz="4" w:space="0" w:color="000000"/>
              <w:left w:val="single" w:sz="4" w:space="0" w:color="000000"/>
              <w:bottom w:val="single" w:sz="4" w:space="0" w:color="000000"/>
              <w:right w:val="single" w:sz="4" w:space="0" w:color="000000"/>
            </w:tcBorders>
          </w:tcPr>
          <w:p w14:paraId="05509A5B" w14:textId="77777777" w:rsidR="0093446A" w:rsidRDefault="00A9168D">
            <w:pPr>
              <w:spacing w:line="259" w:lineRule="auto"/>
              <w:ind w:left="0" w:firstLine="0"/>
              <w:jc w:val="left"/>
            </w:pPr>
            <w:r>
              <w:t xml:space="preserve">12,000 </w:t>
            </w:r>
          </w:p>
        </w:tc>
      </w:tr>
      <w:tr w:rsidR="0093446A" w14:paraId="4200C4E3" w14:textId="77777777" w:rsidTr="00CF646B">
        <w:trPr>
          <w:trHeight w:val="305"/>
        </w:trPr>
        <w:tc>
          <w:tcPr>
            <w:tcW w:w="4307" w:type="dxa"/>
            <w:tcBorders>
              <w:top w:val="single" w:sz="4" w:space="0" w:color="000000"/>
              <w:left w:val="single" w:sz="4" w:space="0" w:color="000000"/>
              <w:bottom w:val="single" w:sz="4" w:space="0" w:color="000000"/>
              <w:right w:val="single" w:sz="4" w:space="0" w:color="000000"/>
            </w:tcBorders>
          </w:tcPr>
          <w:p w14:paraId="72AAA7D5" w14:textId="77777777" w:rsidR="0093446A" w:rsidRDefault="00A9168D">
            <w:pPr>
              <w:spacing w:line="259" w:lineRule="auto"/>
              <w:ind w:left="0" w:firstLine="0"/>
              <w:jc w:val="left"/>
            </w:pPr>
            <w:r>
              <w:t xml:space="preserve">16 </w:t>
            </w:r>
          </w:p>
        </w:tc>
        <w:tc>
          <w:tcPr>
            <w:tcW w:w="4325" w:type="dxa"/>
            <w:tcBorders>
              <w:top w:val="single" w:sz="4" w:space="0" w:color="000000"/>
              <w:left w:val="single" w:sz="4" w:space="0" w:color="000000"/>
              <w:bottom w:val="single" w:sz="4" w:space="0" w:color="000000"/>
              <w:right w:val="single" w:sz="4" w:space="0" w:color="000000"/>
            </w:tcBorders>
          </w:tcPr>
          <w:p w14:paraId="17F58BCC" w14:textId="77777777" w:rsidR="0093446A" w:rsidRDefault="00A9168D">
            <w:pPr>
              <w:spacing w:line="259" w:lineRule="auto"/>
              <w:ind w:left="0" w:firstLine="0"/>
              <w:jc w:val="left"/>
            </w:pPr>
            <w:r>
              <w:t xml:space="preserve">16,000 </w:t>
            </w:r>
          </w:p>
        </w:tc>
      </w:tr>
      <w:tr w:rsidR="00A41CA7" w:rsidRPr="00A41CA7" w14:paraId="7E75510C" w14:textId="77777777" w:rsidTr="00CF646B">
        <w:tblPrEx>
          <w:tblCellMar>
            <w:top w:w="0" w:type="dxa"/>
            <w:left w:w="0" w:type="dxa"/>
            <w:right w:w="0" w:type="dxa"/>
          </w:tblCellMar>
        </w:tblPrEx>
        <w:trPr>
          <w:trHeight w:val="645"/>
        </w:trPr>
        <w:tc>
          <w:tcPr>
            <w:tcW w:w="4307" w:type="dxa"/>
            <w:tcBorders>
              <w:top w:val="single" w:sz="4" w:space="0" w:color="000000"/>
              <w:bottom w:val="single" w:sz="4" w:space="0" w:color="auto"/>
              <w:right w:val="single" w:sz="4" w:space="0" w:color="auto"/>
            </w:tcBorders>
            <w:noWrap/>
            <w:hideMark/>
          </w:tcPr>
          <w:p w14:paraId="3DBDAF1A" w14:textId="77777777" w:rsidR="00A41CA7" w:rsidRPr="00A41CA7" w:rsidRDefault="00A41CA7" w:rsidP="00A41CA7">
            <w:pPr>
              <w:spacing w:line="240" w:lineRule="auto"/>
              <w:ind w:left="0" w:firstLine="0"/>
              <w:jc w:val="left"/>
              <w:rPr>
                <w:rFonts w:eastAsia="Times New Roman"/>
                <w:sz w:val="22"/>
              </w:rPr>
            </w:pPr>
            <w:proofErr w:type="spellStart"/>
            <w:r w:rsidRPr="00A41CA7">
              <w:rPr>
                <w:rFonts w:eastAsia="Times New Roman"/>
                <w:sz w:val="22"/>
              </w:rPr>
              <w:t>Covarianza</w:t>
            </w:r>
            <w:proofErr w:type="spellEnd"/>
          </w:p>
        </w:tc>
        <w:tc>
          <w:tcPr>
            <w:tcW w:w="4325" w:type="dxa"/>
            <w:tcBorders>
              <w:top w:val="single" w:sz="4" w:space="0" w:color="000000"/>
              <w:left w:val="single" w:sz="4" w:space="0" w:color="auto"/>
              <w:bottom w:val="single" w:sz="4" w:space="0" w:color="auto"/>
            </w:tcBorders>
            <w:noWrap/>
            <w:hideMark/>
          </w:tcPr>
          <w:p w14:paraId="30F33CEE" w14:textId="77777777" w:rsidR="00A41CA7" w:rsidRPr="00A41CA7" w:rsidRDefault="00A41CA7" w:rsidP="00A41CA7">
            <w:pPr>
              <w:spacing w:line="240" w:lineRule="auto"/>
              <w:ind w:left="0" w:firstLine="0"/>
              <w:jc w:val="right"/>
              <w:rPr>
                <w:rFonts w:eastAsia="Times New Roman"/>
                <w:sz w:val="22"/>
              </w:rPr>
            </w:pPr>
            <w:r w:rsidRPr="00A41CA7">
              <w:rPr>
                <w:rFonts w:eastAsia="Times New Roman"/>
                <w:sz w:val="22"/>
              </w:rPr>
              <w:t>15000</w:t>
            </w:r>
          </w:p>
        </w:tc>
      </w:tr>
      <w:tr w:rsidR="00A41CA7" w:rsidRPr="00A41CA7" w14:paraId="61A61734" w14:textId="77777777" w:rsidTr="00CF646B">
        <w:tblPrEx>
          <w:tblCellMar>
            <w:top w:w="0" w:type="dxa"/>
            <w:left w:w="0" w:type="dxa"/>
            <w:right w:w="0" w:type="dxa"/>
          </w:tblCellMar>
        </w:tblPrEx>
        <w:trPr>
          <w:trHeight w:val="330"/>
        </w:trPr>
        <w:tc>
          <w:tcPr>
            <w:tcW w:w="4307" w:type="dxa"/>
            <w:tcBorders>
              <w:top w:val="single" w:sz="4" w:space="0" w:color="auto"/>
              <w:right w:val="single" w:sz="4" w:space="0" w:color="auto"/>
            </w:tcBorders>
            <w:noWrap/>
            <w:hideMark/>
          </w:tcPr>
          <w:p w14:paraId="75B32A59" w14:textId="45D82F48" w:rsidR="00A41CA7" w:rsidRPr="00A41CA7" w:rsidRDefault="00A41CA7" w:rsidP="00A41CA7">
            <w:pPr>
              <w:spacing w:line="240" w:lineRule="auto"/>
              <w:ind w:left="0" w:firstLine="0"/>
              <w:jc w:val="left"/>
              <w:rPr>
                <w:rFonts w:eastAsia="Times New Roman"/>
                <w:sz w:val="22"/>
              </w:rPr>
            </w:pPr>
            <w:proofErr w:type="spellStart"/>
            <w:r w:rsidRPr="00A41CA7">
              <w:rPr>
                <w:rFonts w:eastAsia="Times New Roman"/>
                <w:sz w:val="22"/>
              </w:rPr>
              <w:t>Correlaci</w:t>
            </w:r>
            <w:r w:rsidR="000004E7">
              <w:rPr>
                <w:rFonts w:eastAsia="Times New Roman"/>
                <w:sz w:val="22"/>
              </w:rPr>
              <w:t>ó</w:t>
            </w:r>
            <w:r w:rsidRPr="00A41CA7">
              <w:rPr>
                <w:rFonts w:eastAsia="Times New Roman"/>
                <w:sz w:val="22"/>
              </w:rPr>
              <w:t>n</w:t>
            </w:r>
            <w:proofErr w:type="spellEnd"/>
          </w:p>
        </w:tc>
        <w:tc>
          <w:tcPr>
            <w:tcW w:w="4325" w:type="dxa"/>
            <w:tcBorders>
              <w:top w:val="single" w:sz="4" w:space="0" w:color="auto"/>
              <w:left w:val="single" w:sz="4" w:space="0" w:color="auto"/>
            </w:tcBorders>
            <w:noWrap/>
            <w:hideMark/>
          </w:tcPr>
          <w:p w14:paraId="756C953C" w14:textId="77777777" w:rsidR="00A41CA7" w:rsidRPr="00A41CA7" w:rsidRDefault="00A41CA7" w:rsidP="00A41CA7">
            <w:pPr>
              <w:spacing w:line="240" w:lineRule="auto"/>
              <w:ind w:left="0" w:firstLine="0"/>
              <w:jc w:val="right"/>
              <w:rPr>
                <w:rFonts w:eastAsia="Times New Roman"/>
                <w:sz w:val="22"/>
              </w:rPr>
            </w:pPr>
            <w:r w:rsidRPr="00A41CA7">
              <w:rPr>
                <w:rFonts w:eastAsia="Times New Roman"/>
                <w:sz w:val="22"/>
              </w:rPr>
              <w:t>0.98907071</w:t>
            </w:r>
          </w:p>
        </w:tc>
      </w:tr>
    </w:tbl>
    <w:p w14:paraId="1236BFC0" w14:textId="77777777" w:rsidR="00A41CA7" w:rsidRDefault="00A41CA7">
      <w:pPr>
        <w:spacing w:after="179" w:line="259" w:lineRule="auto"/>
        <w:ind w:left="0" w:firstLine="0"/>
        <w:jc w:val="left"/>
      </w:pPr>
    </w:p>
    <w:p w14:paraId="48BF5078" w14:textId="6E413367" w:rsidR="007118DE" w:rsidRPr="00CF646B" w:rsidRDefault="00A9168D" w:rsidP="007118DE">
      <w:pPr>
        <w:numPr>
          <w:ilvl w:val="0"/>
          <w:numId w:val="1"/>
        </w:numPr>
        <w:ind w:right="-9" w:hanging="360"/>
        <w:rPr>
          <w:color w:val="4472C4" w:themeColor="accent1"/>
          <w:lang w:val="es-MX"/>
        </w:rPr>
      </w:pPr>
      <w:r w:rsidRPr="00CF646B">
        <w:rPr>
          <w:color w:val="4472C4" w:themeColor="accent1"/>
          <w:lang w:val="es-MX"/>
        </w:rPr>
        <w:t xml:space="preserve">Investiga el concepto de colinealidad y multicolinealidad </w:t>
      </w:r>
      <w:r w:rsidRPr="00CF646B">
        <w:rPr>
          <w:color w:val="4472C4" w:themeColor="accent1"/>
          <w:lang w:val="es-MX"/>
        </w:rPr>
        <w:t xml:space="preserve">en el contexto de una RLM, explica cómo se puede utilizar una matriz de correlación para identificar la multicolinealidad. (adjunta la referencia de dónde obtuviste esta respuesta).  </w:t>
      </w:r>
    </w:p>
    <w:p w14:paraId="565DF499" w14:textId="77777777" w:rsidR="007118DE" w:rsidRPr="007118DE" w:rsidRDefault="007118DE" w:rsidP="00272310">
      <w:pPr>
        <w:ind w:right="-9"/>
        <w:rPr>
          <w:lang w:val="es-MX"/>
        </w:rPr>
      </w:pPr>
    </w:p>
    <w:p w14:paraId="0C966DF9" w14:textId="5181123C" w:rsidR="00E40078" w:rsidRPr="00E40078" w:rsidRDefault="00A9168D" w:rsidP="00E40078">
      <w:pPr>
        <w:spacing w:line="259" w:lineRule="auto"/>
        <w:ind w:left="720" w:firstLine="0"/>
        <w:jc w:val="left"/>
        <w:rPr>
          <w:lang w:val="es-MX"/>
        </w:rPr>
      </w:pPr>
      <w:r w:rsidRPr="00A41CA7">
        <w:rPr>
          <w:lang w:val="es-MX"/>
        </w:rPr>
        <w:t xml:space="preserve"> </w:t>
      </w:r>
      <w:r w:rsidR="007118DE" w:rsidRPr="007118DE">
        <w:rPr>
          <w:lang w:val="es-MX"/>
        </w:rPr>
        <w:t>La colinealidad ocurre cuando dos variables predictoras (p. Ej., X1 y x2) en una regresión múltiple tienen una correlación distinta de cero. La multicolinealidad ocurre cuando más de dos variables predictoras (por ejemplo, x1, x2 y x3) están interrelacionadas</w:t>
      </w:r>
      <w:r w:rsidR="0009331D">
        <w:rPr>
          <w:lang w:val="es-MX"/>
        </w:rPr>
        <w:t xml:space="preserve"> </w:t>
      </w:r>
      <w:sdt>
        <w:sdtPr>
          <w:rPr>
            <w:lang w:val="es-MX"/>
          </w:rPr>
          <w:id w:val="1146545137"/>
          <w:citation/>
        </w:sdtPr>
        <w:sdtContent>
          <w:r w:rsidR="0009331D">
            <w:rPr>
              <w:lang w:val="es-MX"/>
            </w:rPr>
            <w:fldChar w:fldCharType="begin"/>
          </w:r>
          <w:r w:rsidR="0009331D">
            <w:rPr>
              <w:lang w:val="es-MX"/>
            </w:rPr>
            <w:instrText xml:space="preserve"> CITATION multicollinearity-and-collinearity-(in-multiple-regression)---a-tutorial-|-psychological-statistics \l 2058 </w:instrText>
          </w:r>
          <w:r w:rsidR="0009331D">
            <w:rPr>
              <w:lang w:val="es-MX"/>
            </w:rPr>
            <w:fldChar w:fldCharType="separate"/>
          </w:r>
          <w:r w:rsidR="009C6C07" w:rsidRPr="009C6C07">
            <w:rPr>
              <w:noProof/>
              <w:lang w:val="es-MX"/>
            </w:rPr>
            <w:t>[4]</w:t>
          </w:r>
          <w:r w:rsidR="0009331D">
            <w:rPr>
              <w:lang w:val="es-MX"/>
            </w:rPr>
            <w:fldChar w:fldCharType="end"/>
          </w:r>
        </w:sdtContent>
      </w:sdt>
      <w:r w:rsidR="007118DE" w:rsidRPr="007118DE">
        <w:rPr>
          <w:lang w:val="es-MX"/>
        </w:rPr>
        <w:t>.</w:t>
      </w:r>
    </w:p>
    <w:p w14:paraId="201C0DAD" w14:textId="47DBCBB2" w:rsidR="00E40078" w:rsidRDefault="00E40078" w:rsidP="00E40078">
      <w:pPr>
        <w:spacing w:after="159" w:line="259" w:lineRule="auto"/>
        <w:ind w:left="720" w:firstLine="0"/>
        <w:jc w:val="left"/>
        <w:rPr>
          <w:lang w:val="es-MX"/>
        </w:rPr>
      </w:pPr>
      <w:r w:rsidRPr="00E40078">
        <w:rPr>
          <w:lang w:val="es-MX"/>
        </w:rPr>
        <w:t>La multicolinealidad se refiere a la relación lineal entre dos o más variables, lo que también significa falta de ortogonalidad entre ellas.</w:t>
      </w:r>
    </w:p>
    <w:p w14:paraId="562236BE" w14:textId="5F386CDB" w:rsidR="000004E7" w:rsidRDefault="000004E7" w:rsidP="00E40078">
      <w:pPr>
        <w:spacing w:after="159" w:line="259" w:lineRule="auto"/>
        <w:ind w:left="720" w:firstLine="0"/>
        <w:jc w:val="left"/>
        <w:rPr>
          <w:lang w:val="es-MX"/>
        </w:rPr>
      </w:pPr>
      <w:r>
        <w:rPr>
          <w:lang w:val="es-MX"/>
        </w:rPr>
        <w:t xml:space="preserve">Técnicas de identificación </w:t>
      </w:r>
    </w:p>
    <w:p w14:paraId="41AB13E6" w14:textId="5F948CBE" w:rsidR="00AF49B3" w:rsidRDefault="000144CA" w:rsidP="00F30EE6">
      <w:pPr>
        <w:pStyle w:val="ListParagraph"/>
        <w:numPr>
          <w:ilvl w:val="0"/>
          <w:numId w:val="2"/>
        </w:numPr>
        <w:spacing w:after="159" w:line="259" w:lineRule="auto"/>
        <w:jc w:val="left"/>
        <w:rPr>
          <w:lang w:val="es-MX"/>
        </w:rPr>
      </w:pPr>
      <w:r w:rsidRPr="00237650">
        <w:rPr>
          <w:lang w:val="es-MX"/>
        </w:rPr>
        <w:lastRenderedPageBreak/>
        <w:t>E</w:t>
      </w:r>
      <w:r w:rsidRPr="00237650">
        <w:rPr>
          <w:lang w:val="es-MX"/>
        </w:rPr>
        <w:t>l diagnóstico más utilizado es examinar la correlación</w:t>
      </w:r>
      <w:r w:rsidRPr="00237650">
        <w:rPr>
          <w:lang w:val="es-MX"/>
        </w:rPr>
        <w:t xml:space="preserve"> </w:t>
      </w:r>
      <w:r w:rsidRPr="00237650">
        <w:rPr>
          <w:lang w:val="es-MX"/>
        </w:rPr>
        <w:t xml:space="preserve">matriz de variables </w:t>
      </w:r>
      <w:r w:rsidRPr="00237650">
        <w:rPr>
          <w:lang w:val="es-MX"/>
        </w:rPr>
        <w:t>predictoras</w:t>
      </w:r>
      <w:r w:rsidRPr="00237650">
        <w:rPr>
          <w:lang w:val="es-MX"/>
        </w:rPr>
        <w:t>. Como correlación</w:t>
      </w:r>
      <w:r w:rsidR="00237650" w:rsidRPr="00237650">
        <w:rPr>
          <w:lang w:val="es-MX"/>
        </w:rPr>
        <w:t xml:space="preserve"> </w:t>
      </w:r>
      <w:r w:rsidRPr="00237650">
        <w:rPr>
          <w:lang w:val="es-MX"/>
        </w:rPr>
        <w:t>y la colinealidad no son lo mismo, todavía puede haber</w:t>
      </w:r>
      <w:r w:rsidR="00237650">
        <w:rPr>
          <w:lang w:val="es-MX"/>
        </w:rPr>
        <w:t xml:space="preserve"> </w:t>
      </w:r>
      <w:r w:rsidRPr="00237650">
        <w:rPr>
          <w:lang w:val="es-MX"/>
        </w:rPr>
        <w:t>multicolinealidad incluso cuando todas las correlaciones son bajas</w:t>
      </w:r>
    </w:p>
    <w:p w14:paraId="22CB40CA" w14:textId="77777777" w:rsidR="000E2E5E" w:rsidRDefault="00BD377A" w:rsidP="000E2E5E">
      <w:pPr>
        <w:pStyle w:val="ListParagraph"/>
        <w:numPr>
          <w:ilvl w:val="0"/>
          <w:numId w:val="2"/>
        </w:numPr>
        <w:spacing w:after="159" w:line="259" w:lineRule="auto"/>
        <w:jc w:val="left"/>
        <w:rPr>
          <w:lang w:val="es-MX"/>
        </w:rPr>
      </w:pPr>
      <w:r w:rsidRPr="00BD377A">
        <w:rPr>
          <w:lang w:val="es-MX"/>
        </w:rPr>
        <w:t>El determinante es otro diagnóstico para</w:t>
      </w:r>
      <w:r w:rsidRPr="00BD377A">
        <w:rPr>
          <w:lang w:val="es-MX"/>
        </w:rPr>
        <w:t xml:space="preserve"> multicolinealidad,</w:t>
      </w:r>
      <w:r w:rsidRPr="00BD377A">
        <w:rPr>
          <w:lang w:val="es-MX"/>
        </w:rPr>
        <w:t xml:space="preserve"> pero sufre el mismo problema</w:t>
      </w:r>
      <w:r>
        <w:rPr>
          <w:lang w:val="es-MX"/>
        </w:rPr>
        <w:t xml:space="preserve"> de las</w:t>
      </w:r>
      <w:r w:rsidRPr="00BD377A">
        <w:rPr>
          <w:lang w:val="es-MX"/>
        </w:rPr>
        <w:t xml:space="preserve"> correlaciones por pares</w:t>
      </w:r>
    </w:p>
    <w:p w14:paraId="7C072E05" w14:textId="77777777" w:rsidR="000E2E5E" w:rsidRDefault="000E2E5E" w:rsidP="00B22B36">
      <w:pPr>
        <w:pStyle w:val="ListParagraph"/>
        <w:numPr>
          <w:ilvl w:val="0"/>
          <w:numId w:val="2"/>
        </w:numPr>
        <w:spacing w:after="159" w:line="259" w:lineRule="auto"/>
        <w:ind w:left="720" w:firstLine="0"/>
        <w:jc w:val="left"/>
        <w:rPr>
          <w:lang w:val="es-MX"/>
        </w:rPr>
      </w:pPr>
      <w:r w:rsidRPr="000E2E5E">
        <w:rPr>
          <w:lang w:val="es-MX"/>
        </w:rPr>
        <w:t xml:space="preserve">Factor de inflación de varianza </w:t>
      </w:r>
    </w:p>
    <w:p w14:paraId="53E11B83" w14:textId="4384B35F" w:rsidR="0093446A" w:rsidRDefault="00435E16" w:rsidP="00B22B36">
      <w:pPr>
        <w:pStyle w:val="ListParagraph"/>
        <w:numPr>
          <w:ilvl w:val="0"/>
          <w:numId w:val="2"/>
        </w:numPr>
        <w:spacing w:after="159" w:line="259" w:lineRule="auto"/>
        <w:ind w:left="720" w:firstLine="0"/>
        <w:jc w:val="left"/>
        <w:rPr>
          <w:lang w:val="es-MX"/>
        </w:rPr>
      </w:pPr>
      <w:r>
        <w:rPr>
          <w:lang w:val="es-MX"/>
        </w:rPr>
        <w:t xml:space="preserve">Examinar </w:t>
      </w:r>
      <w:proofErr w:type="spellStart"/>
      <w:r>
        <w:rPr>
          <w:lang w:val="es-MX"/>
        </w:rPr>
        <w:t>eigenvectors</w:t>
      </w:r>
      <w:proofErr w:type="spellEnd"/>
      <w:r>
        <w:rPr>
          <w:lang w:val="es-MX"/>
        </w:rPr>
        <w:t xml:space="preserve"> y </w:t>
      </w:r>
      <w:proofErr w:type="spellStart"/>
      <w:r>
        <w:rPr>
          <w:lang w:val="es-MX"/>
        </w:rPr>
        <w:t>eigenvalues</w:t>
      </w:r>
      <w:proofErr w:type="spellEnd"/>
      <w:r w:rsidR="00A9168D" w:rsidRPr="000E2E5E">
        <w:rPr>
          <w:lang w:val="es-MX"/>
        </w:rPr>
        <w:t xml:space="preserve"> </w:t>
      </w:r>
    </w:p>
    <w:p w14:paraId="54E22C7C" w14:textId="4E66B8BF" w:rsidR="0009331D" w:rsidRDefault="009C6C07" w:rsidP="009C6C07">
      <w:pPr>
        <w:spacing w:after="159" w:line="259" w:lineRule="auto"/>
        <w:ind w:left="720" w:firstLine="0"/>
        <w:jc w:val="right"/>
        <w:rPr>
          <w:lang w:val="es-MX"/>
        </w:rPr>
      </w:pPr>
      <w:r>
        <w:rPr>
          <w:lang w:val="es-MX"/>
        </w:rPr>
        <w:t xml:space="preserve">Obtenido de </w:t>
      </w:r>
      <w:sdt>
        <w:sdtPr>
          <w:rPr>
            <w:lang w:val="es-MX"/>
          </w:rPr>
          <w:id w:val="1615246609"/>
          <w:citation/>
        </w:sdtPr>
        <w:sdtContent>
          <w:r>
            <w:rPr>
              <w:lang w:val="es-MX"/>
            </w:rPr>
            <w:fldChar w:fldCharType="begin"/>
          </w:r>
          <w:r>
            <w:rPr>
              <w:lang w:val="es-MX"/>
            </w:rPr>
            <w:instrText xml:space="preserve"> CITATION alin-2010-multicollinearity \l 2058 </w:instrText>
          </w:r>
          <w:r>
            <w:rPr>
              <w:lang w:val="es-MX"/>
            </w:rPr>
            <w:fldChar w:fldCharType="separate"/>
          </w:r>
          <w:r w:rsidRPr="009C6C07">
            <w:rPr>
              <w:noProof/>
              <w:lang w:val="es-MX"/>
            </w:rPr>
            <w:t>[5]</w:t>
          </w:r>
          <w:r>
            <w:rPr>
              <w:lang w:val="es-MX"/>
            </w:rPr>
            <w:fldChar w:fldCharType="end"/>
          </w:r>
        </w:sdtContent>
      </w:sdt>
    </w:p>
    <w:p w14:paraId="1591DADC" w14:textId="603256A2" w:rsidR="009C6C07" w:rsidRPr="009C6C07" w:rsidRDefault="009C6C07" w:rsidP="009C6C07">
      <w:pPr>
        <w:spacing w:after="159" w:line="259" w:lineRule="auto"/>
        <w:ind w:right="480"/>
        <w:rPr>
          <w:rFonts w:asciiTheme="minorHAnsi" w:eastAsiaTheme="minorEastAsia" w:hAnsiTheme="minorHAnsi" w:cstheme="minorBidi"/>
          <w:noProof/>
          <w:color w:val="4472C4" w:themeColor="accent1"/>
          <w:sz w:val="22"/>
        </w:rPr>
      </w:pPr>
      <w:r w:rsidRPr="009C6C07">
        <w:rPr>
          <w:color w:val="4472C4" w:themeColor="accent1"/>
          <w:lang w:val="es-MX"/>
        </w:rPr>
        <w:t>Referencias</w:t>
      </w:r>
      <w:r w:rsidRPr="009C6C07">
        <w:rPr>
          <w:color w:val="4472C4" w:themeColor="accent1"/>
          <w:lang w:val="es-MX"/>
        </w:rPr>
        <w:fldChar w:fldCharType="begin"/>
      </w:r>
      <w:r w:rsidRPr="009C6C07">
        <w:rPr>
          <w:color w:val="4472C4" w:themeColor="accent1"/>
          <w:lang w:val="es-MX"/>
        </w:rPr>
        <w:instrText xml:space="preserve"> BIBLIOGRAPHY  \l 2058 </w:instrText>
      </w:r>
      <w:r w:rsidRPr="009C6C07">
        <w:rPr>
          <w:color w:val="4472C4" w:themeColor="accent1"/>
          <w:lang w:val="es-MX"/>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22"/>
      </w:tblGrid>
      <w:tr w:rsidR="009C6C07" w14:paraId="4D7FDAFF" w14:textId="77777777">
        <w:trPr>
          <w:divId w:val="1118336493"/>
          <w:tblCellSpacing w:w="15" w:type="dxa"/>
        </w:trPr>
        <w:tc>
          <w:tcPr>
            <w:tcW w:w="50" w:type="pct"/>
            <w:hideMark/>
          </w:tcPr>
          <w:p w14:paraId="2FDAFF15" w14:textId="5705D38E" w:rsidR="009C6C07" w:rsidRDefault="009C6C07">
            <w:pPr>
              <w:pStyle w:val="Bibliography"/>
              <w:rPr>
                <w:noProof/>
                <w:szCs w:val="24"/>
                <w:lang w:val="es-MX"/>
              </w:rPr>
            </w:pPr>
            <w:r>
              <w:rPr>
                <w:noProof/>
                <w:lang w:val="es-MX"/>
              </w:rPr>
              <w:t xml:space="preserve">[1] </w:t>
            </w:r>
          </w:p>
        </w:tc>
        <w:tc>
          <w:tcPr>
            <w:tcW w:w="0" w:type="auto"/>
            <w:hideMark/>
          </w:tcPr>
          <w:p w14:paraId="7F78847E" w14:textId="77777777" w:rsidR="009C6C07" w:rsidRPr="009C6C07" w:rsidRDefault="009C6C07">
            <w:pPr>
              <w:pStyle w:val="Bibliography"/>
              <w:rPr>
                <w:noProof/>
              </w:rPr>
            </w:pPr>
            <w:r w:rsidRPr="009C6C07">
              <w:rPr>
                <w:noProof/>
              </w:rPr>
              <w:t>«Homoscedasticity - Statistics Solutions,» [En línea]. Available: https://www.statisticssolutions.com/homoscedasticity/.</w:t>
            </w:r>
          </w:p>
        </w:tc>
      </w:tr>
      <w:tr w:rsidR="009C6C07" w:rsidRPr="009C6C07" w14:paraId="076B8ADA" w14:textId="77777777">
        <w:trPr>
          <w:divId w:val="1118336493"/>
          <w:tblCellSpacing w:w="15" w:type="dxa"/>
        </w:trPr>
        <w:tc>
          <w:tcPr>
            <w:tcW w:w="50" w:type="pct"/>
            <w:hideMark/>
          </w:tcPr>
          <w:p w14:paraId="3D0140FA" w14:textId="77777777" w:rsidR="009C6C07" w:rsidRDefault="009C6C07">
            <w:pPr>
              <w:pStyle w:val="Bibliography"/>
              <w:rPr>
                <w:noProof/>
                <w:lang w:val="es-MX"/>
              </w:rPr>
            </w:pPr>
            <w:r>
              <w:rPr>
                <w:noProof/>
                <w:lang w:val="es-MX"/>
              </w:rPr>
              <w:t xml:space="preserve">[2] </w:t>
            </w:r>
          </w:p>
        </w:tc>
        <w:tc>
          <w:tcPr>
            <w:tcW w:w="0" w:type="auto"/>
            <w:hideMark/>
          </w:tcPr>
          <w:p w14:paraId="74269693" w14:textId="77777777" w:rsidR="009C6C07" w:rsidRDefault="009C6C07">
            <w:pPr>
              <w:pStyle w:val="Bibliography"/>
              <w:rPr>
                <w:noProof/>
                <w:lang w:val="es-MX"/>
              </w:rPr>
            </w:pPr>
            <w:r>
              <w:rPr>
                <w:noProof/>
                <w:lang w:val="es-MX"/>
              </w:rPr>
              <w:t>«Correlation Definition,» [En línea]. Available: https://www.investopedia.com/terms/c/correlation.asp.</w:t>
            </w:r>
          </w:p>
        </w:tc>
      </w:tr>
      <w:tr w:rsidR="009C6C07" w14:paraId="338D47B6" w14:textId="77777777">
        <w:trPr>
          <w:divId w:val="1118336493"/>
          <w:tblCellSpacing w:w="15" w:type="dxa"/>
        </w:trPr>
        <w:tc>
          <w:tcPr>
            <w:tcW w:w="50" w:type="pct"/>
            <w:hideMark/>
          </w:tcPr>
          <w:p w14:paraId="43BA9401" w14:textId="77777777" w:rsidR="009C6C07" w:rsidRDefault="009C6C07">
            <w:pPr>
              <w:pStyle w:val="Bibliography"/>
              <w:rPr>
                <w:noProof/>
                <w:lang w:val="es-MX"/>
              </w:rPr>
            </w:pPr>
            <w:r>
              <w:rPr>
                <w:noProof/>
                <w:lang w:val="es-MX"/>
              </w:rPr>
              <w:t xml:space="preserve">[3] </w:t>
            </w:r>
          </w:p>
        </w:tc>
        <w:tc>
          <w:tcPr>
            <w:tcW w:w="0" w:type="auto"/>
            <w:hideMark/>
          </w:tcPr>
          <w:p w14:paraId="67CCB6CA" w14:textId="77777777" w:rsidR="009C6C07" w:rsidRDefault="009C6C07">
            <w:pPr>
              <w:pStyle w:val="Bibliography"/>
              <w:rPr>
                <w:noProof/>
                <w:lang w:val="es-MX"/>
              </w:rPr>
            </w:pPr>
            <w:r>
              <w:rPr>
                <w:noProof/>
                <w:lang w:val="es-MX"/>
              </w:rPr>
              <w:t>«Covariance Definition,» [En línea]. Available: https://www.investopedia.com/terms/c/covariance.asp.</w:t>
            </w:r>
          </w:p>
        </w:tc>
      </w:tr>
      <w:tr w:rsidR="009C6C07" w14:paraId="1F7AD21A" w14:textId="77777777">
        <w:trPr>
          <w:divId w:val="1118336493"/>
          <w:tblCellSpacing w:w="15" w:type="dxa"/>
        </w:trPr>
        <w:tc>
          <w:tcPr>
            <w:tcW w:w="50" w:type="pct"/>
            <w:hideMark/>
          </w:tcPr>
          <w:p w14:paraId="4E04F346" w14:textId="77777777" w:rsidR="009C6C07" w:rsidRDefault="009C6C07">
            <w:pPr>
              <w:pStyle w:val="Bibliography"/>
              <w:rPr>
                <w:noProof/>
                <w:lang w:val="es-MX"/>
              </w:rPr>
            </w:pPr>
            <w:r>
              <w:rPr>
                <w:noProof/>
                <w:lang w:val="es-MX"/>
              </w:rPr>
              <w:t xml:space="preserve">[4] </w:t>
            </w:r>
          </w:p>
        </w:tc>
        <w:tc>
          <w:tcPr>
            <w:tcW w:w="0" w:type="auto"/>
            <w:hideMark/>
          </w:tcPr>
          <w:p w14:paraId="2EF59C52" w14:textId="77777777" w:rsidR="009C6C07" w:rsidRPr="009C6C07" w:rsidRDefault="009C6C07">
            <w:pPr>
              <w:pStyle w:val="Bibliography"/>
              <w:rPr>
                <w:noProof/>
              </w:rPr>
            </w:pPr>
            <w:r w:rsidRPr="009C6C07">
              <w:rPr>
                <w:noProof/>
              </w:rPr>
              <w:t>«Multicollinearity and collinearity (in multiple regression) - a tutorial | Psychological Statistics,» [En línea]. Available: http://psychologicalstatistics.blogspot.com/2013/11/multicollinearity-and-collinearity-in.html.</w:t>
            </w:r>
          </w:p>
        </w:tc>
      </w:tr>
      <w:tr w:rsidR="009C6C07" w14:paraId="00526871" w14:textId="77777777">
        <w:trPr>
          <w:divId w:val="1118336493"/>
          <w:tblCellSpacing w:w="15" w:type="dxa"/>
        </w:trPr>
        <w:tc>
          <w:tcPr>
            <w:tcW w:w="50" w:type="pct"/>
            <w:hideMark/>
          </w:tcPr>
          <w:p w14:paraId="45DB00E4" w14:textId="77777777" w:rsidR="009C6C07" w:rsidRDefault="009C6C07">
            <w:pPr>
              <w:pStyle w:val="Bibliography"/>
              <w:rPr>
                <w:noProof/>
                <w:lang w:val="es-MX"/>
              </w:rPr>
            </w:pPr>
            <w:r>
              <w:rPr>
                <w:noProof/>
                <w:lang w:val="es-MX"/>
              </w:rPr>
              <w:t xml:space="preserve">[5] </w:t>
            </w:r>
          </w:p>
        </w:tc>
        <w:tc>
          <w:tcPr>
            <w:tcW w:w="0" w:type="auto"/>
            <w:hideMark/>
          </w:tcPr>
          <w:p w14:paraId="7DBE15AC" w14:textId="77777777" w:rsidR="009C6C07" w:rsidRPr="009C6C07" w:rsidRDefault="009C6C07">
            <w:pPr>
              <w:pStyle w:val="Bibliography"/>
              <w:rPr>
                <w:noProof/>
              </w:rPr>
            </w:pPr>
            <w:r w:rsidRPr="009C6C07">
              <w:rPr>
                <w:noProof/>
              </w:rPr>
              <w:t xml:space="preserve">A. Alin, «Multicollinearity,» </w:t>
            </w:r>
            <w:r w:rsidRPr="009C6C07">
              <w:rPr>
                <w:i/>
                <w:iCs/>
                <w:noProof/>
              </w:rPr>
              <w:t xml:space="preserve">Wiley Interdisciplinary Reviews: Computational Statistics, </w:t>
            </w:r>
            <w:r w:rsidRPr="009C6C07">
              <w:rPr>
                <w:noProof/>
              </w:rPr>
              <w:t xml:space="preserve">vol. 2, nº 3, pp. 370-374, 5 2010. </w:t>
            </w:r>
          </w:p>
        </w:tc>
      </w:tr>
      <w:tr w:rsidR="009C6C07" w14:paraId="7E1C5C57" w14:textId="77777777">
        <w:trPr>
          <w:divId w:val="1118336493"/>
          <w:tblCellSpacing w:w="15" w:type="dxa"/>
        </w:trPr>
        <w:tc>
          <w:tcPr>
            <w:tcW w:w="50" w:type="pct"/>
            <w:hideMark/>
          </w:tcPr>
          <w:p w14:paraId="747D5B63" w14:textId="77777777" w:rsidR="009C6C07" w:rsidRDefault="009C6C07">
            <w:pPr>
              <w:pStyle w:val="Bibliography"/>
              <w:rPr>
                <w:noProof/>
                <w:lang w:val="es-MX"/>
              </w:rPr>
            </w:pPr>
            <w:r>
              <w:rPr>
                <w:noProof/>
                <w:lang w:val="es-MX"/>
              </w:rPr>
              <w:t xml:space="preserve">[6] </w:t>
            </w:r>
          </w:p>
        </w:tc>
        <w:tc>
          <w:tcPr>
            <w:tcW w:w="0" w:type="auto"/>
            <w:hideMark/>
          </w:tcPr>
          <w:p w14:paraId="0827E8D8" w14:textId="77777777" w:rsidR="009C6C07" w:rsidRPr="009C6C07" w:rsidRDefault="009C6C07">
            <w:pPr>
              <w:pStyle w:val="Bibliography"/>
              <w:rPr>
                <w:noProof/>
              </w:rPr>
            </w:pPr>
            <w:r w:rsidRPr="009C6C07">
              <w:rPr>
                <w:noProof/>
              </w:rPr>
              <w:t xml:space="preserve">D. E. Sands, «Correlation and covariance,» </w:t>
            </w:r>
            <w:r w:rsidRPr="009C6C07">
              <w:rPr>
                <w:i/>
                <w:iCs/>
                <w:noProof/>
              </w:rPr>
              <w:t xml:space="preserve">Journal of Chemical Education, </w:t>
            </w:r>
            <w:r w:rsidRPr="009C6C07">
              <w:rPr>
                <w:noProof/>
              </w:rPr>
              <w:t xml:space="preserve">vol. 54, nº 2, pp. 90-94, 2 1977. </w:t>
            </w:r>
          </w:p>
        </w:tc>
      </w:tr>
    </w:tbl>
    <w:p w14:paraId="210F6673" w14:textId="77777777" w:rsidR="009C6C07" w:rsidRDefault="009C6C07">
      <w:pPr>
        <w:divId w:val="1118336493"/>
        <w:rPr>
          <w:rFonts w:eastAsia="Times New Roman"/>
          <w:noProof/>
        </w:rPr>
      </w:pPr>
    </w:p>
    <w:p w14:paraId="666CA972" w14:textId="66DA1288" w:rsidR="009C6C07" w:rsidRPr="009C6C07" w:rsidRDefault="009C6C07" w:rsidP="009C6C07">
      <w:pPr>
        <w:spacing w:after="159" w:line="259" w:lineRule="auto"/>
        <w:ind w:right="480"/>
      </w:pPr>
      <w:r>
        <w:rPr>
          <w:lang w:val="es-MX"/>
        </w:rPr>
        <w:fldChar w:fldCharType="end"/>
      </w:r>
    </w:p>
    <w:p w14:paraId="7DE94B66" w14:textId="77777777" w:rsidR="0093446A" w:rsidRPr="009C6C07" w:rsidRDefault="00A9168D">
      <w:pPr>
        <w:spacing w:line="259" w:lineRule="auto"/>
        <w:ind w:left="0" w:firstLine="0"/>
        <w:jc w:val="left"/>
      </w:pPr>
      <w:r w:rsidRPr="009C6C07">
        <w:t xml:space="preserve"> </w:t>
      </w:r>
    </w:p>
    <w:sectPr w:rsidR="0093446A" w:rsidRPr="009C6C07">
      <w:headerReference w:type="default" r:id="rId13"/>
      <w:pgSz w:w="12240" w:h="15840"/>
      <w:pgMar w:top="1440" w:right="1434"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B60F4" w14:textId="77777777" w:rsidR="00A9168D" w:rsidRDefault="00A9168D" w:rsidP="009C6C07">
      <w:pPr>
        <w:spacing w:line="240" w:lineRule="auto"/>
      </w:pPr>
      <w:r>
        <w:separator/>
      </w:r>
    </w:p>
  </w:endnote>
  <w:endnote w:type="continuationSeparator" w:id="0">
    <w:p w14:paraId="7BF9B58D" w14:textId="77777777" w:rsidR="00A9168D" w:rsidRDefault="00A9168D" w:rsidP="009C6C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3E67A" w14:textId="77777777" w:rsidR="00A9168D" w:rsidRDefault="00A9168D" w:rsidP="009C6C07">
      <w:pPr>
        <w:spacing w:line="240" w:lineRule="auto"/>
      </w:pPr>
      <w:r>
        <w:separator/>
      </w:r>
    </w:p>
  </w:footnote>
  <w:footnote w:type="continuationSeparator" w:id="0">
    <w:p w14:paraId="0E7B08C5" w14:textId="77777777" w:rsidR="00A9168D" w:rsidRDefault="00A9168D" w:rsidP="009C6C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C1C12" w14:textId="20803AAB" w:rsidR="009C6C07" w:rsidRPr="009C6C07" w:rsidRDefault="009C6C07">
    <w:pPr>
      <w:pStyle w:val="Header"/>
      <w:rPr>
        <w:lang w:val="es-MX"/>
      </w:rPr>
    </w:pPr>
    <w:r>
      <w:rPr>
        <w:lang w:val="es-MX"/>
      </w:rPr>
      <w:t>Yasuo Ignacio Maidana Pérez A01328427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A760E"/>
    <w:multiLevelType w:val="hybridMultilevel"/>
    <w:tmpl w:val="8AC08C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FEE5020"/>
    <w:multiLevelType w:val="hybridMultilevel"/>
    <w:tmpl w:val="3738CF90"/>
    <w:lvl w:ilvl="0" w:tplc="5ED203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D65DE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168041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CE8EF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A0363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B06CF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7C03C5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28B89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1D851B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46A"/>
    <w:rsid w:val="000004E7"/>
    <w:rsid w:val="000144CA"/>
    <w:rsid w:val="0009331D"/>
    <w:rsid w:val="000E2E5E"/>
    <w:rsid w:val="00237650"/>
    <w:rsid w:val="00272310"/>
    <w:rsid w:val="00351FDD"/>
    <w:rsid w:val="003713AE"/>
    <w:rsid w:val="003F7642"/>
    <w:rsid w:val="00435C4A"/>
    <w:rsid w:val="00435E16"/>
    <w:rsid w:val="005F6515"/>
    <w:rsid w:val="00634E9B"/>
    <w:rsid w:val="007118DE"/>
    <w:rsid w:val="00757386"/>
    <w:rsid w:val="00777299"/>
    <w:rsid w:val="0093446A"/>
    <w:rsid w:val="009C6C07"/>
    <w:rsid w:val="00A41CA7"/>
    <w:rsid w:val="00A9168D"/>
    <w:rsid w:val="00AF49B3"/>
    <w:rsid w:val="00BD377A"/>
    <w:rsid w:val="00CC3C7E"/>
    <w:rsid w:val="00CF646B"/>
    <w:rsid w:val="00D45025"/>
    <w:rsid w:val="00E40078"/>
    <w:rsid w:val="00E644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E9255"/>
  <w15:docId w15:val="{C57A4740-4DC5-4B4D-9565-FE1DBEFED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0" w:lineRule="auto"/>
      <w:ind w:left="370" w:hanging="37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004E7"/>
    <w:pPr>
      <w:ind w:left="720"/>
      <w:contextualSpacing/>
    </w:pPr>
  </w:style>
  <w:style w:type="paragraph" w:styleId="Bibliography">
    <w:name w:val="Bibliography"/>
    <w:basedOn w:val="Normal"/>
    <w:next w:val="Normal"/>
    <w:uiPriority w:val="37"/>
    <w:unhideWhenUsed/>
    <w:rsid w:val="009C6C07"/>
  </w:style>
  <w:style w:type="paragraph" w:styleId="Header">
    <w:name w:val="header"/>
    <w:basedOn w:val="Normal"/>
    <w:link w:val="HeaderChar"/>
    <w:uiPriority w:val="99"/>
    <w:unhideWhenUsed/>
    <w:rsid w:val="009C6C07"/>
    <w:pPr>
      <w:tabs>
        <w:tab w:val="center" w:pos="4680"/>
        <w:tab w:val="right" w:pos="9360"/>
      </w:tabs>
      <w:spacing w:line="240" w:lineRule="auto"/>
    </w:pPr>
  </w:style>
  <w:style w:type="character" w:customStyle="1" w:styleId="HeaderChar">
    <w:name w:val="Header Char"/>
    <w:basedOn w:val="DefaultParagraphFont"/>
    <w:link w:val="Header"/>
    <w:uiPriority w:val="99"/>
    <w:rsid w:val="009C6C07"/>
    <w:rPr>
      <w:rFonts w:ascii="Calibri" w:eastAsia="Calibri" w:hAnsi="Calibri" w:cs="Calibri"/>
      <w:color w:val="000000"/>
      <w:sz w:val="24"/>
    </w:rPr>
  </w:style>
  <w:style w:type="paragraph" w:styleId="Footer">
    <w:name w:val="footer"/>
    <w:basedOn w:val="Normal"/>
    <w:link w:val="FooterChar"/>
    <w:uiPriority w:val="99"/>
    <w:unhideWhenUsed/>
    <w:rsid w:val="009C6C07"/>
    <w:pPr>
      <w:tabs>
        <w:tab w:val="center" w:pos="4680"/>
        <w:tab w:val="right" w:pos="9360"/>
      </w:tabs>
      <w:spacing w:line="240" w:lineRule="auto"/>
    </w:pPr>
  </w:style>
  <w:style w:type="character" w:customStyle="1" w:styleId="FooterChar">
    <w:name w:val="Footer Char"/>
    <w:basedOn w:val="DefaultParagraphFont"/>
    <w:link w:val="Footer"/>
    <w:uiPriority w:val="99"/>
    <w:rsid w:val="009C6C07"/>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4304">
      <w:bodyDiv w:val="1"/>
      <w:marLeft w:val="0"/>
      <w:marRight w:val="0"/>
      <w:marTop w:val="0"/>
      <w:marBottom w:val="0"/>
      <w:divBdr>
        <w:top w:val="none" w:sz="0" w:space="0" w:color="auto"/>
        <w:left w:val="none" w:sz="0" w:space="0" w:color="auto"/>
        <w:bottom w:val="none" w:sz="0" w:space="0" w:color="auto"/>
        <w:right w:val="none" w:sz="0" w:space="0" w:color="auto"/>
      </w:divBdr>
    </w:div>
    <w:div w:id="72312819">
      <w:bodyDiv w:val="1"/>
      <w:marLeft w:val="0"/>
      <w:marRight w:val="0"/>
      <w:marTop w:val="0"/>
      <w:marBottom w:val="0"/>
      <w:divBdr>
        <w:top w:val="none" w:sz="0" w:space="0" w:color="auto"/>
        <w:left w:val="none" w:sz="0" w:space="0" w:color="auto"/>
        <w:bottom w:val="none" w:sz="0" w:space="0" w:color="auto"/>
        <w:right w:val="none" w:sz="0" w:space="0" w:color="auto"/>
      </w:divBdr>
    </w:div>
    <w:div w:id="147091705">
      <w:bodyDiv w:val="1"/>
      <w:marLeft w:val="0"/>
      <w:marRight w:val="0"/>
      <w:marTop w:val="0"/>
      <w:marBottom w:val="0"/>
      <w:divBdr>
        <w:top w:val="none" w:sz="0" w:space="0" w:color="auto"/>
        <w:left w:val="none" w:sz="0" w:space="0" w:color="auto"/>
        <w:bottom w:val="none" w:sz="0" w:space="0" w:color="auto"/>
        <w:right w:val="none" w:sz="0" w:space="0" w:color="auto"/>
      </w:divBdr>
    </w:div>
    <w:div w:id="215700868">
      <w:bodyDiv w:val="1"/>
      <w:marLeft w:val="0"/>
      <w:marRight w:val="0"/>
      <w:marTop w:val="0"/>
      <w:marBottom w:val="0"/>
      <w:divBdr>
        <w:top w:val="none" w:sz="0" w:space="0" w:color="auto"/>
        <w:left w:val="none" w:sz="0" w:space="0" w:color="auto"/>
        <w:bottom w:val="none" w:sz="0" w:space="0" w:color="auto"/>
        <w:right w:val="none" w:sz="0" w:space="0" w:color="auto"/>
      </w:divBdr>
    </w:div>
    <w:div w:id="263853827">
      <w:bodyDiv w:val="1"/>
      <w:marLeft w:val="0"/>
      <w:marRight w:val="0"/>
      <w:marTop w:val="0"/>
      <w:marBottom w:val="0"/>
      <w:divBdr>
        <w:top w:val="none" w:sz="0" w:space="0" w:color="auto"/>
        <w:left w:val="none" w:sz="0" w:space="0" w:color="auto"/>
        <w:bottom w:val="none" w:sz="0" w:space="0" w:color="auto"/>
        <w:right w:val="none" w:sz="0" w:space="0" w:color="auto"/>
      </w:divBdr>
    </w:div>
    <w:div w:id="281888958">
      <w:bodyDiv w:val="1"/>
      <w:marLeft w:val="0"/>
      <w:marRight w:val="0"/>
      <w:marTop w:val="0"/>
      <w:marBottom w:val="0"/>
      <w:divBdr>
        <w:top w:val="none" w:sz="0" w:space="0" w:color="auto"/>
        <w:left w:val="none" w:sz="0" w:space="0" w:color="auto"/>
        <w:bottom w:val="none" w:sz="0" w:space="0" w:color="auto"/>
        <w:right w:val="none" w:sz="0" w:space="0" w:color="auto"/>
      </w:divBdr>
    </w:div>
    <w:div w:id="326784774">
      <w:bodyDiv w:val="1"/>
      <w:marLeft w:val="0"/>
      <w:marRight w:val="0"/>
      <w:marTop w:val="0"/>
      <w:marBottom w:val="0"/>
      <w:divBdr>
        <w:top w:val="none" w:sz="0" w:space="0" w:color="auto"/>
        <w:left w:val="none" w:sz="0" w:space="0" w:color="auto"/>
        <w:bottom w:val="none" w:sz="0" w:space="0" w:color="auto"/>
        <w:right w:val="none" w:sz="0" w:space="0" w:color="auto"/>
      </w:divBdr>
    </w:div>
    <w:div w:id="349599557">
      <w:bodyDiv w:val="1"/>
      <w:marLeft w:val="0"/>
      <w:marRight w:val="0"/>
      <w:marTop w:val="0"/>
      <w:marBottom w:val="0"/>
      <w:divBdr>
        <w:top w:val="none" w:sz="0" w:space="0" w:color="auto"/>
        <w:left w:val="none" w:sz="0" w:space="0" w:color="auto"/>
        <w:bottom w:val="none" w:sz="0" w:space="0" w:color="auto"/>
        <w:right w:val="none" w:sz="0" w:space="0" w:color="auto"/>
      </w:divBdr>
    </w:div>
    <w:div w:id="427236677">
      <w:bodyDiv w:val="1"/>
      <w:marLeft w:val="0"/>
      <w:marRight w:val="0"/>
      <w:marTop w:val="0"/>
      <w:marBottom w:val="0"/>
      <w:divBdr>
        <w:top w:val="none" w:sz="0" w:space="0" w:color="auto"/>
        <w:left w:val="none" w:sz="0" w:space="0" w:color="auto"/>
        <w:bottom w:val="none" w:sz="0" w:space="0" w:color="auto"/>
        <w:right w:val="none" w:sz="0" w:space="0" w:color="auto"/>
      </w:divBdr>
    </w:div>
    <w:div w:id="428623641">
      <w:bodyDiv w:val="1"/>
      <w:marLeft w:val="0"/>
      <w:marRight w:val="0"/>
      <w:marTop w:val="0"/>
      <w:marBottom w:val="0"/>
      <w:divBdr>
        <w:top w:val="none" w:sz="0" w:space="0" w:color="auto"/>
        <w:left w:val="none" w:sz="0" w:space="0" w:color="auto"/>
        <w:bottom w:val="none" w:sz="0" w:space="0" w:color="auto"/>
        <w:right w:val="none" w:sz="0" w:space="0" w:color="auto"/>
      </w:divBdr>
    </w:div>
    <w:div w:id="452940982">
      <w:bodyDiv w:val="1"/>
      <w:marLeft w:val="0"/>
      <w:marRight w:val="0"/>
      <w:marTop w:val="0"/>
      <w:marBottom w:val="0"/>
      <w:divBdr>
        <w:top w:val="none" w:sz="0" w:space="0" w:color="auto"/>
        <w:left w:val="none" w:sz="0" w:space="0" w:color="auto"/>
        <w:bottom w:val="none" w:sz="0" w:space="0" w:color="auto"/>
        <w:right w:val="none" w:sz="0" w:space="0" w:color="auto"/>
      </w:divBdr>
    </w:div>
    <w:div w:id="643003511">
      <w:bodyDiv w:val="1"/>
      <w:marLeft w:val="0"/>
      <w:marRight w:val="0"/>
      <w:marTop w:val="0"/>
      <w:marBottom w:val="0"/>
      <w:divBdr>
        <w:top w:val="none" w:sz="0" w:space="0" w:color="auto"/>
        <w:left w:val="none" w:sz="0" w:space="0" w:color="auto"/>
        <w:bottom w:val="none" w:sz="0" w:space="0" w:color="auto"/>
        <w:right w:val="none" w:sz="0" w:space="0" w:color="auto"/>
      </w:divBdr>
    </w:div>
    <w:div w:id="741027281">
      <w:bodyDiv w:val="1"/>
      <w:marLeft w:val="0"/>
      <w:marRight w:val="0"/>
      <w:marTop w:val="0"/>
      <w:marBottom w:val="0"/>
      <w:divBdr>
        <w:top w:val="none" w:sz="0" w:space="0" w:color="auto"/>
        <w:left w:val="none" w:sz="0" w:space="0" w:color="auto"/>
        <w:bottom w:val="none" w:sz="0" w:space="0" w:color="auto"/>
        <w:right w:val="none" w:sz="0" w:space="0" w:color="auto"/>
      </w:divBdr>
    </w:div>
    <w:div w:id="742337763">
      <w:bodyDiv w:val="1"/>
      <w:marLeft w:val="0"/>
      <w:marRight w:val="0"/>
      <w:marTop w:val="0"/>
      <w:marBottom w:val="0"/>
      <w:divBdr>
        <w:top w:val="none" w:sz="0" w:space="0" w:color="auto"/>
        <w:left w:val="none" w:sz="0" w:space="0" w:color="auto"/>
        <w:bottom w:val="none" w:sz="0" w:space="0" w:color="auto"/>
        <w:right w:val="none" w:sz="0" w:space="0" w:color="auto"/>
      </w:divBdr>
    </w:div>
    <w:div w:id="828443112">
      <w:bodyDiv w:val="1"/>
      <w:marLeft w:val="0"/>
      <w:marRight w:val="0"/>
      <w:marTop w:val="0"/>
      <w:marBottom w:val="0"/>
      <w:divBdr>
        <w:top w:val="none" w:sz="0" w:space="0" w:color="auto"/>
        <w:left w:val="none" w:sz="0" w:space="0" w:color="auto"/>
        <w:bottom w:val="none" w:sz="0" w:space="0" w:color="auto"/>
        <w:right w:val="none" w:sz="0" w:space="0" w:color="auto"/>
      </w:divBdr>
    </w:div>
    <w:div w:id="848908266">
      <w:bodyDiv w:val="1"/>
      <w:marLeft w:val="0"/>
      <w:marRight w:val="0"/>
      <w:marTop w:val="0"/>
      <w:marBottom w:val="0"/>
      <w:divBdr>
        <w:top w:val="none" w:sz="0" w:space="0" w:color="auto"/>
        <w:left w:val="none" w:sz="0" w:space="0" w:color="auto"/>
        <w:bottom w:val="none" w:sz="0" w:space="0" w:color="auto"/>
        <w:right w:val="none" w:sz="0" w:space="0" w:color="auto"/>
      </w:divBdr>
    </w:div>
    <w:div w:id="863640534">
      <w:bodyDiv w:val="1"/>
      <w:marLeft w:val="0"/>
      <w:marRight w:val="0"/>
      <w:marTop w:val="0"/>
      <w:marBottom w:val="0"/>
      <w:divBdr>
        <w:top w:val="none" w:sz="0" w:space="0" w:color="auto"/>
        <w:left w:val="none" w:sz="0" w:space="0" w:color="auto"/>
        <w:bottom w:val="none" w:sz="0" w:space="0" w:color="auto"/>
        <w:right w:val="none" w:sz="0" w:space="0" w:color="auto"/>
      </w:divBdr>
    </w:div>
    <w:div w:id="1001733353">
      <w:bodyDiv w:val="1"/>
      <w:marLeft w:val="0"/>
      <w:marRight w:val="0"/>
      <w:marTop w:val="0"/>
      <w:marBottom w:val="0"/>
      <w:divBdr>
        <w:top w:val="none" w:sz="0" w:space="0" w:color="auto"/>
        <w:left w:val="none" w:sz="0" w:space="0" w:color="auto"/>
        <w:bottom w:val="none" w:sz="0" w:space="0" w:color="auto"/>
        <w:right w:val="none" w:sz="0" w:space="0" w:color="auto"/>
      </w:divBdr>
    </w:div>
    <w:div w:id="1038628441">
      <w:bodyDiv w:val="1"/>
      <w:marLeft w:val="0"/>
      <w:marRight w:val="0"/>
      <w:marTop w:val="0"/>
      <w:marBottom w:val="0"/>
      <w:divBdr>
        <w:top w:val="none" w:sz="0" w:space="0" w:color="auto"/>
        <w:left w:val="none" w:sz="0" w:space="0" w:color="auto"/>
        <w:bottom w:val="none" w:sz="0" w:space="0" w:color="auto"/>
        <w:right w:val="none" w:sz="0" w:space="0" w:color="auto"/>
      </w:divBdr>
    </w:div>
    <w:div w:id="1063064593">
      <w:bodyDiv w:val="1"/>
      <w:marLeft w:val="0"/>
      <w:marRight w:val="0"/>
      <w:marTop w:val="0"/>
      <w:marBottom w:val="0"/>
      <w:divBdr>
        <w:top w:val="none" w:sz="0" w:space="0" w:color="auto"/>
        <w:left w:val="none" w:sz="0" w:space="0" w:color="auto"/>
        <w:bottom w:val="none" w:sz="0" w:space="0" w:color="auto"/>
        <w:right w:val="none" w:sz="0" w:space="0" w:color="auto"/>
      </w:divBdr>
    </w:div>
    <w:div w:id="1118336493">
      <w:bodyDiv w:val="1"/>
      <w:marLeft w:val="0"/>
      <w:marRight w:val="0"/>
      <w:marTop w:val="0"/>
      <w:marBottom w:val="0"/>
      <w:divBdr>
        <w:top w:val="none" w:sz="0" w:space="0" w:color="auto"/>
        <w:left w:val="none" w:sz="0" w:space="0" w:color="auto"/>
        <w:bottom w:val="none" w:sz="0" w:space="0" w:color="auto"/>
        <w:right w:val="none" w:sz="0" w:space="0" w:color="auto"/>
      </w:divBdr>
    </w:div>
    <w:div w:id="1188133757">
      <w:bodyDiv w:val="1"/>
      <w:marLeft w:val="0"/>
      <w:marRight w:val="0"/>
      <w:marTop w:val="0"/>
      <w:marBottom w:val="0"/>
      <w:divBdr>
        <w:top w:val="none" w:sz="0" w:space="0" w:color="auto"/>
        <w:left w:val="none" w:sz="0" w:space="0" w:color="auto"/>
        <w:bottom w:val="none" w:sz="0" w:space="0" w:color="auto"/>
        <w:right w:val="none" w:sz="0" w:space="0" w:color="auto"/>
      </w:divBdr>
    </w:div>
    <w:div w:id="1245460135">
      <w:bodyDiv w:val="1"/>
      <w:marLeft w:val="0"/>
      <w:marRight w:val="0"/>
      <w:marTop w:val="0"/>
      <w:marBottom w:val="0"/>
      <w:divBdr>
        <w:top w:val="none" w:sz="0" w:space="0" w:color="auto"/>
        <w:left w:val="none" w:sz="0" w:space="0" w:color="auto"/>
        <w:bottom w:val="none" w:sz="0" w:space="0" w:color="auto"/>
        <w:right w:val="none" w:sz="0" w:space="0" w:color="auto"/>
      </w:divBdr>
    </w:div>
    <w:div w:id="1262689038">
      <w:bodyDiv w:val="1"/>
      <w:marLeft w:val="0"/>
      <w:marRight w:val="0"/>
      <w:marTop w:val="0"/>
      <w:marBottom w:val="0"/>
      <w:divBdr>
        <w:top w:val="none" w:sz="0" w:space="0" w:color="auto"/>
        <w:left w:val="none" w:sz="0" w:space="0" w:color="auto"/>
        <w:bottom w:val="none" w:sz="0" w:space="0" w:color="auto"/>
        <w:right w:val="none" w:sz="0" w:space="0" w:color="auto"/>
      </w:divBdr>
    </w:div>
    <w:div w:id="1279140729">
      <w:bodyDiv w:val="1"/>
      <w:marLeft w:val="0"/>
      <w:marRight w:val="0"/>
      <w:marTop w:val="0"/>
      <w:marBottom w:val="0"/>
      <w:divBdr>
        <w:top w:val="none" w:sz="0" w:space="0" w:color="auto"/>
        <w:left w:val="none" w:sz="0" w:space="0" w:color="auto"/>
        <w:bottom w:val="none" w:sz="0" w:space="0" w:color="auto"/>
        <w:right w:val="none" w:sz="0" w:space="0" w:color="auto"/>
      </w:divBdr>
    </w:div>
    <w:div w:id="1286350301">
      <w:bodyDiv w:val="1"/>
      <w:marLeft w:val="0"/>
      <w:marRight w:val="0"/>
      <w:marTop w:val="0"/>
      <w:marBottom w:val="0"/>
      <w:divBdr>
        <w:top w:val="none" w:sz="0" w:space="0" w:color="auto"/>
        <w:left w:val="none" w:sz="0" w:space="0" w:color="auto"/>
        <w:bottom w:val="none" w:sz="0" w:space="0" w:color="auto"/>
        <w:right w:val="none" w:sz="0" w:space="0" w:color="auto"/>
      </w:divBdr>
    </w:div>
    <w:div w:id="1314338875">
      <w:bodyDiv w:val="1"/>
      <w:marLeft w:val="0"/>
      <w:marRight w:val="0"/>
      <w:marTop w:val="0"/>
      <w:marBottom w:val="0"/>
      <w:divBdr>
        <w:top w:val="none" w:sz="0" w:space="0" w:color="auto"/>
        <w:left w:val="none" w:sz="0" w:space="0" w:color="auto"/>
        <w:bottom w:val="none" w:sz="0" w:space="0" w:color="auto"/>
        <w:right w:val="none" w:sz="0" w:space="0" w:color="auto"/>
      </w:divBdr>
    </w:div>
    <w:div w:id="1323047220">
      <w:bodyDiv w:val="1"/>
      <w:marLeft w:val="0"/>
      <w:marRight w:val="0"/>
      <w:marTop w:val="0"/>
      <w:marBottom w:val="0"/>
      <w:divBdr>
        <w:top w:val="none" w:sz="0" w:space="0" w:color="auto"/>
        <w:left w:val="none" w:sz="0" w:space="0" w:color="auto"/>
        <w:bottom w:val="none" w:sz="0" w:space="0" w:color="auto"/>
        <w:right w:val="none" w:sz="0" w:space="0" w:color="auto"/>
      </w:divBdr>
    </w:div>
    <w:div w:id="1349022937">
      <w:bodyDiv w:val="1"/>
      <w:marLeft w:val="0"/>
      <w:marRight w:val="0"/>
      <w:marTop w:val="0"/>
      <w:marBottom w:val="0"/>
      <w:divBdr>
        <w:top w:val="none" w:sz="0" w:space="0" w:color="auto"/>
        <w:left w:val="none" w:sz="0" w:space="0" w:color="auto"/>
        <w:bottom w:val="none" w:sz="0" w:space="0" w:color="auto"/>
        <w:right w:val="none" w:sz="0" w:space="0" w:color="auto"/>
      </w:divBdr>
    </w:div>
    <w:div w:id="1358657820">
      <w:bodyDiv w:val="1"/>
      <w:marLeft w:val="0"/>
      <w:marRight w:val="0"/>
      <w:marTop w:val="0"/>
      <w:marBottom w:val="0"/>
      <w:divBdr>
        <w:top w:val="none" w:sz="0" w:space="0" w:color="auto"/>
        <w:left w:val="none" w:sz="0" w:space="0" w:color="auto"/>
        <w:bottom w:val="none" w:sz="0" w:space="0" w:color="auto"/>
        <w:right w:val="none" w:sz="0" w:space="0" w:color="auto"/>
      </w:divBdr>
    </w:div>
    <w:div w:id="1438058268">
      <w:bodyDiv w:val="1"/>
      <w:marLeft w:val="0"/>
      <w:marRight w:val="0"/>
      <w:marTop w:val="0"/>
      <w:marBottom w:val="0"/>
      <w:divBdr>
        <w:top w:val="none" w:sz="0" w:space="0" w:color="auto"/>
        <w:left w:val="none" w:sz="0" w:space="0" w:color="auto"/>
        <w:bottom w:val="none" w:sz="0" w:space="0" w:color="auto"/>
        <w:right w:val="none" w:sz="0" w:space="0" w:color="auto"/>
      </w:divBdr>
    </w:div>
    <w:div w:id="1493595738">
      <w:bodyDiv w:val="1"/>
      <w:marLeft w:val="0"/>
      <w:marRight w:val="0"/>
      <w:marTop w:val="0"/>
      <w:marBottom w:val="0"/>
      <w:divBdr>
        <w:top w:val="none" w:sz="0" w:space="0" w:color="auto"/>
        <w:left w:val="none" w:sz="0" w:space="0" w:color="auto"/>
        <w:bottom w:val="none" w:sz="0" w:space="0" w:color="auto"/>
        <w:right w:val="none" w:sz="0" w:space="0" w:color="auto"/>
      </w:divBdr>
    </w:div>
    <w:div w:id="1700280253">
      <w:bodyDiv w:val="1"/>
      <w:marLeft w:val="0"/>
      <w:marRight w:val="0"/>
      <w:marTop w:val="0"/>
      <w:marBottom w:val="0"/>
      <w:divBdr>
        <w:top w:val="none" w:sz="0" w:space="0" w:color="auto"/>
        <w:left w:val="none" w:sz="0" w:space="0" w:color="auto"/>
        <w:bottom w:val="none" w:sz="0" w:space="0" w:color="auto"/>
        <w:right w:val="none" w:sz="0" w:space="0" w:color="auto"/>
      </w:divBdr>
    </w:div>
    <w:div w:id="1814322597">
      <w:bodyDiv w:val="1"/>
      <w:marLeft w:val="0"/>
      <w:marRight w:val="0"/>
      <w:marTop w:val="0"/>
      <w:marBottom w:val="0"/>
      <w:divBdr>
        <w:top w:val="none" w:sz="0" w:space="0" w:color="auto"/>
        <w:left w:val="none" w:sz="0" w:space="0" w:color="auto"/>
        <w:bottom w:val="none" w:sz="0" w:space="0" w:color="auto"/>
        <w:right w:val="none" w:sz="0" w:space="0" w:color="auto"/>
      </w:divBdr>
    </w:div>
    <w:div w:id="1902010489">
      <w:bodyDiv w:val="1"/>
      <w:marLeft w:val="0"/>
      <w:marRight w:val="0"/>
      <w:marTop w:val="0"/>
      <w:marBottom w:val="0"/>
      <w:divBdr>
        <w:top w:val="none" w:sz="0" w:space="0" w:color="auto"/>
        <w:left w:val="none" w:sz="0" w:space="0" w:color="auto"/>
        <w:bottom w:val="none" w:sz="0" w:space="0" w:color="auto"/>
        <w:right w:val="none" w:sz="0" w:space="0" w:color="auto"/>
      </w:divBdr>
    </w:div>
    <w:div w:id="1907106286">
      <w:bodyDiv w:val="1"/>
      <w:marLeft w:val="0"/>
      <w:marRight w:val="0"/>
      <w:marTop w:val="0"/>
      <w:marBottom w:val="0"/>
      <w:divBdr>
        <w:top w:val="none" w:sz="0" w:space="0" w:color="auto"/>
        <w:left w:val="none" w:sz="0" w:space="0" w:color="auto"/>
        <w:bottom w:val="none" w:sz="0" w:space="0" w:color="auto"/>
        <w:right w:val="none" w:sz="0" w:space="0" w:color="auto"/>
      </w:divBdr>
    </w:div>
    <w:div w:id="1928729964">
      <w:bodyDiv w:val="1"/>
      <w:marLeft w:val="0"/>
      <w:marRight w:val="0"/>
      <w:marTop w:val="0"/>
      <w:marBottom w:val="0"/>
      <w:divBdr>
        <w:top w:val="none" w:sz="0" w:space="0" w:color="auto"/>
        <w:left w:val="none" w:sz="0" w:space="0" w:color="auto"/>
        <w:bottom w:val="none" w:sz="0" w:space="0" w:color="auto"/>
        <w:right w:val="none" w:sz="0" w:space="0" w:color="auto"/>
      </w:divBdr>
    </w:div>
    <w:div w:id="1996302096">
      <w:bodyDiv w:val="1"/>
      <w:marLeft w:val="0"/>
      <w:marRight w:val="0"/>
      <w:marTop w:val="0"/>
      <w:marBottom w:val="0"/>
      <w:divBdr>
        <w:top w:val="none" w:sz="0" w:space="0" w:color="auto"/>
        <w:left w:val="none" w:sz="0" w:space="0" w:color="auto"/>
        <w:bottom w:val="none" w:sz="0" w:space="0" w:color="auto"/>
        <w:right w:val="none" w:sz="0" w:space="0" w:color="auto"/>
      </w:divBdr>
    </w:div>
    <w:div w:id="2058889334">
      <w:bodyDiv w:val="1"/>
      <w:marLeft w:val="0"/>
      <w:marRight w:val="0"/>
      <w:marTop w:val="0"/>
      <w:marBottom w:val="0"/>
      <w:divBdr>
        <w:top w:val="none" w:sz="0" w:space="0" w:color="auto"/>
        <w:left w:val="none" w:sz="0" w:space="0" w:color="auto"/>
        <w:bottom w:val="none" w:sz="0" w:space="0" w:color="auto"/>
        <w:right w:val="none" w:sz="0" w:space="0" w:color="auto"/>
      </w:divBdr>
    </w:div>
    <w:div w:id="2063169961">
      <w:bodyDiv w:val="1"/>
      <w:marLeft w:val="0"/>
      <w:marRight w:val="0"/>
      <w:marTop w:val="0"/>
      <w:marBottom w:val="0"/>
      <w:divBdr>
        <w:top w:val="none" w:sz="0" w:space="0" w:color="auto"/>
        <w:left w:val="none" w:sz="0" w:space="0" w:color="auto"/>
        <w:bottom w:val="none" w:sz="0" w:space="0" w:color="auto"/>
        <w:right w:val="none" w:sz="0" w:space="0" w:color="auto"/>
      </w:divBdr>
    </w:div>
    <w:div w:id="2077898788">
      <w:bodyDiv w:val="1"/>
      <w:marLeft w:val="0"/>
      <w:marRight w:val="0"/>
      <w:marTop w:val="0"/>
      <w:marBottom w:val="0"/>
      <w:divBdr>
        <w:top w:val="none" w:sz="0" w:space="0" w:color="auto"/>
        <w:left w:val="none" w:sz="0" w:space="0" w:color="auto"/>
        <w:bottom w:val="none" w:sz="0" w:space="0" w:color="auto"/>
        <w:right w:val="none" w:sz="0" w:space="0" w:color="auto"/>
      </w:divBdr>
    </w:div>
    <w:div w:id="2107916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AE614EC17B01458E23CA133F2C7EAC" ma:contentTypeVersion="12" ma:contentTypeDescription="Create a new document." ma:contentTypeScope="" ma:versionID="03ad85ef45824baf9cb68cd2a3939a85">
  <xsd:schema xmlns:xsd="http://www.w3.org/2001/XMLSchema" xmlns:xs="http://www.w3.org/2001/XMLSchema" xmlns:p="http://schemas.microsoft.com/office/2006/metadata/properties" xmlns:ns3="b6f13a83-c7ac-4b29-ad55-9980ca6c30b3" xmlns:ns4="326b67b9-7957-4f44-a238-fe16297edc5b" targetNamespace="http://schemas.microsoft.com/office/2006/metadata/properties" ma:root="true" ma:fieldsID="e76c47a7fabab544ee4f294020dcd577" ns3:_="" ns4:_="">
    <xsd:import namespace="b6f13a83-c7ac-4b29-ad55-9980ca6c30b3"/>
    <xsd:import namespace="326b67b9-7957-4f44-a238-fe16297edc5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f13a83-c7ac-4b29-ad55-9980ca6c30b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6b67b9-7957-4f44-a238-fe16297edc5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correlation-definition</b:Tag>
    <b:SourceType>InternetSite</b:SourceType>
    <b:Title>Correlation Definition</b:Title>
    <b:Author/>
    <b:URL>https://www.investopedia.com/terms/c/correlation.asp</b:URL>
    <b:RefOrder>2</b:RefOrder>
  </b:Source>
  <b:Source>
    <b:Tag>sands-1977-correlation-and-covariance</b:Tag>
    <b:SourceType>JournalArticle</b:SourceType>
    <b:Title>Correlation and covariance</b:Title>
    <b:Year>1977</b:Year>
    <b:Author>
      <b:Author>
        <b:NameList>
          <b:Person>
            <b:First>Donald E.</b:First>
            <b:Last>Sands</b:Last>
          </b:Person>
        </b:NameList>
      </b:Author>
    </b:Author>
    <b:JournalName>Journal of Chemical Education</b:JournalName>
    <b:Pages>90-94</b:Pages>
    <b:Volume>54</b:Volume>
    <b:Issue>2</b:Issue>
    <b:StandardNumber>10.1021/ed054p90</b:StandardNumber>
    <b:Month>2</b:Month>
    <b:RefOrder>6</b:RefOrder>
  </b:Source>
  <b:Source>
    <b:Tag>alin-2010-multicollinearity</b:Tag>
    <b:SourceType>JournalArticle</b:SourceType>
    <b:Title>Multicollinearity</b:Title>
    <b:Year>2010</b:Year>
    <b:Author>
      <b:Author>
        <b:NameList>
          <b:Person>
            <b:First>Aylin</b:First>
            <b:Last>Alin</b:Last>
          </b:Person>
        </b:NameList>
      </b:Author>
    </b:Author>
    <b:JournalName>Wiley Interdisciplinary Reviews: Computational Statistics</b:JournalName>
    <b:Pages>370-374</b:Pages>
    <b:Volume>2</b:Volume>
    <b:Issue>3</b:Issue>
    <b:StandardNumber>10.1002/wics.84</b:StandardNumber>
    <b:Month>5</b:Month>
    <b:RefOrder>5</b:RefOrder>
  </b:Source>
  <b:Source>
    <b:Tag>multicollinearity-and-collinearity-(in-multiple-regression)---a-tutorial-|-psychological-statistics</b:Tag>
    <b:SourceType>InternetSite</b:SourceType>
    <b:Title>Multicollinearity and collinearity (in multiple regression) - a tutorial | Psychological Statistics</b:Title>
    <b:Author/>
    <b:URL>http://psychologicalstatistics.blogspot.com/2013/11/multicollinearity-and-collinearity-in.html</b:URL>
    <b:RefOrder>4</b:RefOrder>
  </b:Source>
  <b:Source>
    <b:Tag>homoscedasticity---statistics-solutions</b:Tag>
    <b:SourceType>InternetSite</b:SourceType>
    <b:Title>Homoscedasticity - Statistics Solutions</b:Title>
    <b:Author/>
    <b:URL>https://www.statisticssolutions.com/homoscedasticity/</b:URL>
    <b:RefOrder>1</b:RefOrder>
  </b:Source>
  <b:Source>
    <b:Tag>covariance-definition</b:Tag>
    <b:SourceType>InternetSite</b:SourceType>
    <b:Title>Covariance Definition</b:Title>
    <b:Author/>
    <b:URL>https://www.investopedia.com/terms/c/covariance.asp</b:URL>
    <b:RefOrder>3</b:RefOrder>
  </b:Source>
</b:Sources>
</file>

<file path=customXml/itemProps1.xml><?xml version="1.0" encoding="utf-8"?>
<ds:datastoreItem xmlns:ds="http://schemas.openxmlformats.org/officeDocument/2006/customXml" ds:itemID="{CCD20194-6969-43CF-B6FE-47169D7292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f13a83-c7ac-4b29-ad55-9980ca6c30b3"/>
    <ds:schemaRef ds:uri="326b67b9-7957-4f44-a238-fe16297ed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81E788-2CA7-40B6-9D78-7A0FE63ABA23}">
  <ds:schemaRefs>
    <ds:schemaRef ds:uri="http://schemas.microsoft.com/sharepoint/v3/contenttype/forms"/>
  </ds:schemaRefs>
</ds:datastoreItem>
</file>

<file path=customXml/itemProps3.xml><?xml version="1.0" encoding="utf-8"?>
<ds:datastoreItem xmlns:ds="http://schemas.openxmlformats.org/officeDocument/2006/customXml" ds:itemID="{DB0CEE69-0C4A-4D3B-8E7C-62C78FD04B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D10CE8B-A11C-430B-BA24-DA48D7851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Pages>
  <Words>706</Words>
  <Characters>4027</Characters>
  <Application>Microsoft Office Word</Application>
  <DocSecurity>0</DocSecurity>
  <Lines>33</Lines>
  <Paragraphs>9</Paragraphs>
  <ScaleCrop>false</ScaleCrop>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Cabrera Lozoya</dc:creator>
  <cp:keywords/>
  <cp:lastModifiedBy>Yasuo Ignacio Maidana Pérez</cp:lastModifiedBy>
  <cp:revision>26</cp:revision>
  <dcterms:created xsi:type="dcterms:W3CDTF">2020-07-10T17:06:00Z</dcterms:created>
  <dcterms:modified xsi:type="dcterms:W3CDTF">2020-07-10T18:46:00Z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0x01010064AE614EC17B01458E23CA133F2C7EAC</vt:lpwstr>
  </property>
</Properties>
</file>