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NON-SUBMISSION DRAFT MIRROR</w:t>
      </w:r>
      <w:r>
        <w:t xml:space="preserve"> </w:t>
      </w:r>
      <w:r>
        <w:t xml:space="preserve">— Do not upload. Submission File 1 is</w:t>
      </w:r>
      <w:r>
        <w:t xml:space="preserve"> </w:t>
      </w:r>
      <w:r>
        <w:rPr>
          <w:rStyle w:val="VerbatimChar"/>
        </w:rPr>
        <w:t xml:space="preserve">Response_to_Reviewers.docx</w:t>
      </w:r>
      <w:r>
        <w:t xml:space="preserve"> </w:t>
      </w:r>
      <w:r>
        <w:t xml:space="preserve">/</w:t>
      </w:r>
      <w:r>
        <w:t xml:space="preserve"> </w:t>
      </w:r>
      <w:r>
        <w:rPr>
          <w:rStyle w:val="VerbatimChar"/>
        </w:rPr>
        <w:t xml:space="preserve">.md</w:t>
      </w:r>
      <w:r>
        <w:t xml:space="preserve"> </w:t>
      </w:r>
      <w:r>
        <w:t xml:space="preserve">(same body; this file is a working mirror only).</w:t>
      </w:r>
    </w:p>
    <w:bookmarkStart w:id="23"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Quantitative Biomarkers and Rule-Based Morphological Categorization Across OCTA Platforms</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Vascular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Clarified that median score proximity to 50 after median-anchored normalization is a mathematical consequence of the scaling procedure, not evidence of biological equivalence across devices (see Reviewer 2, Comment 1). The Abstract still reports medians near 50 and non-significant Kruskal–Wallis tests under the standardized reporting framework; Discussion and Limitations state explicitly that this does not establish cross-device biological equivalence.</w:t>
      </w:r>
      <w:r>
        <w:t xml:space="preserve"> </w:t>
      </w:r>
      <w:r>
        <w:t xml:space="preserve">2. Replaced “pathophysiological classification” with morphology-derived interpretive categories and reframed clinical utility as requiring future outcome-linked studies (see Reviewer 2, Comment 3);</w:t>
      </w:r>
      <w:r>
        <w:t xml:space="preserve"> </w:t>
      </w:r>
      <w:r>
        <w:rPr>
          <w:b/>
          <w:bCs/>
        </w:rPr>
        <w:t xml:space="preserve">Tables 4–5</w:t>
      </w:r>
      <w:r>
        <w:t xml:space="preserve"> </w:t>
      </w:r>
      <w:r>
        <w:t xml:space="preserve">rewritten accordingly.</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with same-operator intra-observer test–retest as a supplement; see Reviewer 2, Comment 4), and the need for multi-center external validation.</w:t>
      </w:r>
      <w:r>
        <w:t xml:space="preserve"> </w:t>
      </w:r>
      <w:r>
        <w:t xml:space="preserve">4. Restored and notation-revised</w:t>
      </w:r>
      <w:r>
        <w:t xml:space="preserve"> </w:t>
      </w:r>
      <w:r>
        <w:rPr>
          <w:b/>
          <w:bCs/>
        </w:rPr>
        <w:t xml:space="preserve">Tables 1–5</w:t>
      </w:r>
      <w:r>
        <w:t xml:space="preserve">. Tables are provided as a</w:t>
      </w:r>
      <w:r>
        <w:t xml:space="preserve"> </w:t>
      </w:r>
      <w:r>
        <w:rPr>
          <w:b/>
          <w:bCs/>
        </w:rPr>
        <w:t xml:space="preserve">separate Word file</w:t>
      </w:r>
      <w:r>
        <w:t xml:space="preserve"> </w:t>
      </w:r>
      <w:r>
        <w:t xml:space="preserve">(</w:t>
      </w:r>
      <w:r>
        <w:rPr>
          <w:rStyle w:val="VerbatimChar"/>
        </w:rPr>
        <w:t xml:space="preserve">MNV_Analysis_YY_rev1_tables.docx</w:t>
      </w:r>
      <w:r>
        <w:t xml:space="preserve">); the manuscript body cites Tables 1–5 in text only. Figure legends for Figures 1–3 are in a separate file (</w:t>
      </w:r>
      <w:r>
        <w:rPr>
          <w:rStyle w:val="VerbatimChar"/>
        </w:rPr>
        <w:t xml:space="preserve">MNV_Analysis_YY_rev1_figure_legends.docx</w:t>
      </w:r>
      <w:r>
        <w:t xml:space="preserve">).</w:t>
      </w:r>
      <w:r>
        <w:t xml:space="preserve"> </w:t>
      </w:r>
      <w:r>
        <w:rPr>
          <w:b/>
          <w:bCs/>
        </w:rPr>
        <w:t xml:space="preserve">Table 1</w:t>
      </w:r>
      <w:r>
        <w:t xml:space="preserve"> </w:t>
      </w:r>
      <w:r>
        <w:t xml:space="preserve">uses columns Variable | Description | Inter-rater ICC(2,1) | Intra-rater ICC(2,1), with κ in the corresponding columns for morphological subtypes (see Reviewer 2, Comment 4).</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thank the Reviewer for these suggestions.</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(approximately 24 µm local radius;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Methods note that the analytical framework was initially implemented as an ImageJ macro and later in Python; our Phansalkar parameters follow the ImageJ Auto Local Threshold (Phansalkar) convention used in the original macro. The Abstract and Conclusion describe the submitted system as Python-based.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 including operational parameters (≈24 µm; k = 0.1, R = 0).</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have undertaken additional analyses where feasible and have tempered the conclusions accordingly.</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Mapping each stratum’s median to 50 is by construction; therefore median values near 50 after normalization cannot be interpreted as empirical proof of biological equivalence across devices. Under the Standardized Caliber Uniformity Score, between-stratum Kruskal–Wallis tests for Complexity, Caliber, and Maturity are non-significant (ε² ≈ 0; see Comment 5)—but that pattern still does not establish biological equivalence, because median-anchored transforms and locked cuts can attenuate stratum-mean contrasts by design. In all cases, medians near 50 are a mathematical consequence of the transform and do not imply that scores are biologically comparable across devices/FOV strata.</w:t>
      </w:r>
    </w:p>
    <w:p>
      <w:pPr>
        <w:pStyle w:val="BodyText"/>
      </w:pPr>
      <w:r>
        <w:rPr>
          <w:b/>
          <w:bCs/>
        </w:rPr>
        <w:t xml:space="preserve">Changes made:</w:t>
      </w:r>
      <w:r>
        <w:t xml:space="preserve"> </w:t>
      </w:r>
      <w:r>
        <w:t xml:space="preserve">- Results and Discussion/Limitations now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 The Abstract reports standardized scores on that common reporting scale (medians near 50) together with non-significant between-stratum Kruskal–Wallis tests; the non-equivalence caveat is stated explicitly in the Discussion and Limitations rather than as Abstract-only claim language.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w:t>
      </w:r>
      <w:r>
        <w:t xml:space="preserve"> </w:t>
      </w:r>
      <w:r>
        <w:rPr>
          <w:b/>
          <w:bCs/>
        </w:rPr>
        <w:t xml:space="preserve">Table 3</w:t>
      </w:r>
      <w:r>
        <w:t xml:space="preserve"> </w:t>
      </w:r>
      <w:r>
        <w:t xml:space="preserve">rewritten: primary endpoint is the Standardized Caliber Uniformity Score with Kruskal–Wallis H/p plus ε² and bootstrap 95% CIs. Original PCA-based Caliber Uniformity Table 3 medians/p-values are no longer the primary table content (PCA Caliber Uniformity remains a non-primary legacy definition mentioned only in Methods context).</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w:t>
      </w:r>
      <w:r>
        <w:rPr>
          <w:b/>
          <w:bCs/>
        </w:rPr>
        <w:t xml:space="preserve">Table 2</w:t>
      </w:r>
      <w:r>
        <w:t xml:space="preserve">); (ii) consistency of Complexity PCA structure (PC1 loadings and explained variance) across strata; (iii) within-stratum score distributions by morphological category after expert comparison.</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appropriate.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disclosed in Methods and/or Supplementary Table S1.</w:t>
      </w:r>
    </w:p>
    <w:p>
      <w:pPr>
        <w:pStyle w:val="FirstParagraph"/>
      </w:pPr>
      <w:r>
        <w:t xml:space="preserve">We interpret this modest-to-moderate κ as partly reflecting limitations of subjective categorical OCTA morphological grading, rather than as solely indicating algorithmic failure. Qualitative pattern labels remain partly descriptive and ambiguous in the OCTA literature (Tew et al.,</w:t>
      </w:r>
      <w:r>
        <w:t xml:space="preserve"> </w:t>
      </w:r>
      <w:r>
        <w:rPr>
          <w:i/>
          <w:iCs/>
        </w:rPr>
        <w:t xml:space="preserve">Clin Experiment Ophthalmol</w:t>
      </w:r>
      <w:r>
        <w:t xml:space="preserve"> </w:t>
      </w:r>
      <w:r>
        <w:t xml:space="preserve">2020; already cited). Related work similarly indicates that qualitative assessments can be less reliable across raters than quantitative OCTA metrics (Shah et al.,</w:t>
      </w:r>
      <w:r>
        <w:t xml:space="preserve"> </w:t>
      </w:r>
      <w:r>
        <w:rPr>
          <w:i/>
          <w:iCs/>
        </w:rPr>
        <w:t xml:space="preserve">Transl Vis Sci Technol</w:t>
      </w:r>
      <w:r>
        <w:t xml:space="preserve"> </w:t>
      </w:r>
      <w:r>
        <w:t xml:space="preserve">2023), and categorical MNV typing between fluorescein angiography– and OCT-based systems shows only moderate agreement (Deák et al.,</w:t>
      </w:r>
      <w:r>
        <w:t xml:space="preserve"> </w:t>
      </w:r>
      <w:r>
        <w:rPr>
          <w:i/>
          <w:iCs/>
        </w:rPr>
        <w:t xml:space="preserve">Sci Rep</w:t>
      </w:r>
      <w:r>
        <w:t xml:space="preserve"> </w:t>
      </w:r>
      <w:r>
        <w:t xml:space="preserve">2025).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 reduce rater-dependent ambiguity relative to purely descriptive human grading. We report agreement, disclose thresholds, and claim only that quantitative operational definitions improve transparency and reproducibility relative to purely descriptive labels; we do not claim that the algorithm replaces expert judgment.</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subtype labels were not present in the analysis export.</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Changes made:</w:t>
      </w:r>
      <w:r>
        <w:t xml:space="preserve"> </w:t>
      </w:r>
      <w:r>
        <w:t xml:space="preserve">-</w:t>
      </w:r>
      <w:r>
        <w:t xml:space="preserve"> </w:t>
      </w:r>
      <w:r>
        <w:rPr>
          <w:b/>
          <w:bCs/>
        </w:rPr>
        <w:t xml:space="preserve">Table 4</w:t>
      </w:r>
      <w:r>
        <w:t xml:space="preserve"> </w:t>
      </w:r>
      <w:r>
        <w:t xml:space="preserve">restored with complete Medusa/Seafan splits; expert–automated κ and Supplementary confusion matrix added in Results.</w:t>
      </w:r>
      <w:r>
        <w:t xml:space="preserve"> </w:t>
      </w:r>
      <w:r>
        <w:t xml:space="preserve">- Decision thresholds disclosed in Methods / Supplementary Table S1.</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2025;15:4303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in the title, Methods, Results, Tables 4–5, Discussion, and Conclusion. The Abstract presents these as morphology-derived interpretive labels/pattern states rather than clinically validated pathophysiological classes.</w:t>
      </w:r>
      <w:r>
        <w:t xml:space="preserve"> </w:t>
      </w:r>
      <w:r>
        <w:t xml:space="preserve">-</w:t>
      </w:r>
      <w:r>
        <w:t xml:space="preserve"> </w:t>
      </w:r>
      <w:r>
        <w:rPr>
          <w:b/>
          <w:bCs/>
        </w:rPr>
        <w:t xml:space="preserve">Table 4:</w:t>
      </w:r>
      <w:r>
        <w:t xml:space="preserve"> </w:t>
      </w:r>
      <w:r>
        <w:t xml:space="preserve">removed the original “Pathophysiological State” column; subtype counts/percentages restored.</w:t>
      </w:r>
      <w:r>
        <w:t xml:space="preserve"> </w:t>
      </w:r>
      <w:r>
        <w:t xml:space="preserve">-</w:t>
      </w:r>
      <w:r>
        <w:t xml:space="preserve"> </w:t>
      </w:r>
      <w:r>
        <w:rPr>
          <w:b/>
          <w:bCs/>
        </w:rPr>
        <w:t xml:space="preserve">Table 5:</w:t>
      </w:r>
      <w:r>
        <w:t xml:space="preserve"> </w:t>
      </w:r>
      <w:r>
        <w:t xml:space="preserve">retitled/rewritten as a morphology-derived interpretive mapping (Primary/Secondary</w:t>
      </w:r>
      <w:r>
        <w:t xml:space="preserve"> </w:t>
      </w:r>
      <w:r>
        <w:rPr>
          <w:b/>
          <w:bCs/>
        </w:rPr>
        <w:t xml:space="preserve">interpretive category</w:t>
      </w:r>
      <w:r>
        <w:t xml:space="preserve"> </w:t>
      </w:r>
      <w:r>
        <w:t xml:space="preserve">columns); no pathophysiological-state wording.</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Discussion now frames these categories as a</w:t>
      </w:r>
      <w:r>
        <w:t xml:space="preserve"> </w:t>
      </w:r>
      <w:r>
        <w:rPr>
          <w:b/>
          <w:bCs/>
        </w:rPr>
        <w:t xml:space="preserve">framework for future outcome-linked studies</w:t>
      </w:r>
      <w:r>
        <w:t xml:space="preserve"> </w:t>
      </w:r>
      <w:r>
        <w:t xml:space="preserve">aimed at clarifying any role in clinical decision-making and prognostic stratification; Abstract Conclusion and Conclusion state that future outcome-linked and multi-center evaluations are required to establish clinical utility.</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should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McGraw &amp; Wong) for lesion area and for Standardized Vascular Complexity Score, the Standardized Caliber Uniformity Score, and Maturity Index recomputed from that Caliber score, with pairwise ICCs and a multilevel variance-component ICC as complementary summaries. Interpretive bands follow published guidance (poor &lt;0.50; moderate 0.50–0.75; good 0.75–0.90; excellent &gt;0.90; Koo &amp; Li).</w:t>
      </w:r>
    </w:p>
    <w:p>
      <w:pPr>
        <w:pStyle w:val="BodyText"/>
      </w:pPr>
      <w:r>
        <w:t xml:space="preserve">In the revised manuscript, the primary Caliber Uniformity endpoint is the</w:t>
      </w:r>
      <w:r>
        <w:t xml:space="preserve"> </w:t>
      </w:r>
      <w:r>
        <w:rPr>
          <w:b/>
          <w:bCs/>
        </w:rPr>
        <w:t xml:space="preserve">Standardized Caliber Uniformity Score</w:t>
      </w:r>
      <w:r>
        <w:t xml:space="preserve"> </w:t>
      </w:r>
      <w:r>
        <w:t xml:space="preserve">based on NV Diameter CV and Dilated vessel % (weights 0.75 / 0.25; stratum-specific min/median/max piecewise maps). An initial PCA-based Caliber Uniformity Score from the original submission showed suboptimal inter-observer concordance and was replaced by this standardized definition (Methods); the primary reported Caliber ICC is therefore</w:t>
      </w:r>
      <w:r>
        <w:t xml:space="preserve"> </w:t>
      </w:r>
      <w:r>
        <w:rPr>
          <w:b/>
          <w:bCs/>
        </w:rPr>
        <w:t xml:space="preserve">0.770</w:t>
      </w:r>
      <w:r>
        <w:t xml:space="preserve">, not the legacy PCA-based Caliber ICC.</w:t>
      </w:r>
    </w:p>
    <w:p>
      <w:pPr>
        <w:pStyle w:val="BodyText"/>
      </w:pPr>
      <w:r>
        <w:rPr>
          <w:b/>
          <w:bCs/>
        </w:rPr>
        <w:t xml:space="preserve">Primary results (3-rater ICC(2,1),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Standardized Vascular Complexity Score</w:t>
            </w:r>
          </w:p>
        </w:tc>
        <w:tc>
          <w:tcPr/>
          <w:p>
            <w:pPr>
              <w:pStyle w:val="Compact"/>
            </w:pPr>
            <w:r>
              <w:t xml:space="preserve">0.807</w:t>
            </w:r>
          </w:p>
        </w:tc>
        <w:tc>
          <w:tcPr/>
          <w:p>
            <w:pPr>
              <w:pStyle w:val="Compact"/>
            </w:pPr>
            <w:r>
              <w:t xml:space="preserve">0.660–0.890</w:t>
            </w:r>
          </w:p>
        </w:tc>
      </w:tr>
      <w:tr>
        <w:tc>
          <w:tcPr/>
          <w:p>
            <w:pPr>
              <w:pStyle w:val="Compact"/>
            </w:pPr>
            <w:r>
              <w:t xml:space="preserve">Standardized Caliber Uniformity Score</w:t>
            </w:r>
          </w:p>
        </w:tc>
        <w:tc>
          <w:tcPr/>
          <w:p>
            <w:pPr>
              <w:pStyle w:val="Compact"/>
            </w:pPr>
            <w:r>
              <w:t xml:space="preserve">0.770</w:t>
            </w:r>
          </w:p>
        </w:tc>
        <w:tc>
          <w:tcPr/>
          <w:p>
            <w:pPr>
              <w:pStyle w:val="Compact"/>
            </w:pPr>
            <w:r>
              <w:t xml:space="preserve">0.660–0.860</w:t>
            </w:r>
          </w:p>
        </w:tc>
      </w:tr>
      <w:tr>
        <w:tc>
          <w:tcPr/>
          <w:p>
            <w:pPr>
              <w:pStyle w:val="Compact"/>
            </w:pPr>
            <w:r>
              <w:t xml:space="preserve">Maturity Index (from Caliber)</w:t>
            </w:r>
          </w:p>
        </w:tc>
        <w:tc>
          <w:tcPr/>
          <w:p>
            <w:pPr>
              <w:pStyle w:val="Compact"/>
            </w:pPr>
            <w:r>
              <w:t xml:space="preserve">0.593</w:t>
            </w:r>
          </w:p>
        </w:tc>
        <w:tc>
          <w:tcPr/>
          <w:p>
            <w:pPr>
              <w:pStyle w:val="Compact"/>
            </w:pPr>
            <w:r>
              <w:t xml:space="preserve">0.430–0.730</w:t>
            </w:r>
          </w:p>
        </w:tc>
      </w:tr>
    </w:tbl>
    <w:p>
      <w:pPr>
        <w:pStyle w:val="BodyText"/>
      </w:pPr>
      <w:r>
        <w:t xml:space="preserve">Lesion area, Complexity Score, and the Standardized Caliber Uniformity Score showed good inter-observer agreement on conventional ICC benchmarks; Maturity Index derived from that Caliber score was moderate (ICC(2,1)</w:t>
      </w:r>
      <w:r>
        <w:t xml:space="preserve"> </w:t>
      </w:r>
      <w:r>
        <w:rPr>
          <w:b/>
          <w:bCs/>
        </w:rPr>
        <w:t xml:space="preserve">0.593</w:t>
      </w:r>
      <w:r>
        <w:t xml:space="preserve">).</w:t>
      </w:r>
    </w:p>
    <w:p>
      <w:pPr>
        <w:pStyle w:val="BodyText"/>
      </w:pPr>
      <w:r>
        <w:t xml:space="preserve">As prompted by the Reviewer, we examined metric-specific reproducibility more closely. The primary Standardized Caliber Uniformity Score showed good inter-observer agreement (ICC(2,1) 0.770). Multi-device ICC spanning all three platforms was not available for this revision (all 46 images were 3×3 mm).</w:t>
      </w:r>
    </w:p>
    <w:p>
      <w:pPr>
        <w:pStyle w:val="BodyText"/>
      </w:pPr>
      <w:r>
        <w:rPr>
          <w:b/>
          <w:bCs/>
        </w:rPr>
        <w:t xml:space="preserve">Intra-observer results (YY Session 1 vs Session 2, n = 46).</w:t>
      </w:r>
      <w:r>
        <w:t xml:space="preserve"> </w:t>
      </w:r>
      <w:r>
        <w:t xml:space="preserve">We additionally completed same-operator test–retest: the original analyst (YY) repeated freehand ROI delineation on the same</w:t>
      </w:r>
      <w:r>
        <w:t xml:space="preserve"> </w:t>
      </w:r>
      <w:r>
        <w:rPr>
          <w:b/>
          <w:bCs/>
        </w:rPr>
        <w:t xml:space="preserve">n = 46</w:t>
      </w:r>
      <w:r>
        <w:t xml:space="preserve"> </w:t>
      </w:r>
      <w:r>
        <w:t xml:space="preserve">lesions in a separate sitting, with automated processing unchanged. For Caliber Uniformity and Maturity Index in this intra comparison, we report the same Standardized Caliber Uniformity Score applied to both sessions—the primary inter-observer Caliber endpoint—alongside Area and Complexity Score (unchanged definitions).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0.979</w:t>
            </w:r>
          </w:p>
        </w:tc>
        <w:tc>
          <w:tcPr/>
          <w:p>
            <w:pPr>
              <w:pStyle w:val="Compact"/>
            </w:pPr>
            <w:r>
              <w:t xml:space="preserve">0.962–0.988</w:t>
            </w:r>
          </w:p>
        </w:tc>
      </w:tr>
      <w:tr>
        <w:tc>
          <w:tcPr/>
          <w:p>
            <w:pPr>
              <w:pStyle w:val="Compact"/>
            </w:pPr>
            <w:r>
              <w:t xml:space="preserve">Standardized Vascular Complexity Score</w:t>
            </w:r>
          </w:p>
        </w:tc>
        <w:tc>
          <w:tcPr/>
          <w:p>
            <w:pPr>
              <w:pStyle w:val="Compact"/>
            </w:pPr>
            <w:r>
              <w:t xml:space="preserve">0.950</w:t>
            </w:r>
          </w:p>
        </w:tc>
        <w:tc>
          <w:tcPr/>
          <w:p>
            <w:pPr>
              <w:pStyle w:val="Compact"/>
            </w:pPr>
            <w:r>
              <w:t xml:space="preserve">0.913–0.973</w:t>
            </w:r>
          </w:p>
        </w:tc>
      </w:tr>
      <w:tr>
        <w:tc>
          <w:tcPr/>
          <w:p>
            <w:pPr>
              <w:pStyle w:val="Compact"/>
            </w:pPr>
            <w:r>
              <w:t xml:space="preserve">Standardized Caliber Uniformity Score</w:t>
            </w:r>
          </w:p>
        </w:tc>
        <w:tc>
          <w:tcPr/>
          <w:p>
            <w:pPr>
              <w:pStyle w:val="Compact"/>
            </w:pPr>
            <w:r>
              <w:t xml:space="preserve">0.925</w:t>
            </w:r>
          </w:p>
        </w:tc>
        <w:tc>
          <w:tcPr/>
          <w:p>
            <w:pPr>
              <w:pStyle w:val="Compact"/>
            </w:pPr>
            <w:r>
              <w:t xml:space="preserve">0.871–0.959</w:t>
            </w:r>
          </w:p>
        </w:tc>
      </w:tr>
      <w:tr>
        <w:tc>
          <w:tcPr/>
          <w:p>
            <w:pPr>
              <w:pStyle w:val="Compact"/>
            </w:pPr>
            <w:r>
              <w:t xml:space="preserve">Maturity Index (from Caliber)</w:t>
            </w:r>
          </w:p>
        </w:tc>
        <w:tc>
          <w:tcPr/>
          <w:p>
            <w:pPr>
              <w:pStyle w:val="Compact"/>
            </w:pPr>
            <w:r>
              <w:t xml:space="preserve">0.917</w:t>
            </w:r>
          </w:p>
        </w:tc>
        <w:tc>
          <w:tcPr/>
          <w:p>
            <w:pPr>
              <w:pStyle w:val="Compact"/>
            </w:pPr>
            <w:r>
              <w:t xml:space="preserve">0.857–0.954</w:t>
            </w:r>
          </w:p>
        </w:tc>
      </w:tr>
    </w:tbl>
    <w:p>
      <w:pPr>
        <w:pStyle w:val="BodyText"/>
      </w:pPr>
      <w:r>
        <w:t xml:space="preserve">Within-rater agreement was excellent for Area, Complexity Score, Caliber Uniformity, and Maturity Index (all ICC(2,1) ≥ 0.917). These intra-observer estimates support within-operator reproducibility under a fixed score definition; they supplement, and do not replace, the three-observer inter-observer ICCs as the primary multi-rater reproducibility claim.</w:t>
      </w:r>
    </w:p>
    <w:p>
      <w:pPr>
        <w:pStyle w:val="BodyText"/>
      </w:pPr>
      <w:r>
        <w:rPr>
          <w:b/>
          <w:bCs/>
        </w:rPr>
        <w:t xml:space="preserve">Table 1 update.</w:t>
      </w:r>
      <w:r>
        <w:t xml:space="preserve"> </w:t>
      </w:r>
      <w:r>
        <w:rPr>
          <w:b/>
          <w:bCs/>
        </w:rPr>
        <w:t xml:space="preserve">Table 1</w:t>
      </w:r>
      <w:r>
        <w:t xml:space="preserve"> </w:t>
      </w:r>
      <w:r>
        <w:t xml:space="preserve">now uses columns</w:t>
      </w:r>
      <w:r>
        <w:t xml:space="preserve"> </w:t>
      </w:r>
      <w:r>
        <w:rPr>
          <w:b/>
          <w:bCs/>
        </w:rPr>
        <w:t xml:space="preserve">Variable | Description | Inter-rater ICC(2,1) | Intra-rater ICC(2,1)</w:t>
      </w:r>
      <w:r>
        <w:t xml:space="preserve"> </w:t>
      </w:r>
      <w:r>
        <w:t xml:space="preserve">(n = 46 for ICC rows), including Maturity Index (inter 0.593; intra 0.917). Both inter- and intra-observer continuous metrics use the same Shrout &amp; Fleiss</w:t>
      </w:r>
      <w:r>
        <w:t xml:space="preserve"> </w:t>
      </w:r>
      <w:r>
        <w:rPr>
          <w:b/>
          <w:bCs/>
        </w:rPr>
        <w:t xml:space="preserve">ICC(2,1)</w:t>
      </w:r>
      <w:r>
        <w:t xml:space="preserve"> </w:t>
      </w:r>
      <w:r>
        <w:t xml:space="preserve">absolute-agreement model. Morphological subtype cells report quadratic weighted κ (expert–auto in the inter column; YY Session1–Session2 in the intra column) with a table footnote that these are κ, not ICC. Process rows remain</w:t>
      </w:r>
      <w:r>
        <w:t xml:space="preserve"> </w:t>
      </w:r>
      <w:r>
        <w:rPr>
          <w:rStyle w:val="VerbatimChar"/>
        </w:rPr>
        <w:t xml:space="preserve">—</w:t>
      </w:r>
      <w:r>
        <w:t xml:space="preserve">. Loop Count and Euler Number ICCs use totals (center + periphery). Table 1 remains the concise inventory pointer for the primary endpoints, including the Standardized Caliber Uniformity Score (inter ICC 0.770).</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 We now report Kruskal–Wallis H, p, and ε² with bootstrap 95% CIs (10 000 within-stratum resamples) for the Standardized Caliber Uniformity Score used as the primary Caliber endpoint (NV Diameter CV + Dilated vessel %; Maturity Index recomputed from that Caliber score; Complexity Score unchanged), on the primary analysis set (n = 112: large = 49, small = 33 Optovue Solix, small_3mm = 30). Methods and Supplementary Table S1 also note that the Optovue Solix Complexity percentile reference cohort included 34 lesions, whereas this primary analysis batch includes 33 in that stratum.</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Standardized Vascular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1.118</w:t>
            </w:r>
          </w:p>
        </w:tc>
        <w:tc>
          <w:tcPr/>
          <w:p>
            <w:pPr>
              <w:pStyle w:val="Compact"/>
            </w:pPr>
            <w:r>
              <w:t xml:space="preserve">0.572</w:t>
            </w:r>
          </w:p>
        </w:tc>
        <w:tc>
          <w:tcPr/>
          <w:p>
            <w:pPr>
              <w:pStyle w:val="Compact"/>
            </w:pPr>
            <w:r>
              <w:t xml:space="preserve">0.0000</w:t>
            </w:r>
          </w:p>
        </w:tc>
        <w:tc>
          <w:tcPr/>
          <w:p>
            <w:pPr>
              <w:pStyle w:val="Compact"/>
            </w:pPr>
            <w:r>
              <w:t xml:space="preserve">0.0000–0.082</w:t>
            </w:r>
          </w:p>
        </w:tc>
        <w:tc>
          <w:tcPr/>
          <w:p>
            <w:pPr>
              <w:pStyle w:val="Compact"/>
            </w:pPr>
            <w:r>
              <w:t xml:space="preserve">46.6 / 55.5 / 50.6</w:t>
            </w:r>
          </w:p>
        </w:tc>
      </w:tr>
      <w:tr>
        <w:tc>
          <w:tcPr/>
          <w:p>
            <w:pPr>
              <w:pStyle w:val="Compact"/>
            </w:pPr>
            <w:r>
              <w:t xml:space="preserve">Maturity Index</w:t>
            </w:r>
          </w:p>
        </w:tc>
        <w:tc>
          <w:tcPr/>
          <w:p>
            <w:pPr>
              <w:pStyle w:val="Compact"/>
            </w:pPr>
            <w:r>
              <w:t xml:space="preserve">1.082</w:t>
            </w:r>
          </w:p>
        </w:tc>
        <w:tc>
          <w:tcPr/>
          <w:p>
            <w:pPr>
              <w:pStyle w:val="Compact"/>
            </w:pPr>
            <w:r>
              <w:t xml:space="preserve">0.582</w:t>
            </w:r>
          </w:p>
        </w:tc>
        <w:tc>
          <w:tcPr/>
          <w:p>
            <w:pPr>
              <w:pStyle w:val="Compact"/>
            </w:pPr>
            <w:r>
              <w:t xml:space="preserve">0.0000</w:t>
            </w:r>
          </w:p>
        </w:tc>
        <w:tc>
          <w:tcPr/>
          <w:p>
            <w:pPr>
              <w:pStyle w:val="Compact"/>
            </w:pPr>
            <w:r>
              <w:t xml:space="preserve">0.0000–0.077</w:t>
            </w:r>
          </w:p>
        </w:tc>
        <w:tc>
          <w:tcPr/>
          <w:p>
            <w:pPr>
              <w:pStyle w:val="Compact"/>
            </w:pPr>
            <w:r>
              <w:t xml:space="preserve">49.5 / 53.9 / 51.0</w:t>
            </w:r>
          </w:p>
        </w:tc>
      </w:tr>
    </w:tbl>
    <w:p>
      <w:pPr>
        <w:pStyle w:val="BodyText"/>
      </w:pPr>
      <w:r>
        <w:rPr>
          <w:b/>
          <w:bCs/>
        </w:rPr>
        <w:t xml:space="preserve">Interpretation:</w:t>
      </w:r>
      <w:r>
        <w:t xml:space="preserve"> </w:t>
      </w:r>
      <w:r>
        <w:t xml:space="preserve">Under the Standardized Caliber Uniformity Score, none of the three standardized scores differed significantly across strata (all p ≥ 0.425; ε² ≈ 0, negligible). This does not establish biological equivalence across devices: median-anchored piecewise mapping and locked reference cuts can attenuate stratum-mean contrasts by construction. The original “all Kruskal–Wallis non-significant → scores comparable across devices” framing has been withdrawn.</w:t>
      </w:r>
    </w:p>
    <w:p>
      <w:pPr>
        <w:pStyle w:val="BodyText"/>
      </w:pPr>
      <w:r>
        <w:rPr>
          <w:b/>
          <w:bCs/>
        </w:rPr>
        <w:t xml:space="preserve">Changes made:</w:t>
      </w:r>
      <w:r>
        <w:t xml:space="preserve"> </w:t>
      </w:r>
      <w:r>
        <w:t xml:space="preserve">- Removed “statistically indistinguishable / therefore comparable” and “all KW non-significant therefore equivalent” language.</w:t>
      </w:r>
      <w:r>
        <w:t xml:space="preserve"> </w:t>
      </w:r>
      <w:r>
        <w:t xml:space="preserve">-</w:t>
      </w:r>
      <w:r>
        <w:t xml:space="preserve"> </w:t>
      </w:r>
      <w:r>
        <w:rPr>
          <w:b/>
          <w:bCs/>
        </w:rPr>
        <w:t xml:space="preserve">Table 3</w:t>
      </w:r>
      <w:r>
        <w:t xml:space="preserve"> </w:t>
      </w:r>
      <w:r>
        <w:t xml:space="preserve">now reports H, p, ε², and bootstrap 95% CIs under the Standardized Caliber Uniformity Score definition.</w:t>
      </w:r>
      <w:r>
        <w:t xml:space="preserve"> </w:t>
      </w:r>
      <w:r>
        <w:t xml:space="preserve">- Explicitly state that non-significant KW under the primary score still does not establish equivalence.</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provisional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w:t>
      </w:r>
      <w:r>
        <w:t xml:space="preserve"> </w:t>
      </w:r>
      <w:r>
        <w:rPr>
          <w:b/>
          <w:bCs/>
        </w:rPr>
        <w:t xml:space="preserve">Tables 1–5</w:t>
      </w:r>
      <w:r>
        <w:t xml:space="preserve">,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 in bud, Glomerular, Seafan, Medusa). They have been</w:t>
      </w:r>
      <w:r>
        <w:t xml:space="preserve"> </w:t>
      </w:r>
      <w:r>
        <w:rPr>
          <w:b/>
          <w:bCs/>
        </w:rPr>
        <w:t xml:space="preserve">removed from Table 5</w:t>
      </w:r>
      <w:r>
        <w:t xml:space="preserve">. Table 5 now maps only the five operational subtypes to morphology-derived interpretive categories.</w:t>
      </w:r>
      <w:r>
        <w:t xml:space="preserve"> </w:t>
      </w:r>
      <w:r>
        <w:rPr>
          <w:b/>
          <w:bCs/>
        </w:rPr>
        <w:t xml:space="preserve">Table 4</w:t>
      </w:r>
      <w:r>
        <w:t xml:space="preserve"> </w:t>
      </w:r>
      <w:r>
        <w:t xml:space="preserve">and the classification Methods are fully aligned with that five-class scheme.</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original</w:t>
      </w:r>
      <w:r>
        <w:t xml:space="preserve"> </w:t>
      </w:r>
      <w:r>
        <w:rPr>
          <w:b/>
          <w:bCs/>
        </w:rPr>
        <w:t xml:space="preserve">Table 2</w:t>
      </w:r>
      <w:r>
        <w:t xml:space="preserve"> </w:t>
      </w:r>
      <w:r>
        <w:t xml:space="preserve">legend has been corrected; restored Table 2 column headers and note now read</w:t>
      </w:r>
      <w:r>
        <w:t xml:space="preserve"> </w:t>
      </w:r>
      <w:r>
        <w:rPr>
          <w:b/>
          <w:bCs/>
        </w:rPr>
        <w:t xml:space="preserve">Optovue Solix</w:t>
      </w:r>
      <w:r>
        <w:t xml:space="preserve">.</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confusion matrix in Suppl</w:t>
            </w:r>
          </w:p>
        </w:tc>
      </w:tr>
      <w:tr>
        <w:tc>
          <w:tcPr/>
          <w:p>
            <w:pPr>
              <w:pStyle w:val="Compact"/>
            </w:pPr>
            <w:r>
              <w:t xml:space="preserve">Inter-observer multi-rater ICC (3 operators, n=46; area + scores)</w:t>
            </w:r>
          </w:p>
        </w:tc>
        <w:tc>
          <w:tcPr/>
          <w:p>
            <w:pPr>
              <w:pStyle w:val="Compact"/>
            </w:pPr>
            <w:r>
              <w:t xml:space="preserve">Done — ICC(2,1): area 0.859; Complexity Score 0.807; Caliber Uniformity 0.770; Maturity 0.593; also listed in Table 1</w:t>
            </w:r>
          </w:p>
        </w:tc>
      </w:tr>
      <w:tr>
        <w:tc>
          <w:tcPr/>
          <w:p>
            <w:pPr>
              <w:pStyle w:val="Compact"/>
            </w:pPr>
            <w:r>
              <w:t xml:space="preserve">Effect sizes (+ CIs) for between-stratum standardized scores</w:t>
            </w:r>
          </w:p>
        </w:tc>
        <w:tc>
          <w:tcPr/>
          <w:p>
            <w:pPr>
              <w:pStyle w:val="Compact"/>
            </w:pPr>
            <w:r>
              <w:t xml:space="preserve">Added — under Standardized Caliber Uniformity Score: all three scores NS (ε²≈0); not “all KW NS → equivalent”</w:t>
            </w:r>
          </w:p>
        </w:tc>
      </w:tr>
      <w:tr>
        <w:tc>
          <w:tcPr/>
          <w:p>
            <w:pPr>
              <w:pStyle w:val="Compact"/>
            </w:pPr>
            <w:r>
              <w:t xml:space="preserve">Morphology-derived (not pathophysiological) framing; clinical utility deferred to future outcome-linked studies;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(YY Session1 vs Session2, n=46); longitudinal clinical anchors; full baseline demographics</w:t>
            </w:r>
          </w:p>
        </w:tc>
        <w:tc>
          <w:tcPr/>
          <w:p>
            <w:pPr>
              <w:pStyle w:val="Compact"/>
            </w:pPr>
            <w:r>
              <w:t xml:space="preserve">Intra done — ICC(2,1): area 0.979; Complexity Score 0.950; Caliber 0.925; Maturity 0.917 under same standardized definition applied to both sessions; also listed in Table 1.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2026-08-03T03:14:33Z</dcterms:created>
  <dcterms:modified xsi:type="dcterms:W3CDTF">2026-08-03T03:14:33Z</dcterms:modified>
</cp:coreProperties>
</file>

<file path=docProps/custom.xml><?xml version="1.0" encoding="utf-8"?>
<Properties xmlns="http://schemas.openxmlformats.org/officeDocument/2006/custom-properties" xmlns:vt="http://schemas.openxmlformats.org/officeDocument/2006/docPropsVTypes"/>
</file>