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A5ADC" w14:textId="1A223779" w:rsidR="00415CD5" w:rsidRDefault="0088242E">
      <w:pPr>
        <w:pStyle w:val="2"/>
      </w:pPr>
      <w:r>
        <w:t xml:space="preserve">Table 1. </w:t>
      </w:r>
      <w:r w:rsidR="00807C43">
        <w:t>Q</w:t>
      </w:r>
      <w:r>
        <w:t xml:space="preserve">uantitative parameters </w:t>
      </w:r>
      <w:r w:rsidR="00807C43">
        <w:t>of</w:t>
      </w:r>
      <w:r>
        <w:t xml:space="preserve"> analysis platforms </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8"/>
        <w:gridCol w:w="2345"/>
        <w:gridCol w:w="5386"/>
      </w:tblGrid>
      <w:tr w:rsidR="001B24BA" w14:paraId="38DF267E" w14:textId="77777777" w:rsidTr="003A720C">
        <w:tc>
          <w:tcPr>
            <w:tcW w:w="1478"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1DFC6D49" w14:textId="44EA8237" w:rsidR="001B24BA" w:rsidRPr="00E41B32" w:rsidRDefault="001B24BA" w:rsidP="001B24BA">
            <w:pPr>
              <w:jc w:val="center"/>
              <w:rPr>
                <w:sz w:val="18"/>
                <w:szCs w:val="18"/>
              </w:rPr>
            </w:pPr>
            <w:r w:rsidRPr="00E41B32">
              <w:rPr>
                <w:b/>
                <w:bCs/>
                <w:sz w:val="18"/>
                <w:szCs w:val="18"/>
              </w:rPr>
              <w:t>Category</w:t>
            </w:r>
          </w:p>
        </w:tc>
        <w:tc>
          <w:tcPr>
            <w:tcW w:w="2345"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77F9484E" w14:textId="4CB3557B" w:rsidR="001B24BA" w:rsidRDefault="001B24BA" w:rsidP="001B24BA">
            <w:pPr>
              <w:jc w:val="center"/>
            </w:pPr>
            <w:r>
              <w:rPr>
                <w:b/>
                <w:bCs/>
              </w:rPr>
              <w:t>Parameter</w:t>
            </w:r>
          </w:p>
        </w:tc>
        <w:tc>
          <w:tcPr>
            <w:tcW w:w="5386"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11E5D312" w14:textId="16E33690" w:rsidR="001B24BA" w:rsidRDefault="001B24BA" w:rsidP="001B24BA">
            <w:pPr>
              <w:jc w:val="center"/>
            </w:pPr>
            <w:r>
              <w:rPr>
                <w:b/>
                <w:bCs/>
              </w:rPr>
              <w:t>Description &amp; Definition</w:t>
            </w:r>
          </w:p>
        </w:tc>
      </w:tr>
      <w:tr w:rsidR="003D16D1" w14:paraId="5ED1D089" w14:textId="77777777" w:rsidTr="003A720C">
        <w:tc>
          <w:tcPr>
            <w:tcW w:w="1478" w:type="dxa"/>
            <w:tcBorders>
              <w:top w:val="single" w:sz="4" w:space="0" w:color="000000"/>
              <w:left w:val="single" w:sz="4" w:space="0" w:color="000000"/>
              <w:bottom w:val="single" w:sz="4" w:space="0" w:color="000000"/>
              <w:right w:val="single" w:sz="4" w:space="0" w:color="000000"/>
            </w:tcBorders>
            <w:shd w:val="clear" w:color="auto" w:fill="EBF0FA"/>
            <w:tcMar>
              <w:top w:w="80" w:type="dxa"/>
              <w:left w:w="100" w:type="dxa"/>
              <w:bottom w:w="80" w:type="dxa"/>
              <w:right w:w="100" w:type="dxa"/>
            </w:tcMar>
            <w:vAlign w:val="center"/>
          </w:tcPr>
          <w:p w14:paraId="63D47827" w14:textId="35ECAA97" w:rsidR="003D16D1" w:rsidRPr="00E41B32" w:rsidRDefault="003D16D1" w:rsidP="003D16D1">
            <w:pPr>
              <w:jc w:val="center"/>
              <w:rPr>
                <w:sz w:val="18"/>
                <w:szCs w:val="18"/>
              </w:rPr>
            </w:pPr>
            <w:r w:rsidRPr="00E41B32">
              <w:rPr>
                <w:rStyle w:val="a9"/>
                <w:sz w:val="18"/>
                <w:szCs w:val="18"/>
              </w:rPr>
              <w:t>Morphometry</w:t>
            </w:r>
          </w:p>
        </w:tc>
        <w:tc>
          <w:tcPr>
            <w:tcW w:w="234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9125BD6" w14:textId="1FED9C2F" w:rsidR="003D16D1" w:rsidRPr="00E41B32" w:rsidRDefault="003D16D1" w:rsidP="003D16D1">
            <w:pPr>
              <w:rPr>
                <w:sz w:val="18"/>
                <w:szCs w:val="18"/>
              </w:rPr>
            </w:pPr>
            <w:r w:rsidRPr="00E41B32">
              <w:rPr>
                <w:sz w:val="18"/>
                <w:szCs w:val="18"/>
              </w:rPr>
              <w:t>Vessel Density (VD)</w:t>
            </w:r>
          </w:p>
        </w:tc>
        <w:tc>
          <w:tcPr>
            <w:tcW w:w="538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F2CDE6" w14:textId="45E93F18" w:rsidR="003D16D1" w:rsidRPr="00E41B32" w:rsidRDefault="003D16D1" w:rsidP="003D16D1">
            <w:pPr>
              <w:jc w:val="center"/>
              <w:rPr>
                <w:sz w:val="18"/>
                <w:szCs w:val="18"/>
              </w:rPr>
            </w:pPr>
            <w:r w:rsidRPr="00E41B32">
              <w:rPr>
                <w:sz w:val="18"/>
                <w:szCs w:val="18"/>
              </w:rPr>
              <w:t>Proportion of perfused lesion area: (binarized vessel pixels inside refined ROI / total ROI pixels) × 100%.</w:t>
            </w:r>
          </w:p>
        </w:tc>
      </w:tr>
      <w:tr w:rsidR="003D16D1" w14:paraId="4E6D3C8E" w14:textId="77777777" w:rsidTr="003A720C">
        <w:tc>
          <w:tcPr>
            <w:tcW w:w="147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3A0BC2" w14:textId="77777777" w:rsidR="003D16D1" w:rsidRPr="00E41B32" w:rsidRDefault="003D16D1" w:rsidP="003D16D1">
            <w:pPr>
              <w:jc w:val="center"/>
              <w:rPr>
                <w:sz w:val="18"/>
                <w:szCs w:val="18"/>
              </w:rPr>
            </w:pPr>
          </w:p>
        </w:tc>
        <w:tc>
          <w:tcPr>
            <w:tcW w:w="234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E1F235" w14:textId="7B67CCB4" w:rsidR="003D16D1" w:rsidRPr="00E41B32" w:rsidRDefault="003D16D1" w:rsidP="003D16D1">
            <w:pPr>
              <w:rPr>
                <w:sz w:val="18"/>
                <w:szCs w:val="18"/>
              </w:rPr>
            </w:pPr>
            <w:r w:rsidRPr="00E41B32">
              <w:rPr>
                <w:sz w:val="18"/>
                <w:szCs w:val="18"/>
              </w:rPr>
              <w:t>Vessel Area (VA)</w:t>
            </w:r>
          </w:p>
        </w:tc>
        <w:tc>
          <w:tcPr>
            <w:tcW w:w="538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A3AE95" w14:textId="1E89DEB2" w:rsidR="003D16D1" w:rsidRPr="00E41B32" w:rsidRDefault="003D16D1" w:rsidP="003D16D1">
            <w:pPr>
              <w:jc w:val="center"/>
              <w:rPr>
                <w:sz w:val="18"/>
                <w:szCs w:val="18"/>
              </w:rPr>
            </w:pPr>
            <w:r w:rsidRPr="00E41B32">
              <w:rPr>
                <w:sz w:val="18"/>
                <w:szCs w:val="18"/>
              </w:rPr>
              <w:t>Absolute perfused area: binarized vessel pixels inside refined ROI × pixel area (mm2).</w:t>
            </w:r>
          </w:p>
        </w:tc>
      </w:tr>
      <w:tr w:rsidR="003D16D1" w14:paraId="60F07A38" w14:textId="77777777" w:rsidTr="003A720C">
        <w:tc>
          <w:tcPr>
            <w:tcW w:w="147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B8F6CA" w14:textId="77777777" w:rsidR="003D16D1" w:rsidRPr="00E41B32" w:rsidRDefault="003D16D1" w:rsidP="003D16D1">
            <w:pPr>
              <w:jc w:val="center"/>
              <w:rPr>
                <w:sz w:val="18"/>
                <w:szCs w:val="18"/>
              </w:rPr>
            </w:pPr>
          </w:p>
        </w:tc>
        <w:tc>
          <w:tcPr>
            <w:tcW w:w="234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E0901C" w14:textId="39AAD7E0" w:rsidR="003D16D1" w:rsidRPr="00E41B32" w:rsidRDefault="003D16D1" w:rsidP="003D16D1">
            <w:pPr>
              <w:rPr>
                <w:sz w:val="18"/>
                <w:szCs w:val="18"/>
              </w:rPr>
            </w:pPr>
            <w:r w:rsidRPr="00E41B32">
              <w:rPr>
                <w:sz w:val="18"/>
                <w:szCs w:val="18"/>
              </w:rPr>
              <w:t>Total Vessel Length</w:t>
            </w:r>
          </w:p>
        </w:tc>
        <w:tc>
          <w:tcPr>
            <w:tcW w:w="538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67E28CF" w14:textId="2E0B30AA" w:rsidR="003D16D1" w:rsidRPr="00E41B32" w:rsidRDefault="003D16D1" w:rsidP="003D16D1">
            <w:pPr>
              <w:jc w:val="center"/>
              <w:rPr>
                <w:sz w:val="18"/>
                <w:szCs w:val="18"/>
              </w:rPr>
            </w:pPr>
            <w:r w:rsidRPr="00E41B32">
              <w:rPr>
                <w:sz w:val="18"/>
                <w:szCs w:val="18"/>
              </w:rPr>
              <w:t>Sum of all skeletonized centerline lengths: skeleton pixels × pixel size (mm).</w:t>
            </w:r>
          </w:p>
        </w:tc>
      </w:tr>
      <w:tr w:rsidR="003D16D1" w14:paraId="545DA2BE" w14:textId="77777777" w:rsidTr="003A720C">
        <w:tc>
          <w:tcPr>
            <w:tcW w:w="147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8D9B47" w14:textId="77777777" w:rsidR="003D16D1" w:rsidRPr="00E41B32" w:rsidRDefault="003D16D1" w:rsidP="003D16D1">
            <w:pPr>
              <w:jc w:val="center"/>
              <w:rPr>
                <w:sz w:val="18"/>
                <w:szCs w:val="18"/>
              </w:rPr>
            </w:pPr>
          </w:p>
        </w:tc>
        <w:tc>
          <w:tcPr>
            <w:tcW w:w="234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78A999B" w14:textId="6055C4DE" w:rsidR="003D16D1" w:rsidRPr="00E41B32" w:rsidRDefault="003D16D1" w:rsidP="003D16D1">
            <w:pPr>
              <w:rPr>
                <w:sz w:val="18"/>
                <w:szCs w:val="18"/>
              </w:rPr>
            </w:pPr>
            <w:r w:rsidRPr="00E41B32">
              <w:rPr>
                <w:sz w:val="18"/>
                <w:szCs w:val="18"/>
              </w:rPr>
              <w:t>Mean / Max Diameter</w:t>
            </w:r>
          </w:p>
        </w:tc>
        <w:tc>
          <w:tcPr>
            <w:tcW w:w="538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4670AF" w14:textId="051D0E8D" w:rsidR="003D16D1" w:rsidRPr="00E41B32" w:rsidRDefault="003D16D1" w:rsidP="003D16D1">
            <w:pPr>
              <w:jc w:val="center"/>
              <w:rPr>
                <w:sz w:val="18"/>
                <w:szCs w:val="18"/>
              </w:rPr>
            </w:pPr>
            <w:r w:rsidRPr="00E41B32">
              <w:rPr>
                <w:sz w:val="18"/>
                <w:szCs w:val="18"/>
              </w:rPr>
              <w:t>Local vessel diameter (2 × Euclidean distance from skeleton to background). Mean and max computed over all skeleton pixels in ROI.</w:t>
            </w:r>
          </w:p>
        </w:tc>
      </w:tr>
      <w:tr w:rsidR="003D16D1" w14:paraId="767BFA41" w14:textId="77777777" w:rsidTr="003A720C">
        <w:tc>
          <w:tcPr>
            <w:tcW w:w="1478" w:type="dxa"/>
            <w:tcBorders>
              <w:top w:val="single" w:sz="4" w:space="0" w:color="000000"/>
              <w:left w:val="single" w:sz="4" w:space="0" w:color="000000"/>
              <w:bottom w:val="single" w:sz="4" w:space="0" w:color="000000"/>
              <w:right w:val="single" w:sz="4" w:space="0" w:color="000000"/>
            </w:tcBorders>
            <w:shd w:val="clear" w:color="auto" w:fill="EBF0FA"/>
            <w:tcMar>
              <w:top w:w="80" w:type="dxa"/>
              <w:left w:w="100" w:type="dxa"/>
              <w:bottom w:w="80" w:type="dxa"/>
              <w:right w:w="100" w:type="dxa"/>
            </w:tcMar>
            <w:vAlign w:val="center"/>
          </w:tcPr>
          <w:p w14:paraId="27394391" w14:textId="647A2D6C" w:rsidR="003D16D1" w:rsidRPr="00E41B32" w:rsidRDefault="003D16D1" w:rsidP="003D16D1">
            <w:pPr>
              <w:jc w:val="center"/>
              <w:rPr>
                <w:sz w:val="18"/>
                <w:szCs w:val="18"/>
              </w:rPr>
            </w:pPr>
            <w:r w:rsidRPr="00E41B32">
              <w:rPr>
                <w:rStyle w:val="a9"/>
                <w:sz w:val="18"/>
                <w:szCs w:val="18"/>
              </w:rPr>
              <w:t>Topology</w:t>
            </w:r>
          </w:p>
        </w:tc>
        <w:tc>
          <w:tcPr>
            <w:tcW w:w="234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E1E4C5" w14:textId="71655E8D" w:rsidR="003D16D1" w:rsidRPr="00E41B32" w:rsidRDefault="003D16D1" w:rsidP="003D16D1">
            <w:pPr>
              <w:rPr>
                <w:sz w:val="18"/>
                <w:szCs w:val="18"/>
              </w:rPr>
            </w:pPr>
            <w:r w:rsidRPr="00E41B32">
              <w:rPr>
                <w:sz w:val="18"/>
                <w:szCs w:val="18"/>
              </w:rPr>
              <w:t>Junction / Node Density</w:t>
            </w:r>
          </w:p>
        </w:tc>
        <w:tc>
          <w:tcPr>
            <w:tcW w:w="538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8DC2EE" w14:textId="04FC19AA" w:rsidR="003D16D1" w:rsidRPr="00E41B32" w:rsidRDefault="003D16D1" w:rsidP="003D16D1">
            <w:pPr>
              <w:jc w:val="center"/>
              <w:rPr>
                <w:sz w:val="18"/>
                <w:szCs w:val="18"/>
              </w:rPr>
            </w:pPr>
            <w:r w:rsidRPr="00E41B32">
              <w:rPr>
                <w:sz w:val="18"/>
                <w:szCs w:val="18"/>
              </w:rPr>
              <w:t>Total node count (branch/endpoints) divided by physical ROI area (nodes/mm2).</w:t>
            </w:r>
          </w:p>
        </w:tc>
      </w:tr>
      <w:tr w:rsidR="003D16D1" w14:paraId="5970F912" w14:textId="77777777" w:rsidTr="003A720C">
        <w:tc>
          <w:tcPr>
            <w:tcW w:w="147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3C7FA2" w14:textId="77777777" w:rsidR="003D16D1" w:rsidRPr="00E41B32" w:rsidRDefault="003D16D1" w:rsidP="003D16D1">
            <w:pPr>
              <w:jc w:val="center"/>
              <w:rPr>
                <w:sz w:val="18"/>
                <w:szCs w:val="18"/>
              </w:rPr>
            </w:pPr>
          </w:p>
        </w:tc>
        <w:tc>
          <w:tcPr>
            <w:tcW w:w="234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F9329B" w14:textId="5106F4FA" w:rsidR="003D16D1" w:rsidRPr="00E41B32" w:rsidRDefault="003D16D1" w:rsidP="003D16D1">
            <w:pPr>
              <w:rPr>
                <w:sz w:val="18"/>
                <w:szCs w:val="18"/>
              </w:rPr>
            </w:pPr>
            <w:r w:rsidRPr="00E41B32">
              <w:rPr>
                <w:sz w:val="18"/>
                <w:szCs w:val="18"/>
              </w:rPr>
              <w:t>Loop Count</w:t>
            </w:r>
          </w:p>
        </w:tc>
        <w:tc>
          <w:tcPr>
            <w:tcW w:w="538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D967D4" w14:textId="440E84BA" w:rsidR="003D16D1" w:rsidRPr="00E41B32" w:rsidRDefault="003D16D1" w:rsidP="003D16D1">
            <w:pPr>
              <w:jc w:val="center"/>
              <w:rPr>
                <w:sz w:val="18"/>
                <w:szCs w:val="18"/>
              </w:rPr>
            </w:pPr>
            <w:r w:rsidRPr="00E41B32">
              <w:rPr>
                <w:sz w:val="18"/>
                <w:szCs w:val="18"/>
              </w:rPr>
              <w:t>Total number of independent closed vascular loops (graph-based cycle detection after Boundary Branch Exclusion).</w:t>
            </w:r>
          </w:p>
        </w:tc>
      </w:tr>
      <w:tr w:rsidR="003D16D1" w14:paraId="307DCC09" w14:textId="77777777" w:rsidTr="003A720C">
        <w:tc>
          <w:tcPr>
            <w:tcW w:w="147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100533" w14:textId="77777777" w:rsidR="003D16D1" w:rsidRPr="00E41B32" w:rsidRDefault="003D16D1" w:rsidP="003D16D1">
            <w:pPr>
              <w:jc w:val="center"/>
              <w:rPr>
                <w:sz w:val="18"/>
                <w:szCs w:val="18"/>
              </w:rPr>
            </w:pPr>
          </w:p>
        </w:tc>
        <w:tc>
          <w:tcPr>
            <w:tcW w:w="234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A45151" w14:textId="261513E1" w:rsidR="003D16D1" w:rsidRPr="00E41B32" w:rsidRDefault="003D16D1" w:rsidP="003D16D1">
            <w:pPr>
              <w:rPr>
                <w:sz w:val="18"/>
                <w:szCs w:val="18"/>
              </w:rPr>
            </w:pPr>
            <w:r w:rsidRPr="00E41B32">
              <w:rPr>
                <w:sz w:val="18"/>
                <w:szCs w:val="18"/>
              </w:rPr>
              <w:t>Euler Number</w:t>
            </w:r>
          </w:p>
        </w:tc>
        <w:tc>
          <w:tcPr>
            <w:tcW w:w="538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9E5DB6" w14:textId="063AE20C" w:rsidR="003D16D1" w:rsidRPr="00E41B32" w:rsidRDefault="003D16D1" w:rsidP="003D16D1">
            <w:pPr>
              <w:jc w:val="center"/>
              <w:rPr>
                <w:sz w:val="18"/>
                <w:szCs w:val="18"/>
              </w:rPr>
            </w:pPr>
            <w:r w:rsidRPr="00E41B32">
              <w:rPr>
                <w:sz w:val="18"/>
                <w:szCs w:val="18"/>
              </w:rPr>
              <w:t>Global connectivity index: (number of connected components) − (number of loops). More negative = higher connectivity.</w:t>
            </w:r>
          </w:p>
        </w:tc>
      </w:tr>
      <w:tr w:rsidR="003D16D1" w14:paraId="63651C8D" w14:textId="77777777" w:rsidTr="003A720C">
        <w:tc>
          <w:tcPr>
            <w:tcW w:w="1478" w:type="dxa"/>
            <w:tcBorders>
              <w:top w:val="single" w:sz="4" w:space="0" w:color="000000"/>
              <w:left w:val="single" w:sz="4" w:space="0" w:color="000000"/>
              <w:bottom w:val="single" w:sz="4" w:space="0" w:color="000000"/>
              <w:right w:val="single" w:sz="4" w:space="0" w:color="000000"/>
            </w:tcBorders>
            <w:shd w:val="clear" w:color="auto" w:fill="EBF0FA"/>
            <w:tcMar>
              <w:top w:w="80" w:type="dxa"/>
              <w:left w:w="100" w:type="dxa"/>
              <w:bottom w:w="80" w:type="dxa"/>
              <w:right w:w="100" w:type="dxa"/>
            </w:tcMar>
            <w:vAlign w:val="center"/>
          </w:tcPr>
          <w:p w14:paraId="65094298" w14:textId="103585DE" w:rsidR="003D16D1" w:rsidRPr="00E41B32" w:rsidRDefault="003D16D1" w:rsidP="003D16D1">
            <w:pPr>
              <w:jc w:val="center"/>
              <w:rPr>
                <w:sz w:val="18"/>
                <w:szCs w:val="18"/>
              </w:rPr>
            </w:pPr>
            <w:r w:rsidRPr="00E41B32">
              <w:rPr>
                <w:rStyle w:val="a9"/>
                <w:sz w:val="18"/>
                <w:szCs w:val="18"/>
              </w:rPr>
              <w:t>Complexity</w:t>
            </w:r>
          </w:p>
        </w:tc>
        <w:tc>
          <w:tcPr>
            <w:tcW w:w="234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4CAC71" w14:textId="46B6D7B1" w:rsidR="003D16D1" w:rsidRPr="00E41B32" w:rsidRDefault="003D16D1" w:rsidP="003D16D1">
            <w:pPr>
              <w:rPr>
                <w:sz w:val="18"/>
                <w:szCs w:val="18"/>
              </w:rPr>
            </w:pPr>
            <w:r w:rsidRPr="00E41B32">
              <w:rPr>
                <w:sz w:val="18"/>
                <w:szCs w:val="18"/>
              </w:rPr>
              <w:t>Fractal Dimension (</w:t>
            </w:r>
            <w:proofErr w:type="spellStart"/>
            <w:r w:rsidRPr="00E41B32">
              <w:rPr>
                <w:sz w:val="18"/>
                <w:szCs w:val="18"/>
              </w:rPr>
              <w:t>Df</w:t>
            </w:r>
            <w:proofErr w:type="spellEnd"/>
            <w:r w:rsidRPr="00E41B32">
              <w:rPr>
                <w:sz w:val="18"/>
                <w:szCs w:val="18"/>
              </w:rPr>
              <w:t>)</w:t>
            </w:r>
          </w:p>
        </w:tc>
        <w:tc>
          <w:tcPr>
            <w:tcW w:w="538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55A9F0" w14:textId="3CF259DA" w:rsidR="003D16D1" w:rsidRPr="00E41B32" w:rsidRDefault="003D16D1" w:rsidP="003D16D1">
            <w:pPr>
              <w:jc w:val="center"/>
              <w:rPr>
                <w:sz w:val="18"/>
                <w:szCs w:val="18"/>
              </w:rPr>
            </w:pPr>
            <w:r w:rsidRPr="00E41B32">
              <w:rPr>
                <w:sz w:val="18"/>
                <w:szCs w:val="18"/>
              </w:rPr>
              <w:t>Box-counting dimension of the skeletonized MNV, derived from the slope of the log–log plot.</w:t>
            </w:r>
          </w:p>
        </w:tc>
      </w:tr>
      <w:tr w:rsidR="003D16D1" w14:paraId="4AAECA6A" w14:textId="77777777" w:rsidTr="003A720C">
        <w:tc>
          <w:tcPr>
            <w:tcW w:w="147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052830" w14:textId="77777777" w:rsidR="003D16D1" w:rsidRPr="00E41B32" w:rsidRDefault="003D16D1" w:rsidP="003D16D1">
            <w:pPr>
              <w:jc w:val="center"/>
              <w:rPr>
                <w:sz w:val="18"/>
                <w:szCs w:val="18"/>
              </w:rPr>
            </w:pPr>
          </w:p>
        </w:tc>
        <w:tc>
          <w:tcPr>
            <w:tcW w:w="234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5E3808C" w14:textId="69ED95F5" w:rsidR="003D16D1" w:rsidRPr="00E41B32" w:rsidRDefault="003D16D1" w:rsidP="003D16D1">
            <w:pPr>
              <w:rPr>
                <w:sz w:val="18"/>
                <w:szCs w:val="18"/>
              </w:rPr>
            </w:pPr>
            <w:r w:rsidRPr="00E41B32">
              <w:rPr>
                <w:sz w:val="18"/>
                <w:szCs w:val="18"/>
              </w:rPr>
              <w:t>Tortuosity Index</w:t>
            </w:r>
          </w:p>
        </w:tc>
        <w:tc>
          <w:tcPr>
            <w:tcW w:w="538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AD414C" w14:textId="162D70BA" w:rsidR="003D16D1" w:rsidRPr="00E41B32" w:rsidRDefault="003D16D1" w:rsidP="003D16D1">
            <w:pPr>
              <w:jc w:val="center"/>
              <w:rPr>
                <w:sz w:val="18"/>
                <w:szCs w:val="18"/>
              </w:rPr>
            </w:pPr>
            <w:r w:rsidRPr="00E41B32">
              <w:rPr>
                <w:sz w:val="18"/>
                <w:szCs w:val="18"/>
              </w:rPr>
              <w:t>Mean segment tortuosity: (path length along skeleton / straight-line distance) averaged over eligible branches.</w:t>
            </w:r>
          </w:p>
        </w:tc>
      </w:tr>
      <w:tr w:rsidR="003D16D1" w14:paraId="46CA2C6C" w14:textId="77777777" w:rsidTr="003A720C">
        <w:tc>
          <w:tcPr>
            <w:tcW w:w="147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981B20" w14:textId="77777777" w:rsidR="003D16D1" w:rsidRPr="00E41B32" w:rsidRDefault="003D16D1" w:rsidP="003D16D1">
            <w:pPr>
              <w:jc w:val="center"/>
              <w:rPr>
                <w:sz w:val="18"/>
                <w:szCs w:val="18"/>
              </w:rPr>
            </w:pPr>
          </w:p>
        </w:tc>
        <w:tc>
          <w:tcPr>
            <w:tcW w:w="234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557391" w14:textId="07DD884A" w:rsidR="003D16D1" w:rsidRPr="00E41B32" w:rsidRDefault="003D16D1" w:rsidP="003D16D1">
            <w:pPr>
              <w:rPr>
                <w:sz w:val="18"/>
                <w:szCs w:val="18"/>
              </w:rPr>
            </w:pPr>
            <w:r w:rsidRPr="00E41B32">
              <w:rPr>
                <w:sz w:val="18"/>
                <w:szCs w:val="18"/>
              </w:rPr>
              <w:t>Standardized Complexity Score (0–100)</w:t>
            </w:r>
          </w:p>
        </w:tc>
        <w:tc>
          <w:tcPr>
            <w:tcW w:w="538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56B77F" w14:textId="2C0A50FE" w:rsidR="003D16D1" w:rsidRPr="00E41B32" w:rsidRDefault="003D16D1" w:rsidP="003D16D1">
            <w:pPr>
              <w:jc w:val="center"/>
              <w:rPr>
                <w:sz w:val="18"/>
                <w:szCs w:val="18"/>
              </w:rPr>
            </w:pPr>
            <w:r w:rsidRPr="00E41B32">
              <w:rPr>
                <w:sz w:val="18"/>
                <w:szCs w:val="18"/>
              </w:rPr>
              <w:t xml:space="preserve">PCA-based latent score: 0.7 × PC1 + 0.2 × PC2 + 0.1 × </w:t>
            </w:r>
            <w:proofErr w:type="spellStart"/>
            <w:r w:rsidRPr="00E41B32">
              <w:rPr>
                <w:sz w:val="18"/>
                <w:szCs w:val="18"/>
              </w:rPr>
              <w:t>TrunkDist</w:t>
            </w:r>
            <w:proofErr w:type="spellEnd"/>
            <w:r w:rsidRPr="00E41B32">
              <w:rPr>
                <w:sz w:val="18"/>
                <w:szCs w:val="18"/>
              </w:rPr>
              <w:t>. Normalized so min, median, max map to 0, 50, 100.</w:t>
            </w:r>
          </w:p>
        </w:tc>
      </w:tr>
      <w:tr w:rsidR="003D16D1" w14:paraId="7A7CD891" w14:textId="77777777" w:rsidTr="003A720C">
        <w:tc>
          <w:tcPr>
            <w:tcW w:w="1478" w:type="dxa"/>
            <w:tcBorders>
              <w:top w:val="single" w:sz="4" w:space="0" w:color="000000"/>
              <w:left w:val="single" w:sz="4" w:space="0" w:color="000000"/>
              <w:bottom w:val="single" w:sz="4" w:space="0" w:color="000000"/>
              <w:right w:val="single" w:sz="4" w:space="0" w:color="000000"/>
            </w:tcBorders>
            <w:shd w:val="clear" w:color="auto" w:fill="EBF0FA"/>
            <w:tcMar>
              <w:top w:w="80" w:type="dxa"/>
              <w:left w:w="100" w:type="dxa"/>
              <w:bottom w:w="80" w:type="dxa"/>
              <w:right w:w="100" w:type="dxa"/>
            </w:tcMar>
            <w:vAlign w:val="center"/>
          </w:tcPr>
          <w:p w14:paraId="5517084B" w14:textId="6BB744BD" w:rsidR="003D16D1" w:rsidRPr="00E41B32" w:rsidRDefault="003D16D1" w:rsidP="003D16D1">
            <w:pPr>
              <w:jc w:val="center"/>
              <w:rPr>
                <w:sz w:val="18"/>
                <w:szCs w:val="18"/>
              </w:rPr>
            </w:pPr>
            <w:r w:rsidRPr="00E41B32">
              <w:rPr>
                <w:rStyle w:val="a9"/>
                <w:sz w:val="18"/>
                <w:szCs w:val="18"/>
              </w:rPr>
              <w:t>Stability</w:t>
            </w:r>
          </w:p>
        </w:tc>
        <w:tc>
          <w:tcPr>
            <w:tcW w:w="234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A61603" w14:textId="37E818DC" w:rsidR="003D16D1" w:rsidRPr="00E41B32" w:rsidRDefault="003D16D1" w:rsidP="003D16D1">
            <w:pPr>
              <w:rPr>
                <w:sz w:val="18"/>
                <w:szCs w:val="18"/>
              </w:rPr>
            </w:pPr>
            <w:r w:rsidRPr="00E41B32">
              <w:rPr>
                <w:sz w:val="18"/>
                <w:szCs w:val="18"/>
              </w:rPr>
              <w:t>Standardized Caliber Uniformity Score (0–100)</w:t>
            </w:r>
          </w:p>
        </w:tc>
        <w:tc>
          <w:tcPr>
            <w:tcW w:w="538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0E4513" w14:textId="6E0FD7C9" w:rsidR="003D16D1" w:rsidRPr="00E41B32" w:rsidRDefault="003D16D1" w:rsidP="003D16D1">
            <w:pPr>
              <w:jc w:val="center"/>
              <w:rPr>
                <w:sz w:val="18"/>
                <w:szCs w:val="18"/>
              </w:rPr>
            </w:pPr>
            <w:r w:rsidRPr="00E41B32">
              <w:rPr>
                <w:sz w:val="18"/>
                <w:szCs w:val="18"/>
              </w:rPr>
              <w:t>PCA-based latent stability from 4 radial metrics: 0.7 × (-PC1) + 0.2 × PC2 + 0.1 × 50. Median fixed at 50.</w:t>
            </w:r>
          </w:p>
        </w:tc>
      </w:tr>
      <w:tr w:rsidR="003D16D1" w14:paraId="12552AE3" w14:textId="77777777" w:rsidTr="003A720C">
        <w:tc>
          <w:tcPr>
            <w:tcW w:w="147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8D3DD2" w14:textId="77777777" w:rsidR="003D16D1" w:rsidRPr="00E41B32" w:rsidRDefault="003D16D1" w:rsidP="003D16D1">
            <w:pPr>
              <w:jc w:val="center"/>
              <w:rPr>
                <w:sz w:val="18"/>
                <w:szCs w:val="18"/>
              </w:rPr>
            </w:pPr>
          </w:p>
        </w:tc>
        <w:tc>
          <w:tcPr>
            <w:tcW w:w="234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89609B" w14:textId="64BB3781" w:rsidR="003D16D1" w:rsidRPr="00E41B32" w:rsidRDefault="003D16D1" w:rsidP="003D16D1">
            <w:pPr>
              <w:rPr>
                <w:sz w:val="18"/>
                <w:szCs w:val="18"/>
              </w:rPr>
            </w:pPr>
            <w:r w:rsidRPr="00E41B32">
              <w:rPr>
                <w:sz w:val="18"/>
                <w:szCs w:val="18"/>
              </w:rPr>
              <w:t>Diameter CV</w:t>
            </w:r>
          </w:p>
        </w:tc>
        <w:tc>
          <w:tcPr>
            <w:tcW w:w="538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BA838A" w14:textId="183F4249" w:rsidR="003D16D1" w:rsidRPr="00E41B32" w:rsidRDefault="003D16D1" w:rsidP="003D16D1">
            <w:pPr>
              <w:jc w:val="center"/>
              <w:rPr>
                <w:sz w:val="18"/>
                <w:szCs w:val="18"/>
              </w:rPr>
            </w:pPr>
            <w:r w:rsidRPr="00E41B32">
              <w:rPr>
                <w:sz w:val="18"/>
                <w:szCs w:val="18"/>
              </w:rPr>
              <w:t>Coefficient of variation: (SD of local diameters / mean diameter) × 100%.</w:t>
            </w:r>
          </w:p>
        </w:tc>
      </w:tr>
      <w:tr w:rsidR="003D16D1" w14:paraId="149376DD" w14:textId="77777777" w:rsidTr="003A720C">
        <w:tc>
          <w:tcPr>
            <w:tcW w:w="1478" w:type="dxa"/>
            <w:tcBorders>
              <w:top w:val="single" w:sz="4" w:space="0" w:color="000000"/>
              <w:left w:val="single" w:sz="4" w:space="0" w:color="000000"/>
              <w:bottom w:val="single" w:sz="4" w:space="0" w:color="000000"/>
              <w:right w:val="single" w:sz="4" w:space="0" w:color="000000"/>
            </w:tcBorders>
            <w:shd w:val="clear" w:color="auto" w:fill="EBF0FA"/>
            <w:tcMar>
              <w:top w:w="80" w:type="dxa"/>
              <w:left w:w="100" w:type="dxa"/>
              <w:bottom w:w="80" w:type="dxa"/>
              <w:right w:w="100" w:type="dxa"/>
            </w:tcMar>
            <w:vAlign w:val="center"/>
          </w:tcPr>
          <w:p w14:paraId="685B1390" w14:textId="702693E4" w:rsidR="003D16D1" w:rsidRPr="00E41B32" w:rsidRDefault="003D16D1" w:rsidP="003D16D1">
            <w:pPr>
              <w:jc w:val="center"/>
              <w:rPr>
                <w:sz w:val="18"/>
                <w:szCs w:val="18"/>
              </w:rPr>
            </w:pPr>
            <w:r w:rsidRPr="00E41B32">
              <w:rPr>
                <w:rStyle w:val="a9"/>
                <w:sz w:val="18"/>
                <w:szCs w:val="18"/>
              </w:rPr>
              <w:t>Advanced</w:t>
            </w:r>
          </w:p>
        </w:tc>
        <w:tc>
          <w:tcPr>
            <w:tcW w:w="234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90A77FF" w14:textId="322C459A" w:rsidR="003D16D1" w:rsidRPr="00E41B32" w:rsidRDefault="003D16D1" w:rsidP="003D16D1">
            <w:pPr>
              <w:rPr>
                <w:sz w:val="18"/>
                <w:szCs w:val="18"/>
              </w:rPr>
            </w:pPr>
            <w:r w:rsidRPr="00E41B32">
              <w:rPr>
                <w:sz w:val="18"/>
                <w:szCs w:val="18"/>
              </w:rPr>
              <w:t>Intelligent ROI Refinement</w:t>
            </w:r>
          </w:p>
        </w:tc>
        <w:tc>
          <w:tcPr>
            <w:tcW w:w="538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AA0BCD" w14:textId="5916ADD7" w:rsidR="003D16D1" w:rsidRPr="00E41B32" w:rsidRDefault="003D16D1" w:rsidP="003D16D1">
            <w:pPr>
              <w:jc w:val="center"/>
              <w:rPr>
                <w:sz w:val="18"/>
                <w:szCs w:val="18"/>
              </w:rPr>
            </w:pPr>
            <w:r w:rsidRPr="00E41B32">
              <w:rPr>
                <w:sz w:val="18"/>
                <w:szCs w:val="18"/>
              </w:rPr>
              <w:t>5-iteration vertex optimization (3-pixel search radius) to align ROI boundary with non-perfused tissue.</w:t>
            </w:r>
          </w:p>
        </w:tc>
      </w:tr>
      <w:tr w:rsidR="003D16D1" w14:paraId="1B46025B" w14:textId="77777777" w:rsidTr="003A720C">
        <w:tc>
          <w:tcPr>
            <w:tcW w:w="147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43C962" w14:textId="77777777" w:rsidR="003D16D1" w:rsidRPr="00E41B32" w:rsidRDefault="003D16D1" w:rsidP="003D16D1">
            <w:pPr>
              <w:jc w:val="center"/>
              <w:rPr>
                <w:sz w:val="18"/>
                <w:szCs w:val="18"/>
              </w:rPr>
            </w:pPr>
          </w:p>
        </w:tc>
        <w:tc>
          <w:tcPr>
            <w:tcW w:w="234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91B148" w14:textId="6FDC293A" w:rsidR="003D16D1" w:rsidRPr="00E41B32" w:rsidRDefault="003D16D1" w:rsidP="003D16D1">
            <w:pPr>
              <w:rPr>
                <w:sz w:val="18"/>
                <w:szCs w:val="18"/>
              </w:rPr>
            </w:pPr>
            <w:proofErr w:type="spellStart"/>
            <w:r w:rsidRPr="00E41B32">
              <w:rPr>
                <w:sz w:val="18"/>
                <w:szCs w:val="18"/>
              </w:rPr>
              <w:t>Arteriolarization</w:t>
            </w:r>
            <w:proofErr w:type="spellEnd"/>
            <w:r w:rsidRPr="00E41B32">
              <w:rPr>
                <w:sz w:val="18"/>
                <w:szCs w:val="18"/>
              </w:rPr>
              <w:t xml:space="preserve"> Detection</w:t>
            </w:r>
          </w:p>
        </w:tc>
        <w:tc>
          <w:tcPr>
            <w:tcW w:w="538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0DFA3F" w14:textId="1FBEA8D6" w:rsidR="003D16D1" w:rsidRPr="00E41B32" w:rsidRDefault="003D16D1" w:rsidP="003D16D1">
            <w:pPr>
              <w:jc w:val="center"/>
              <w:rPr>
                <w:sz w:val="18"/>
                <w:szCs w:val="18"/>
              </w:rPr>
            </w:pPr>
            <w:r w:rsidRPr="00E41B32">
              <w:rPr>
                <w:sz w:val="18"/>
                <w:szCs w:val="18"/>
              </w:rPr>
              <w:t>Identification of branches where local diameter &gt; mean + 2.0 × SD. Reports count, length, and area density.</w:t>
            </w:r>
          </w:p>
        </w:tc>
      </w:tr>
      <w:tr w:rsidR="003D16D1" w14:paraId="351CCB81" w14:textId="77777777" w:rsidTr="003A720C">
        <w:tc>
          <w:tcPr>
            <w:tcW w:w="147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7D50AC3" w14:textId="77777777" w:rsidR="003D16D1" w:rsidRPr="00E41B32" w:rsidRDefault="003D16D1" w:rsidP="003D16D1">
            <w:pPr>
              <w:jc w:val="center"/>
              <w:rPr>
                <w:sz w:val="18"/>
                <w:szCs w:val="18"/>
              </w:rPr>
            </w:pPr>
          </w:p>
        </w:tc>
        <w:tc>
          <w:tcPr>
            <w:tcW w:w="234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30AD366" w14:textId="28E01188" w:rsidR="003D16D1" w:rsidRPr="00E41B32" w:rsidRDefault="003D16D1" w:rsidP="003D16D1">
            <w:pPr>
              <w:rPr>
                <w:sz w:val="18"/>
                <w:szCs w:val="18"/>
              </w:rPr>
            </w:pPr>
            <w:r w:rsidRPr="00E41B32">
              <w:rPr>
                <w:sz w:val="18"/>
                <w:szCs w:val="18"/>
              </w:rPr>
              <w:t>Automated Morphological Classification</w:t>
            </w:r>
          </w:p>
        </w:tc>
        <w:tc>
          <w:tcPr>
            <w:tcW w:w="538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2D2622" w14:textId="157F6BED" w:rsidR="003D16D1" w:rsidRPr="00E41B32" w:rsidRDefault="003D16D1" w:rsidP="003D16D1">
            <w:pPr>
              <w:jc w:val="center"/>
              <w:rPr>
                <w:sz w:val="18"/>
                <w:szCs w:val="18"/>
              </w:rPr>
            </w:pPr>
            <w:r w:rsidRPr="00E41B32">
              <w:rPr>
                <w:sz w:val="18"/>
                <w:szCs w:val="18"/>
              </w:rPr>
              <w:t xml:space="preserve">Rule-based classifier assigning patterns (Medusa, </w:t>
            </w:r>
            <w:proofErr w:type="spellStart"/>
            <w:r w:rsidRPr="00E41B32">
              <w:rPr>
                <w:sz w:val="18"/>
                <w:szCs w:val="18"/>
              </w:rPr>
              <w:t>Seafan</w:t>
            </w:r>
            <w:proofErr w:type="spellEnd"/>
            <w:r w:rsidRPr="00E41B32">
              <w:rPr>
                <w:sz w:val="18"/>
                <w:szCs w:val="18"/>
              </w:rPr>
              <w:t>, etc.) to pathophysiological classes (Active, Mature, etc.).</w:t>
            </w:r>
          </w:p>
        </w:tc>
      </w:tr>
      <w:tr w:rsidR="003D16D1" w14:paraId="3681B419" w14:textId="77777777" w:rsidTr="003A720C">
        <w:tc>
          <w:tcPr>
            <w:tcW w:w="1478" w:type="dxa"/>
            <w:tcBorders>
              <w:top w:val="single" w:sz="4" w:space="0" w:color="000000"/>
              <w:left w:val="single" w:sz="4" w:space="0" w:color="000000"/>
              <w:bottom w:val="single" w:sz="4" w:space="0" w:color="000000"/>
              <w:right w:val="single" w:sz="4" w:space="0" w:color="000000"/>
            </w:tcBorders>
            <w:shd w:val="clear" w:color="auto" w:fill="FFF2CC"/>
            <w:tcMar>
              <w:top w:w="80" w:type="dxa"/>
              <w:left w:w="100" w:type="dxa"/>
              <w:bottom w:w="80" w:type="dxa"/>
              <w:right w:w="100" w:type="dxa"/>
            </w:tcMar>
            <w:vAlign w:val="center"/>
          </w:tcPr>
          <w:p w14:paraId="2CB7F5F2" w14:textId="6FE5A884" w:rsidR="003D16D1" w:rsidRPr="00E41B32" w:rsidRDefault="003D16D1" w:rsidP="003D16D1">
            <w:pPr>
              <w:jc w:val="center"/>
              <w:rPr>
                <w:sz w:val="18"/>
                <w:szCs w:val="18"/>
              </w:rPr>
            </w:pPr>
            <w:r w:rsidRPr="00E41B32">
              <w:rPr>
                <w:rStyle w:val="a9"/>
                <w:sz w:val="18"/>
                <w:szCs w:val="18"/>
              </w:rPr>
              <w:t>Multi-device</w:t>
            </w:r>
          </w:p>
        </w:tc>
        <w:tc>
          <w:tcPr>
            <w:tcW w:w="234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6315D7" w14:textId="10164D8C" w:rsidR="003D16D1" w:rsidRPr="00E41B32" w:rsidRDefault="003D16D1" w:rsidP="003D16D1">
            <w:pPr>
              <w:rPr>
                <w:sz w:val="18"/>
                <w:szCs w:val="18"/>
              </w:rPr>
            </w:pPr>
            <w:r w:rsidRPr="00E41B32">
              <w:rPr>
                <w:sz w:val="18"/>
                <w:szCs w:val="18"/>
              </w:rPr>
              <w:t>Device-Agnostic Score Normalization</w:t>
            </w:r>
          </w:p>
        </w:tc>
        <w:tc>
          <w:tcPr>
            <w:tcW w:w="538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BD5563" w14:textId="002F4F4F" w:rsidR="003D16D1" w:rsidRPr="00E41B32" w:rsidRDefault="003D16D1" w:rsidP="003D16D1">
            <w:pPr>
              <w:jc w:val="center"/>
              <w:rPr>
                <w:sz w:val="18"/>
                <w:szCs w:val="18"/>
              </w:rPr>
            </w:pPr>
            <w:r w:rsidRPr="00E41B32">
              <w:rPr>
                <w:sz w:val="18"/>
                <w:szCs w:val="18"/>
              </w:rPr>
              <w:t>Within-device standardization and stratum-specific PCA to align all devices to a common 0–100 axis.</w:t>
            </w:r>
          </w:p>
        </w:tc>
      </w:tr>
      <w:tr w:rsidR="003D16D1" w14:paraId="2B219AED" w14:textId="77777777" w:rsidTr="003A720C">
        <w:tc>
          <w:tcPr>
            <w:tcW w:w="147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E6E3BF" w14:textId="77777777" w:rsidR="003D16D1" w:rsidRDefault="003D16D1" w:rsidP="003D16D1">
            <w:pPr>
              <w:jc w:val="center"/>
            </w:pPr>
          </w:p>
        </w:tc>
        <w:tc>
          <w:tcPr>
            <w:tcW w:w="234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BBE6DC" w14:textId="19A16828" w:rsidR="003D16D1" w:rsidRPr="00E41B32" w:rsidRDefault="003D16D1" w:rsidP="003D16D1">
            <w:pPr>
              <w:rPr>
                <w:sz w:val="18"/>
                <w:szCs w:val="18"/>
              </w:rPr>
            </w:pPr>
            <w:r w:rsidRPr="00E41B32">
              <w:rPr>
                <w:sz w:val="18"/>
                <w:szCs w:val="18"/>
              </w:rPr>
              <w:t>Field-of-View Correction</w:t>
            </w:r>
          </w:p>
        </w:tc>
        <w:tc>
          <w:tcPr>
            <w:tcW w:w="538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111362" w14:textId="1861D4ED" w:rsidR="003D16D1" w:rsidRPr="00E41B32" w:rsidRDefault="003D16D1" w:rsidP="003D16D1">
            <w:pPr>
              <w:jc w:val="center"/>
              <w:rPr>
                <w:sz w:val="18"/>
                <w:szCs w:val="18"/>
              </w:rPr>
            </w:pPr>
            <w:r w:rsidRPr="00E41B32">
              <w:rPr>
                <w:sz w:val="18"/>
                <w:szCs w:val="18"/>
              </w:rPr>
              <w:t>Physical unit conversion using device-specific scaling to ensure comparability across 3 × 3mm and 6 × 6mm scans.</w:t>
            </w:r>
          </w:p>
        </w:tc>
      </w:tr>
      <w:tr w:rsidR="003D16D1" w14:paraId="2FE9F0AC" w14:textId="77777777" w:rsidTr="003A720C">
        <w:tc>
          <w:tcPr>
            <w:tcW w:w="147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341478B" w14:textId="77777777" w:rsidR="003D16D1" w:rsidRDefault="003D16D1" w:rsidP="003D16D1">
            <w:pPr>
              <w:jc w:val="center"/>
            </w:pPr>
          </w:p>
        </w:tc>
        <w:tc>
          <w:tcPr>
            <w:tcW w:w="234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628A58" w14:textId="3271368B" w:rsidR="003D16D1" w:rsidRPr="00E41B32" w:rsidRDefault="003D16D1" w:rsidP="003D16D1">
            <w:pPr>
              <w:rPr>
                <w:sz w:val="18"/>
                <w:szCs w:val="18"/>
              </w:rPr>
            </w:pPr>
            <w:r w:rsidRPr="00E41B32">
              <w:rPr>
                <w:sz w:val="18"/>
                <w:szCs w:val="18"/>
              </w:rPr>
              <w:t>Cross-Platform Score Validation</w:t>
            </w:r>
          </w:p>
        </w:tc>
        <w:tc>
          <w:tcPr>
            <w:tcW w:w="538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71E84E" w14:textId="6F0B1B00" w:rsidR="003D16D1" w:rsidRPr="00E41B32" w:rsidRDefault="003D16D1" w:rsidP="003D16D1">
            <w:pPr>
              <w:jc w:val="center"/>
              <w:rPr>
                <w:sz w:val="18"/>
                <w:szCs w:val="18"/>
              </w:rPr>
            </w:pPr>
            <w:r w:rsidRPr="00E41B32">
              <w:rPr>
                <w:sz w:val="18"/>
                <w:szCs w:val="18"/>
              </w:rPr>
              <w:t>Statistical equivalence confirmation using non-parametric tests (e.g., Kruskal–Wallis) ensuring medians converge at 50.</w:t>
            </w:r>
          </w:p>
        </w:tc>
      </w:tr>
      <w:tr w:rsidR="003D16D1" w14:paraId="0FCB9D95" w14:textId="77777777" w:rsidTr="003A720C">
        <w:tc>
          <w:tcPr>
            <w:tcW w:w="147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C2C562" w14:textId="77777777" w:rsidR="003D16D1" w:rsidRPr="00637F3F" w:rsidRDefault="003D16D1" w:rsidP="003D16D1">
            <w:pPr>
              <w:jc w:val="center"/>
            </w:pPr>
          </w:p>
        </w:tc>
        <w:tc>
          <w:tcPr>
            <w:tcW w:w="234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1B24B5" w14:textId="60D1798A" w:rsidR="003D16D1" w:rsidRPr="00E41B32" w:rsidRDefault="003D16D1" w:rsidP="003D16D1">
            <w:pPr>
              <w:rPr>
                <w:sz w:val="18"/>
                <w:szCs w:val="18"/>
              </w:rPr>
            </w:pPr>
            <w:r w:rsidRPr="00E41B32">
              <w:rPr>
                <w:rStyle w:val="a9"/>
                <w:sz w:val="18"/>
                <w:szCs w:val="18"/>
              </w:rPr>
              <w:t>Standardized Maturity Index (0–100)</w:t>
            </w:r>
          </w:p>
        </w:tc>
        <w:tc>
          <w:tcPr>
            <w:tcW w:w="538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156F396" w14:textId="6211CFCF" w:rsidR="003D16D1" w:rsidRPr="00E41B32" w:rsidRDefault="003D16D1" w:rsidP="003D16D1">
            <w:pPr>
              <w:jc w:val="center"/>
              <w:rPr>
                <w:sz w:val="18"/>
                <w:szCs w:val="18"/>
              </w:rPr>
            </w:pPr>
            <w:proofErr w:type="gramStart"/>
            <w:r w:rsidRPr="00E41B32">
              <w:rPr>
                <w:sz w:val="18"/>
                <w:szCs w:val="18"/>
              </w:rPr>
              <w:t>clip(</w:t>
            </w:r>
            <w:proofErr w:type="gramEnd"/>
            <w:r w:rsidRPr="00E41B32">
              <w:rPr>
                <w:sz w:val="18"/>
                <w:szCs w:val="18"/>
              </w:rPr>
              <w:t>50 + (</w:t>
            </w:r>
            <w:proofErr w:type="spellStart"/>
            <w:r w:rsidRPr="00E41B32">
              <w:rPr>
                <w:sz w:val="18"/>
                <w:szCs w:val="18"/>
              </w:rPr>
              <w:t>CaliberUniformityScore</w:t>
            </w:r>
            <w:proofErr w:type="spellEnd"/>
            <w:r w:rsidRPr="00E41B32">
              <w:rPr>
                <w:sz w:val="18"/>
                <w:szCs w:val="18"/>
              </w:rPr>
              <w:t xml:space="preserve"> - </w:t>
            </w:r>
            <w:proofErr w:type="spellStart"/>
            <w:r w:rsidRPr="00E41B32">
              <w:rPr>
                <w:sz w:val="18"/>
                <w:szCs w:val="18"/>
              </w:rPr>
              <w:t>ComplexityScore</w:t>
            </w:r>
            <w:proofErr w:type="spellEnd"/>
            <w:r w:rsidRPr="00E41B32">
              <w:rPr>
                <w:sz w:val="18"/>
                <w:szCs w:val="18"/>
              </w:rPr>
              <w:t>) / 2, 0, 100). Scores &gt; 50 indicate stability-dominance; scores &lt; 50 indicate complexity-dominance.</w:t>
            </w:r>
          </w:p>
        </w:tc>
      </w:tr>
    </w:tbl>
    <w:p w14:paraId="116919AD" w14:textId="77777777" w:rsidR="00415CD5" w:rsidRDefault="00415CD5"/>
    <w:p w14:paraId="1C821259" w14:textId="01F29363" w:rsidR="00415CD5" w:rsidRDefault="0088242E" w:rsidP="00635194">
      <w:r>
        <w:br w:type="page"/>
      </w:r>
    </w:p>
    <w:p w14:paraId="45068F2A" w14:textId="77777777" w:rsidR="00415CD5" w:rsidRDefault="0088242E">
      <w:pPr>
        <w:pStyle w:val="2"/>
      </w:pPr>
      <w:r>
        <w:lastRenderedPageBreak/>
        <w:t>Table 2. Raw topological and morphometric parameters by acquisition protocol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000"/>
        <w:gridCol w:w="2560"/>
      </w:tblGrid>
      <w:tr w:rsidR="00415CD5" w14:paraId="15ECA6F2" w14:textId="77777777">
        <w:tc>
          <w:tcPr>
            <w:tcW w:w="28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27AF05E4" w14:textId="77777777" w:rsidR="00415CD5" w:rsidRDefault="0088242E">
            <w:pPr>
              <w:jc w:val="center"/>
            </w:pPr>
            <w:r>
              <w:rPr>
                <w:rFonts w:eastAsia="Arial"/>
                <w:b/>
                <w:bCs/>
                <w:sz w:val="18"/>
                <w:szCs w:val="18"/>
              </w:rPr>
              <w:t>Parameter</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0081C82F" w14:textId="77777777" w:rsidR="00415CD5" w:rsidRDefault="0088242E">
            <w:pPr>
              <w:jc w:val="center"/>
            </w:pPr>
            <w:r>
              <w:rPr>
                <w:rFonts w:eastAsia="Arial"/>
                <w:b/>
                <w:bCs/>
                <w:sz w:val="18"/>
                <w:szCs w:val="18"/>
              </w:rPr>
              <w:t xml:space="preserve">Large </w:t>
            </w:r>
            <w:proofErr w:type="spellStart"/>
            <w:r>
              <w:rPr>
                <w:rFonts w:eastAsia="Arial"/>
                <w:b/>
                <w:bCs/>
                <w:sz w:val="18"/>
                <w:szCs w:val="18"/>
              </w:rPr>
              <w:t>PlexElite</w:t>
            </w:r>
            <w:proofErr w:type="spellEnd"/>
            <w:r>
              <w:rPr>
                <w:rFonts w:eastAsia="Arial"/>
                <w:b/>
                <w:bCs/>
                <w:sz w:val="18"/>
                <w:szCs w:val="18"/>
              </w:rPr>
              <w:t xml:space="preserve"> 6×6mm (n = 49)</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0DE96A13" w14:textId="77777777" w:rsidR="00415CD5" w:rsidRDefault="0088242E">
            <w:pPr>
              <w:jc w:val="center"/>
            </w:pPr>
            <w:r>
              <w:rPr>
                <w:rFonts w:eastAsia="Arial"/>
                <w:b/>
                <w:bCs/>
                <w:sz w:val="18"/>
                <w:szCs w:val="18"/>
              </w:rPr>
              <w:t>Small_3mm HD series 3×3mm (n = 30)</w:t>
            </w:r>
          </w:p>
        </w:tc>
        <w:tc>
          <w:tcPr>
            <w:tcW w:w="256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4E971AD1" w14:textId="77777777" w:rsidR="00415CD5" w:rsidRDefault="0088242E">
            <w:pPr>
              <w:jc w:val="center"/>
            </w:pPr>
            <w:r>
              <w:rPr>
                <w:rFonts w:eastAsia="Arial"/>
                <w:b/>
                <w:bCs/>
                <w:sz w:val="18"/>
                <w:szCs w:val="18"/>
              </w:rPr>
              <w:t>Small Solix 6×6mm (n = 33)</w:t>
            </w:r>
          </w:p>
        </w:tc>
      </w:tr>
      <w:tr w:rsidR="00415CD5" w14:paraId="0E1C8BE4" w14:textId="77777777">
        <w:tc>
          <w:tcPr>
            <w:tcW w:w="2800" w:type="dxa"/>
            <w:tcBorders>
              <w:top w:val="single" w:sz="4" w:space="0" w:color="000000"/>
              <w:left w:val="single" w:sz="4" w:space="0" w:color="000000"/>
              <w:bottom w:val="single" w:sz="4" w:space="0" w:color="000000"/>
              <w:right w:val="single" w:sz="4" w:space="0" w:color="000000"/>
            </w:tcBorders>
            <w:shd w:val="clear" w:color="auto" w:fill="EBF0FA"/>
            <w:tcMar>
              <w:top w:w="80" w:type="dxa"/>
              <w:left w:w="100" w:type="dxa"/>
              <w:bottom w:w="80" w:type="dxa"/>
              <w:right w:w="100" w:type="dxa"/>
            </w:tcMar>
            <w:vAlign w:val="center"/>
          </w:tcPr>
          <w:p w14:paraId="32CD59FF" w14:textId="77777777" w:rsidR="00415CD5" w:rsidRDefault="0088242E">
            <w:r>
              <w:rPr>
                <w:rFonts w:eastAsia="Arial"/>
                <w:b/>
                <w:bCs/>
                <w:sz w:val="18"/>
                <w:szCs w:val="18"/>
              </w:rPr>
              <w:t>Topological metrics</w:t>
            </w:r>
          </w:p>
        </w:tc>
        <w:tc>
          <w:tcPr>
            <w:tcW w:w="2000" w:type="dxa"/>
            <w:tcBorders>
              <w:top w:val="single" w:sz="4" w:space="0" w:color="000000"/>
              <w:left w:val="single" w:sz="4" w:space="0" w:color="000000"/>
              <w:bottom w:val="single" w:sz="4" w:space="0" w:color="000000"/>
              <w:right w:val="single" w:sz="4" w:space="0" w:color="000000"/>
            </w:tcBorders>
            <w:shd w:val="clear" w:color="auto" w:fill="EBF0FA"/>
            <w:tcMar>
              <w:top w:w="80" w:type="dxa"/>
              <w:left w:w="100" w:type="dxa"/>
              <w:bottom w:w="80" w:type="dxa"/>
              <w:right w:w="100" w:type="dxa"/>
            </w:tcMar>
            <w:vAlign w:val="center"/>
          </w:tcPr>
          <w:p w14:paraId="0B025B70" w14:textId="77777777" w:rsidR="00415CD5" w:rsidRDefault="00415CD5">
            <w:pPr>
              <w:jc w:val="center"/>
            </w:pPr>
          </w:p>
        </w:tc>
        <w:tc>
          <w:tcPr>
            <w:tcW w:w="2000" w:type="dxa"/>
            <w:tcBorders>
              <w:top w:val="single" w:sz="4" w:space="0" w:color="000000"/>
              <w:left w:val="single" w:sz="4" w:space="0" w:color="000000"/>
              <w:bottom w:val="single" w:sz="4" w:space="0" w:color="000000"/>
              <w:right w:val="single" w:sz="4" w:space="0" w:color="000000"/>
            </w:tcBorders>
            <w:shd w:val="clear" w:color="auto" w:fill="EBF0FA"/>
            <w:tcMar>
              <w:top w:w="80" w:type="dxa"/>
              <w:left w:w="100" w:type="dxa"/>
              <w:bottom w:w="80" w:type="dxa"/>
              <w:right w:w="100" w:type="dxa"/>
            </w:tcMar>
            <w:vAlign w:val="center"/>
          </w:tcPr>
          <w:p w14:paraId="747A9C52" w14:textId="77777777" w:rsidR="00415CD5" w:rsidRDefault="00415CD5">
            <w:pPr>
              <w:jc w:val="center"/>
            </w:pPr>
          </w:p>
        </w:tc>
        <w:tc>
          <w:tcPr>
            <w:tcW w:w="2560" w:type="dxa"/>
            <w:tcBorders>
              <w:top w:val="single" w:sz="4" w:space="0" w:color="000000"/>
              <w:left w:val="single" w:sz="4" w:space="0" w:color="000000"/>
              <w:bottom w:val="single" w:sz="4" w:space="0" w:color="000000"/>
              <w:right w:val="single" w:sz="4" w:space="0" w:color="000000"/>
            </w:tcBorders>
            <w:shd w:val="clear" w:color="auto" w:fill="EBF0FA"/>
            <w:tcMar>
              <w:top w:w="80" w:type="dxa"/>
              <w:left w:w="100" w:type="dxa"/>
              <w:bottom w:w="80" w:type="dxa"/>
              <w:right w:w="100" w:type="dxa"/>
            </w:tcMar>
            <w:vAlign w:val="center"/>
          </w:tcPr>
          <w:p w14:paraId="1ECBDE51" w14:textId="77777777" w:rsidR="00415CD5" w:rsidRDefault="00415CD5">
            <w:pPr>
              <w:jc w:val="center"/>
            </w:pPr>
          </w:p>
        </w:tc>
      </w:tr>
      <w:tr w:rsidR="00415CD5" w14:paraId="63A1EA09"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2F61B9" w14:textId="77777777" w:rsidR="00415CD5" w:rsidRDefault="0088242E">
            <w:r>
              <w:rPr>
                <w:rFonts w:eastAsia="Arial"/>
                <w:sz w:val="18"/>
                <w:szCs w:val="18"/>
              </w:rPr>
              <w:t>Total Loop Count</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C4E361" w14:textId="77777777" w:rsidR="00415CD5" w:rsidRDefault="0088242E">
            <w:pPr>
              <w:jc w:val="center"/>
            </w:pPr>
            <w:r>
              <w:rPr>
                <w:rFonts w:eastAsia="Arial"/>
                <w:sz w:val="18"/>
                <w:szCs w:val="18"/>
              </w:rPr>
              <w:t>300.3 ± 199.2</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53CCBE" w14:textId="77777777" w:rsidR="00415CD5" w:rsidRDefault="0088242E">
            <w:pPr>
              <w:jc w:val="center"/>
            </w:pPr>
            <w:r>
              <w:rPr>
                <w:rFonts w:eastAsia="Arial"/>
                <w:sz w:val="18"/>
                <w:szCs w:val="18"/>
              </w:rPr>
              <w:t>165.2 ± 118.0</w:t>
            </w:r>
          </w:p>
        </w:tc>
        <w:tc>
          <w:tcPr>
            <w:tcW w:w="2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1E259F6" w14:textId="77777777" w:rsidR="00415CD5" w:rsidRDefault="0088242E">
            <w:pPr>
              <w:jc w:val="center"/>
            </w:pPr>
            <w:r>
              <w:rPr>
                <w:rFonts w:eastAsia="Arial"/>
                <w:sz w:val="18"/>
                <w:szCs w:val="18"/>
              </w:rPr>
              <w:t>89.5 ± 53.4</w:t>
            </w:r>
          </w:p>
        </w:tc>
      </w:tr>
      <w:tr w:rsidR="00415CD5" w14:paraId="5ABB2EFB"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9C59E6" w14:textId="77777777" w:rsidR="00415CD5" w:rsidRDefault="0088242E">
            <w:r>
              <w:rPr>
                <w:rFonts w:eastAsia="Arial"/>
                <w:sz w:val="18"/>
                <w:szCs w:val="18"/>
              </w:rPr>
              <w:t>Euler Number (total)</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31BC58" w14:textId="77777777" w:rsidR="00415CD5" w:rsidRDefault="0088242E">
            <w:pPr>
              <w:jc w:val="center"/>
            </w:pPr>
            <w:r>
              <w:rPr>
                <w:rFonts w:eastAsia="Arial"/>
                <w:sz w:val="18"/>
                <w:szCs w:val="18"/>
              </w:rPr>
              <w:t>−168.4 ± 146.0</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137C79" w14:textId="77777777" w:rsidR="00415CD5" w:rsidRDefault="0088242E">
            <w:pPr>
              <w:jc w:val="center"/>
            </w:pPr>
            <w:r>
              <w:rPr>
                <w:rFonts w:eastAsia="Arial"/>
                <w:sz w:val="18"/>
                <w:szCs w:val="18"/>
              </w:rPr>
              <w:t>−135.0 ± 98.4</w:t>
            </w:r>
          </w:p>
        </w:tc>
        <w:tc>
          <w:tcPr>
            <w:tcW w:w="2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39AF524" w14:textId="77777777" w:rsidR="00415CD5" w:rsidRDefault="0088242E">
            <w:pPr>
              <w:jc w:val="center"/>
            </w:pPr>
            <w:r>
              <w:rPr>
                <w:rFonts w:eastAsia="Arial"/>
                <w:sz w:val="18"/>
                <w:szCs w:val="18"/>
              </w:rPr>
              <w:t>−61.6 ± 48.2</w:t>
            </w:r>
          </w:p>
        </w:tc>
      </w:tr>
      <w:tr w:rsidR="00415CD5" w14:paraId="1219A4B6"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064945" w14:textId="77777777" w:rsidR="00415CD5" w:rsidRDefault="0088242E">
            <w:r>
              <w:rPr>
                <w:rFonts w:eastAsia="Arial"/>
                <w:sz w:val="18"/>
                <w:szCs w:val="18"/>
              </w:rPr>
              <w:t>Junction Density (mm⁻²)</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35C019" w14:textId="77777777" w:rsidR="00415CD5" w:rsidRDefault="0088242E">
            <w:pPr>
              <w:jc w:val="center"/>
            </w:pPr>
            <w:r>
              <w:rPr>
                <w:rFonts w:eastAsia="Arial"/>
                <w:sz w:val="18"/>
                <w:szCs w:val="18"/>
              </w:rPr>
              <w:t>25.85 ± 1.77</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17455E" w14:textId="77777777" w:rsidR="00415CD5" w:rsidRDefault="0088242E">
            <w:pPr>
              <w:jc w:val="center"/>
            </w:pPr>
            <w:r>
              <w:rPr>
                <w:rFonts w:eastAsia="Arial"/>
                <w:sz w:val="18"/>
                <w:szCs w:val="18"/>
              </w:rPr>
              <w:t>21.99 ± 3.51</w:t>
            </w:r>
          </w:p>
        </w:tc>
        <w:tc>
          <w:tcPr>
            <w:tcW w:w="2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ACCE929" w14:textId="77777777" w:rsidR="00415CD5" w:rsidRDefault="0088242E">
            <w:pPr>
              <w:jc w:val="center"/>
            </w:pPr>
            <w:r>
              <w:rPr>
                <w:rFonts w:eastAsia="Arial"/>
                <w:sz w:val="18"/>
                <w:szCs w:val="18"/>
              </w:rPr>
              <w:t>15.89 ± 2.88</w:t>
            </w:r>
          </w:p>
        </w:tc>
      </w:tr>
      <w:tr w:rsidR="00415CD5" w14:paraId="02DCD39F" w14:textId="77777777">
        <w:tc>
          <w:tcPr>
            <w:tcW w:w="2800" w:type="dxa"/>
            <w:tcBorders>
              <w:top w:val="single" w:sz="4" w:space="0" w:color="000000"/>
              <w:left w:val="single" w:sz="4" w:space="0" w:color="000000"/>
              <w:bottom w:val="single" w:sz="4" w:space="0" w:color="000000"/>
              <w:right w:val="single" w:sz="4" w:space="0" w:color="000000"/>
            </w:tcBorders>
            <w:shd w:val="clear" w:color="auto" w:fill="EBF0FA"/>
            <w:tcMar>
              <w:top w:w="80" w:type="dxa"/>
              <w:left w:w="100" w:type="dxa"/>
              <w:bottom w:w="80" w:type="dxa"/>
              <w:right w:w="100" w:type="dxa"/>
            </w:tcMar>
            <w:vAlign w:val="center"/>
          </w:tcPr>
          <w:p w14:paraId="7CD09349" w14:textId="77777777" w:rsidR="00415CD5" w:rsidRDefault="0088242E">
            <w:r>
              <w:rPr>
                <w:rFonts w:eastAsia="Arial"/>
                <w:b/>
                <w:bCs/>
                <w:sz w:val="18"/>
                <w:szCs w:val="18"/>
              </w:rPr>
              <w:t>Morphometric metrics</w:t>
            </w:r>
          </w:p>
        </w:tc>
        <w:tc>
          <w:tcPr>
            <w:tcW w:w="2000" w:type="dxa"/>
            <w:tcBorders>
              <w:top w:val="single" w:sz="4" w:space="0" w:color="000000"/>
              <w:left w:val="single" w:sz="4" w:space="0" w:color="000000"/>
              <w:bottom w:val="single" w:sz="4" w:space="0" w:color="000000"/>
              <w:right w:val="single" w:sz="4" w:space="0" w:color="000000"/>
            </w:tcBorders>
            <w:shd w:val="clear" w:color="auto" w:fill="EBF0FA"/>
            <w:tcMar>
              <w:top w:w="80" w:type="dxa"/>
              <w:left w:w="100" w:type="dxa"/>
              <w:bottom w:w="80" w:type="dxa"/>
              <w:right w:w="100" w:type="dxa"/>
            </w:tcMar>
            <w:vAlign w:val="center"/>
          </w:tcPr>
          <w:p w14:paraId="68AF480F" w14:textId="77777777" w:rsidR="00415CD5" w:rsidRDefault="00415CD5">
            <w:pPr>
              <w:jc w:val="center"/>
            </w:pPr>
          </w:p>
        </w:tc>
        <w:tc>
          <w:tcPr>
            <w:tcW w:w="2000" w:type="dxa"/>
            <w:tcBorders>
              <w:top w:val="single" w:sz="4" w:space="0" w:color="000000"/>
              <w:left w:val="single" w:sz="4" w:space="0" w:color="000000"/>
              <w:bottom w:val="single" w:sz="4" w:space="0" w:color="000000"/>
              <w:right w:val="single" w:sz="4" w:space="0" w:color="000000"/>
            </w:tcBorders>
            <w:shd w:val="clear" w:color="auto" w:fill="EBF0FA"/>
            <w:tcMar>
              <w:top w:w="80" w:type="dxa"/>
              <w:left w:w="100" w:type="dxa"/>
              <w:bottom w:w="80" w:type="dxa"/>
              <w:right w:w="100" w:type="dxa"/>
            </w:tcMar>
            <w:vAlign w:val="center"/>
          </w:tcPr>
          <w:p w14:paraId="276C610F" w14:textId="77777777" w:rsidR="00415CD5" w:rsidRDefault="00415CD5">
            <w:pPr>
              <w:jc w:val="center"/>
            </w:pPr>
          </w:p>
        </w:tc>
        <w:tc>
          <w:tcPr>
            <w:tcW w:w="2560" w:type="dxa"/>
            <w:tcBorders>
              <w:top w:val="single" w:sz="4" w:space="0" w:color="000000"/>
              <w:left w:val="single" w:sz="4" w:space="0" w:color="000000"/>
              <w:bottom w:val="single" w:sz="4" w:space="0" w:color="000000"/>
              <w:right w:val="single" w:sz="4" w:space="0" w:color="000000"/>
            </w:tcBorders>
            <w:shd w:val="clear" w:color="auto" w:fill="EBF0FA"/>
            <w:tcMar>
              <w:top w:w="80" w:type="dxa"/>
              <w:left w:w="100" w:type="dxa"/>
              <w:bottom w:w="80" w:type="dxa"/>
              <w:right w:w="100" w:type="dxa"/>
            </w:tcMar>
            <w:vAlign w:val="center"/>
          </w:tcPr>
          <w:p w14:paraId="03D44EB9" w14:textId="77777777" w:rsidR="00415CD5" w:rsidRDefault="00415CD5">
            <w:pPr>
              <w:jc w:val="center"/>
            </w:pPr>
          </w:p>
        </w:tc>
      </w:tr>
      <w:tr w:rsidR="00415CD5" w14:paraId="0D5EC24F"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AF2804" w14:textId="77777777" w:rsidR="00415CD5" w:rsidRDefault="0088242E">
            <w:r>
              <w:rPr>
                <w:rFonts w:eastAsia="Arial"/>
                <w:sz w:val="18"/>
                <w:szCs w:val="18"/>
              </w:rPr>
              <w:t>Fractal Dimension</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9F1692" w14:textId="77777777" w:rsidR="00415CD5" w:rsidRDefault="0088242E">
            <w:pPr>
              <w:jc w:val="center"/>
            </w:pPr>
            <w:r>
              <w:rPr>
                <w:rFonts w:eastAsia="Arial"/>
                <w:sz w:val="18"/>
                <w:szCs w:val="18"/>
              </w:rPr>
              <w:t>1.391 ± 0.081</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31A5D8" w14:textId="77777777" w:rsidR="00415CD5" w:rsidRDefault="0088242E">
            <w:pPr>
              <w:jc w:val="center"/>
            </w:pPr>
            <w:r>
              <w:rPr>
                <w:rFonts w:eastAsia="Arial"/>
                <w:sz w:val="18"/>
                <w:szCs w:val="18"/>
              </w:rPr>
              <w:t>1.378 ± 0.076</w:t>
            </w:r>
          </w:p>
        </w:tc>
        <w:tc>
          <w:tcPr>
            <w:tcW w:w="2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B44242" w14:textId="77777777" w:rsidR="00415CD5" w:rsidRDefault="0088242E">
            <w:pPr>
              <w:jc w:val="center"/>
            </w:pPr>
            <w:r>
              <w:rPr>
                <w:rFonts w:eastAsia="Arial"/>
                <w:sz w:val="18"/>
                <w:szCs w:val="18"/>
              </w:rPr>
              <w:t>1.310 ± 0.110</w:t>
            </w:r>
          </w:p>
        </w:tc>
      </w:tr>
      <w:tr w:rsidR="00415CD5" w14:paraId="66043465"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510C7F" w14:textId="77777777" w:rsidR="00415CD5" w:rsidRDefault="0088242E">
            <w:r>
              <w:rPr>
                <w:rFonts w:eastAsia="Arial"/>
                <w:sz w:val="18"/>
                <w:szCs w:val="18"/>
              </w:rPr>
              <w:t>Mean Vessel Diameter (µm)</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5915AA" w14:textId="77777777" w:rsidR="00415CD5" w:rsidRDefault="0088242E">
            <w:pPr>
              <w:jc w:val="center"/>
            </w:pPr>
            <w:r>
              <w:rPr>
                <w:rFonts w:eastAsia="Arial"/>
                <w:sz w:val="18"/>
                <w:szCs w:val="18"/>
              </w:rPr>
              <w:t>16.0 ± 0.3</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3A0F712" w14:textId="77777777" w:rsidR="00415CD5" w:rsidRDefault="0088242E">
            <w:pPr>
              <w:jc w:val="center"/>
            </w:pPr>
            <w:r>
              <w:rPr>
                <w:rFonts w:eastAsia="Arial"/>
                <w:sz w:val="18"/>
                <w:szCs w:val="18"/>
              </w:rPr>
              <w:t>23.7 ± 2.0</w:t>
            </w:r>
          </w:p>
        </w:tc>
        <w:tc>
          <w:tcPr>
            <w:tcW w:w="2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333EFD" w14:textId="77777777" w:rsidR="00415CD5" w:rsidRDefault="0088242E">
            <w:pPr>
              <w:jc w:val="center"/>
            </w:pPr>
            <w:r>
              <w:rPr>
                <w:rFonts w:eastAsia="Arial"/>
                <w:sz w:val="18"/>
                <w:szCs w:val="18"/>
              </w:rPr>
              <w:t>32.3 ± 3.8</w:t>
            </w:r>
          </w:p>
        </w:tc>
      </w:tr>
      <w:tr w:rsidR="00415CD5" w14:paraId="3C24BF6B" w14:textId="77777777">
        <w:tc>
          <w:tcPr>
            <w:tcW w:w="2800" w:type="dxa"/>
            <w:tcBorders>
              <w:top w:val="single" w:sz="4" w:space="0" w:color="000000"/>
              <w:left w:val="single" w:sz="4" w:space="0" w:color="000000"/>
              <w:bottom w:val="single" w:sz="4" w:space="0" w:color="000000"/>
              <w:right w:val="single" w:sz="4" w:space="0" w:color="000000"/>
            </w:tcBorders>
            <w:shd w:val="clear" w:color="auto" w:fill="EBF0FA"/>
            <w:tcMar>
              <w:top w:w="80" w:type="dxa"/>
              <w:left w:w="100" w:type="dxa"/>
              <w:bottom w:w="80" w:type="dxa"/>
              <w:right w:w="100" w:type="dxa"/>
            </w:tcMar>
            <w:vAlign w:val="center"/>
          </w:tcPr>
          <w:p w14:paraId="4A5AE148" w14:textId="77777777" w:rsidR="00415CD5" w:rsidRDefault="0088242E">
            <w:r>
              <w:rPr>
                <w:rFonts w:eastAsia="Arial"/>
                <w:b/>
                <w:bCs/>
                <w:sz w:val="18"/>
                <w:szCs w:val="18"/>
              </w:rPr>
              <w:t>Caliber stability metrics (pre-standardization)</w:t>
            </w:r>
          </w:p>
        </w:tc>
        <w:tc>
          <w:tcPr>
            <w:tcW w:w="2000" w:type="dxa"/>
            <w:tcBorders>
              <w:top w:val="single" w:sz="4" w:space="0" w:color="000000"/>
              <w:left w:val="single" w:sz="4" w:space="0" w:color="000000"/>
              <w:bottom w:val="single" w:sz="4" w:space="0" w:color="000000"/>
              <w:right w:val="single" w:sz="4" w:space="0" w:color="000000"/>
            </w:tcBorders>
            <w:shd w:val="clear" w:color="auto" w:fill="EBF0FA"/>
            <w:tcMar>
              <w:top w:w="80" w:type="dxa"/>
              <w:left w:w="100" w:type="dxa"/>
              <w:bottom w:w="80" w:type="dxa"/>
              <w:right w:w="100" w:type="dxa"/>
            </w:tcMar>
            <w:vAlign w:val="center"/>
          </w:tcPr>
          <w:p w14:paraId="1B8151CA" w14:textId="77777777" w:rsidR="00415CD5" w:rsidRDefault="00415CD5">
            <w:pPr>
              <w:jc w:val="center"/>
            </w:pPr>
          </w:p>
        </w:tc>
        <w:tc>
          <w:tcPr>
            <w:tcW w:w="2000" w:type="dxa"/>
            <w:tcBorders>
              <w:top w:val="single" w:sz="4" w:space="0" w:color="000000"/>
              <w:left w:val="single" w:sz="4" w:space="0" w:color="000000"/>
              <w:bottom w:val="single" w:sz="4" w:space="0" w:color="000000"/>
              <w:right w:val="single" w:sz="4" w:space="0" w:color="000000"/>
            </w:tcBorders>
            <w:shd w:val="clear" w:color="auto" w:fill="EBF0FA"/>
            <w:tcMar>
              <w:top w:w="80" w:type="dxa"/>
              <w:left w:w="100" w:type="dxa"/>
              <w:bottom w:w="80" w:type="dxa"/>
              <w:right w:w="100" w:type="dxa"/>
            </w:tcMar>
            <w:vAlign w:val="center"/>
          </w:tcPr>
          <w:p w14:paraId="4B2B6290" w14:textId="77777777" w:rsidR="00415CD5" w:rsidRDefault="00415CD5">
            <w:pPr>
              <w:jc w:val="center"/>
            </w:pPr>
          </w:p>
        </w:tc>
        <w:tc>
          <w:tcPr>
            <w:tcW w:w="2560" w:type="dxa"/>
            <w:tcBorders>
              <w:top w:val="single" w:sz="4" w:space="0" w:color="000000"/>
              <w:left w:val="single" w:sz="4" w:space="0" w:color="000000"/>
              <w:bottom w:val="single" w:sz="4" w:space="0" w:color="000000"/>
              <w:right w:val="single" w:sz="4" w:space="0" w:color="000000"/>
            </w:tcBorders>
            <w:shd w:val="clear" w:color="auto" w:fill="EBF0FA"/>
            <w:tcMar>
              <w:top w:w="80" w:type="dxa"/>
              <w:left w:w="100" w:type="dxa"/>
              <w:bottom w:w="80" w:type="dxa"/>
              <w:right w:w="100" w:type="dxa"/>
            </w:tcMar>
            <w:vAlign w:val="center"/>
          </w:tcPr>
          <w:p w14:paraId="5A710048" w14:textId="77777777" w:rsidR="00415CD5" w:rsidRDefault="00415CD5">
            <w:pPr>
              <w:jc w:val="center"/>
            </w:pPr>
          </w:p>
        </w:tc>
      </w:tr>
      <w:tr w:rsidR="00415CD5" w14:paraId="2C3CB3EA"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D04FF9" w14:textId="77777777" w:rsidR="00415CD5" w:rsidRDefault="0088242E">
            <w:r>
              <w:rPr>
                <w:rFonts w:eastAsia="Arial"/>
                <w:sz w:val="18"/>
                <w:szCs w:val="18"/>
              </w:rPr>
              <w:t>Diameter CV (%)</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98F713" w14:textId="77777777" w:rsidR="00415CD5" w:rsidRDefault="0088242E">
            <w:pPr>
              <w:jc w:val="center"/>
            </w:pPr>
            <w:r>
              <w:rPr>
                <w:rFonts w:eastAsia="Arial"/>
                <w:sz w:val="18"/>
                <w:szCs w:val="18"/>
              </w:rPr>
              <w:t>14.7 ± 6.8</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4B51CA" w14:textId="77777777" w:rsidR="00415CD5" w:rsidRDefault="0088242E">
            <w:pPr>
              <w:jc w:val="center"/>
            </w:pPr>
            <w:r>
              <w:rPr>
                <w:rFonts w:eastAsia="Arial"/>
                <w:sz w:val="18"/>
                <w:szCs w:val="18"/>
              </w:rPr>
              <w:t>16.8 ± 10.9</w:t>
            </w:r>
          </w:p>
        </w:tc>
        <w:tc>
          <w:tcPr>
            <w:tcW w:w="2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8DB3EF" w14:textId="77777777" w:rsidR="00415CD5" w:rsidRDefault="0088242E">
            <w:pPr>
              <w:jc w:val="center"/>
            </w:pPr>
            <w:r>
              <w:rPr>
                <w:rFonts w:eastAsia="Arial"/>
                <w:sz w:val="18"/>
                <w:szCs w:val="18"/>
              </w:rPr>
              <w:t>19.4 ± 10.3</w:t>
            </w:r>
          </w:p>
        </w:tc>
      </w:tr>
      <w:tr w:rsidR="00415CD5" w14:paraId="4B8D1E95"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CED48D" w14:textId="77777777" w:rsidR="00415CD5" w:rsidRDefault="0088242E">
            <w:r>
              <w:rPr>
                <w:rFonts w:eastAsia="Arial"/>
                <w:sz w:val="18"/>
                <w:szCs w:val="18"/>
              </w:rPr>
              <w:t>Diameter Range / Mean (%)</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BCF612" w14:textId="77777777" w:rsidR="00415CD5" w:rsidRDefault="0088242E">
            <w:pPr>
              <w:jc w:val="center"/>
            </w:pPr>
            <w:r>
              <w:rPr>
                <w:rFonts w:eastAsia="Arial"/>
                <w:sz w:val="18"/>
                <w:szCs w:val="18"/>
              </w:rPr>
              <w:t>50.4 ± 25.5</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38EA00" w14:textId="77777777" w:rsidR="00415CD5" w:rsidRDefault="0088242E">
            <w:pPr>
              <w:jc w:val="center"/>
            </w:pPr>
            <w:r>
              <w:rPr>
                <w:rFonts w:eastAsia="Arial"/>
                <w:sz w:val="18"/>
                <w:szCs w:val="18"/>
              </w:rPr>
              <w:t>55.3 ± 35.1</w:t>
            </w:r>
          </w:p>
        </w:tc>
        <w:tc>
          <w:tcPr>
            <w:tcW w:w="2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75FD8E" w14:textId="77777777" w:rsidR="00415CD5" w:rsidRDefault="0088242E">
            <w:pPr>
              <w:jc w:val="center"/>
            </w:pPr>
            <w:r>
              <w:rPr>
                <w:rFonts w:eastAsia="Arial"/>
                <w:sz w:val="18"/>
                <w:szCs w:val="18"/>
              </w:rPr>
              <w:t>65.9 ± 37.1</w:t>
            </w:r>
          </w:p>
        </w:tc>
      </w:tr>
    </w:tbl>
    <w:p w14:paraId="7FDB067A" w14:textId="77777777" w:rsidR="00415CD5" w:rsidRDefault="00415CD5"/>
    <w:p w14:paraId="10947A0C" w14:textId="77777777" w:rsidR="00415CD5" w:rsidRPr="00635194" w:rsidRDefault="0088242E">
      <w:pPr>
        <w:spacing w:before="60" w:after="60"/>
      </w:pPr>
      <w:r w:rsidRPr="00635194">
        <w:rPr>
          <w:rFonts w:eastAsia="Arial"/>
        </w:rPr>
        <w:t xml:space="preserve">Values are mean ± SD. Three acquisition protocols were employed: 6×6mm field on the Zeiss </w:t>
      </w:r>
      <w:proofErr w:type="spellStart"/>
      <w:r w:rsidRPr="00635194">
        <w:rPr>
          <w:rFonts w:eastAsia="Arial"/>
        </w:rPr>
        <w:t>PlexElite</w:t>
      </w:r>
      <w:proofErr w:type="spellEnd"/>
      <w:r w:rsidRPr="00635194">
        <w:rPr>
          <w:rFonts w:eastAsia="Arial"/>
        </w:rPr>
        <w:t xml:space="preserve"> 9000 (large); 3×3mm field on the Zeiss HD series (small_3mm); 6×6mm field on the Heidelberg Solix (small). Raw metrics differ substantially across protocols owing to field-of-view and device-dependent characteristics. Total loop count and Euler number reflect the complete network including both center and periphery zones. Mean vessel diameter shows the inverse relationship expected with field size. These systematic differences preclude direct cross-device comparison of raw parameters and motivate the PCA-based standardization described in the Methods.</w:t>
      </w:r>
    </w:p>
    <w:p w14:paraId="2B1ADE6D" w14:textId="77777777" w:rsidR="00415CD5" w:rsidRDefault="0088242E">
      <w:r>
        <w:br w:type="page"/>
      </w:r>
    </w:p>
    <w:p w14:paraId="40D3BAB0" w14:textId="77777777" w:rsidR="00415CD5" w:rsidRDefault="0088242E">
      <w:pPr>
        <w:pStyle w:val="2"/>
      </w:pPr>
      <w:r>
        <w:lastRenderedPageBreak/>
        <w:t>Table 3. Standardized scores following PCA-based normalization, by acquisition protocol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50"/>
        <w:gridCol w:w="1750"/>
        <w:gridCol w:w="1750"/>
        <w:gridCol w:w="1510"/>
      </w:tblGrid>
      <w:tr w:rsidR="00415CD5" w14:paraId="1D2DE91F" w14:textId="77777777">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15ADC988" w14:textId="77777777" w:rsidR="00415CD5" w:rsidRDefault="00415CD5">
            <w:pPr>
              <w:jc w:val="center"/>
            </w:pPr>
          </w:p>
        </w:tc>
        <w:tc>
          <w:tcPr>
            <w:tcW w:w="175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471926D8" w14:textId="77777777" w:rsidR="00415CD5" w:rsidRDefault="0088242E">
            <w:pPr>
              <w:jc w:val="center"/>
            </w:pPr>
            <w:r>
              <w:rPr>
                <w:rFonts w:eastAsia="Arial"/>
                <w:b/>
                <w:bCs/>
                <w:sz w:val="18"/>
                <w:szCs w:val="18"/>
              </w:rPr>
              <w:t xml:space="preserve">Large </w:t>
            </w:r>
            <w:proofErr w:type="spellStart"/>
            <w:r>
              <w:rPr>
                <w:rFonts w:eastAsia="Arial"/>
                <w:b/>
                <w:bCs/>
                <w:sz w:val="18"/>
                <w:szCs w:val="18"/>
              </w:rPr>
              <w:t>PlexElite</w:t>
            </w:r>
            <w:proofErr w:type="spellEnd"/>
            <w:r>
              <w:rPr>
                <w:rFonts w:eastAsia="Arial"/>
                <w:b/>
                <w:bCs/>
                <w:sz w:val="18"/>
                <w:szCs w:val="18"/>
              </w:rPr>
              <w:t xml:space="preserve"> 6×6mm (n = 49)</w:t>
            </w:r>
          </w:p>
        </w:tc>
        <w:tc>
          <w:tcPr>
            <w:tcW w:w="175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2AF40E67" w14:textId="77777777" w:rsidR="00415CD5" w:rsidRDefault="0088242E">
            <w:pPr>
              <w:jc w:val="center"/>
            </w:pPr>
            <w:r>
              <w:rPr>
                <w:rFonts w:eastAsia="Arial"/>
                <w:b/>
                <w:bCs/>
                <w:sz w:val="18"/>
                <w:szCs w:val="18"/>
              </w:rPr>
              <w:t>Small_3mm HD series 3×3mm (n = 30)</w:t>
            </w:r>
          </w:p>
        </w:tc>
        <w:tc>
          <w:tcPr>
            <w:tcW w:w="175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6FD94867" w14:textId="77777777" w:rsidR="00415CD5" w:rsidRDefault="0088242E">
            <w:pPr>
              <w:jc w:val="center"/>
            </w:pPr>
            <w:r>
              <w:rPr>
                <w:rFonts w:eastAsia="Arial"/>
                <w:b/>
                <w:bCs/>
                <w:sz w:val="18"/>
                <w:szCs w:val="18"/>
              </w:rPr>
              <w:t>Small Solix 6×6mm (n = 33)</w:t>
            </w:r>
          </w:p>
        </w:tc>
        <w:tc>
          <w:tcPr>
            <w:tcW w:w="151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7DBB8017" w14:textId="77777777" w:rsidR="00415CD5" w:rsidRDefault="0088242E">
            <w:pPr>
              <w:jc w:val="center"/>
            </w:pPr>
            <w:r>
              <w:rPr>
                <w:rFonts w:eastAsia="Arial"/>
                <w:b/>
                <w:bCs/>
                <w:sz w:val="18"/>
                <w:szCs w:val="18"/>
              </w:rPr>
              <w:t>p-value†</w:t>
            </w:r>
          </w:p>
        </w:tc>
      </w:tr>
      <w:tr w:rsidR="00415CD5" w14:paraId="06DE97A9" w14:textId="77777777">
        <w:tc>
          <w:tcPr>
            <w:tcW w:w="2600" w:type="dxa"/>
            <w:tcBorders>
              <w:top w:val="single" w:sz="4" w:space="0" w:color="000000"/>
              <w:left w:val="single" w:sz="4" w:space="0" w:color="000000"/>
              <w:bottom w:val="single" w:sz="4" w:space="0" w:color="000000"/>
              <w:right w:val="single" w:sz="4" w:space="0" w:color="000000"/>
            </w:tcBorders>
            <w:shd w:val="clear" w:color="auto" w:fill="EBF0FA"/>
            <w:tcMar>
              <w:top w:w="80" w:type="dxa"/>
              <w:left w:w="100" w:type="dxa"/>
              <w:bottom w:w="80" w:type="dxa"/>
              <w:right w:w="100" w:type="dxa"/>
            </w:tcMar>
            <w:vAlign w:val="center"/>
          </w:tcPr>
          <w:p w14:paraId="0554F9FF" w14:textId="77777777" w:rsidR="00415CD5" w:rsidRDefault="0088242E">
            <w:r>
              <w:rPr>
                <w:rFonts w:eastAsia="Arial"/>
                <w:b/>
                <w:bCs/>
                <w:sz w:val="18"/>
                <w:szCs w:val="18"/>
              </w:rPr>
              <w:t>Standardized Complexity Score</w:t>
            </w:r>
          </w:p>
        </w:tc>
        <w:tc>
          <w:tcPr>
            <w:tcW w:w="1750" w:type="dxa"/>
            <w:tcBorders>
              <w:top w:val="single" w:sz="4" w:space="0" w:color="000000"/>
              <w:left w:val="single" w:sz="4" w:space="0" w:color="000000"/>
              <w:bottom w:val="single" w:sz="4" w:space="0" w:color="000000"/>
              <w:right w:val="single" w:sz="4" w:space="0" w:color="000000"/>
            </w:tcBorders>
            <w:shd w:val="clear" w:color="auto" w:fill="EBF0FA"/>
            <w:tcMar>
              <w:top w:w="80" w:type="dxa"/>
              <w:left w:w="100" w:type="dxa"/>
              <w:bottom w:w="80" w:type="dxa"/>
              <w:right w:w="100" w:type="dxa"/>
            </w:tcMar>
            <w:vAlign w:val="center"/>
          </w:tcPr>
          <w:p w14:paraId="280753CD" w14:textId="77777777" w:rsidR="00415CD5" w:rsidRDefault="00415CD5">
            <w:pPr>
              <w:jc w:val="center"/>
            </w:pPr>
          </w:p>
        </w:tc>
        <w:tc>
          <w:tcPr>
            <w:tcW w:w="1750" w:type="dxa"/>
            <w:tcBorders>
              <w:top w:val="single" w:sz="4" w:space="0" w:color="000000"/>
              <w:left w:val="single" w:sz="4" w:space="0" w:color="000000"/>
              <w:bottom w:val="single" w:sz="4" w:space="0" w:color="000000"/>
              <w:right w:val="single" w:sz="4" w:space="0" w:color="000000"/>
            </w:tcBorders>
            <w:shd w:val="clear" w:color="auto" w:fill="EBF0FA"/>
            <w:tcMar>
              <w:top w:w="80" w:type="dxa"/>
              <w:left w:w="100" w:type="dxa"/>
              <w:bottom w:w="80" w:type="dxa"/>
              <w:right w:w="100" w:type="dxa"/>
            </w:tcMar>
            <w:vAlign w:val="center"/>
          </w:tcPr>
          <w:p w14:paraId="3C26A0BC" w14:textId="77777777" w:rsidR="00415CD5" w:rsidRDefault="00415CD5">
            <w:pPr>
              <w:jc w:val="center"/>
            </w:pPr>
          </w:p>
        </w:tc>
        <w:tc>
          <w:tcPr>
            <w:tcW w:w="1750" w:type="dxa"/>
            <w:tcBorders>
              <w:top w:val="single" w:sz="4" w:space="0" w:color="000000"/>
              <w:left w:val="single" w:sz="4" w:space="0" w:color="000000"/>
              <w:bottom w:val="single" w:sz="4" w:space="0" w:color="000000"/>
              <w:right w:val="single" w:sz="4" w:space="0" w:color="000000"/>
            </w:tcBorders>
            <w:shd w:val="clear" w:color="auto" w:fill="EBF0FA"/>
            <w:tcMar>
              <w:top w:w="80" w:type="dxa"/>
              <w:left w:w="100" w:type="dxa"/>
              <w:bottom w:w="80" w:type="dxa"/>
              <w:right w:w="100" w:type="dxa"/>
            </w:tcMar>
            <w:vAlign w:val="center"/>
          </w:tcPr>
          <w:p w14:paraId="30F12E28" w14:textId="77777777" w:rsidR="00415CD5" w:rsidRDefault="00415CD5">
            <w:pPr>
              <w:jc w:val="center"/>
            </w:pPr>
          </w:p>
        </w:tc>
        <w:tc>
          <w:tcPr>
            <w:tcW w:w="1510" w:type="dxa"/>
            <w:tcBorders>
              <w:top w:val="single" w:sz="4" w:space="0" w:color="000000"/>
              <w:left w:val="single" w:sz="4" w:space="0" w:color="000000"/>
              <w:bottom w:val="single" w:sz="4" w:space="0" w:color="000000"/>
              <w:right w:val="single" w:sz="4" w:space="0" w:color="000000"/>
            </w:tcBorders>
            <w:shd w:val="clear" w:color="auto" w:fill="EBF0FA"/>
            <w:tcMar>
              <w:top w:w="80" w:type="dxa"/>
              <w:left w:w="100" w:type="dxa"/>
              <w:bottom w:w="80" w:type="dxa"/>
              <w:right w:w="100" w:type="dxa"/>
            </w:tcMar>
            <w:vAlign w:val="center"/>
          </w:tcPr>
          <w:p w14:paraId="2F84708D" w14:textId="77777777" w:rsidR="00415CD5" w:rsidRDefault="00415CD5">
            <w:pPr>
              <w:jc w:val="center"/>
            </w:pPr>
          </w:p>
        </w:tc>
      </w:tr>
      <w:tr w:rsidR="00415CD5" w14:paraId="4A26BEB2"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6CD7FB" w14:textId="77777777" w:rsidR="00415CD5" w:rsidRDefault="0088242E">
            <w:r>
              <w:rPr>
                <w:rFonts w:eastAsia="Arial"/>
                <w:sz w:val="18"/>
                <w:szCs w:val="18"/>
              </w:rPr>
              <w:t xml:space="preserve">  PC1 explained variance</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A68AC0" w14:textId="77777777" w:rsidR="00415CD5" w:rsidRDefault="0088242E">
            <w:pPr>
              <w:jc w:val="center"/>
            </w:pPr>
            <w:r>
              <w:rPr>
                <w:rFonts w:eastAsia="Arial"/>
                <w:sz w:val="18"/>
                <w:szCs w:val="18"/>
              </w:rPr>
              <w:t>63.7%</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25EE65" w14:textId="77777777" w:rsidR="00415CD5" w:rsidRDefault="0088242E">
            <w:pPr>
              <w:jc w:val="center"/>
            </w:pPr>
            <w:r>
              <w:rPr>
                <w:rFonts w:eastAsia="Arial"/>
                <w:sz w:val="18"/>
                <w:szCs w:val="18"/>
              </w:rPr>
              <w:t>73.9%</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378245" w14:textId="77777777" w:rsidR="00415CD5" w:rsidRDefault="0088242E">
            <w:pPr>
              <w:jc w:val="center"/>
            </w:pPr>
            <w:r>
              <w:rPr>
                <w:rFonts w:eastAsia="Arial"/>
                <w:sz w:val="18"/>
                <w:szCs w:val="18"/>
              </w:rPr>
              <w:t>70.2%</w:t>
            </w:r>
          </w:p>
        </w:tc>
        <w:tc>
          <w:tcPr>
            <w:tcW w:w="15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8D41EB" w14:textId="3A0AFE45" w:rsidR="00415CD5" w:rsidRDefault="00E201DC">
            <w:pPr>
              <w:jc w:val="center"/>
            </w:pPr>
            <w:r>
              <w:t>-</w:t>
            </w:r>
          </w:p>
        </w:tc>
      </w:tr>
      <w:tr w:rsidR="00415CD5" w14:paraId="270BED5F"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6E82D6" w14:textId="77777777" w:rsidR="00415CD5" w:rsidRDefault="0088242E">
            <w:r>
              <w:rPr>
                <w:rFonts w:eastAsia="Arial"/>
                <w:sz w:val="18"/>
                <w:szCs w:val="18"/>
              </w:rPr>
              <w:t xml:space="preserve">  Median (IQR)</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99E3337" w14:textId="77777777" w:rsidR="00415CD5" w:rsidRDefault="0088242E">
            <w:pPr>
              <w:jc w:val="center"/>
            </w:pPr>
            <w:r>
              <w:rPr>
                <w:rFonts w:eastAsia="Arial"/>
                <w:sz w:val="18"/>
                <w:szCs w:val="18"/>
              </w:rPr>
              <w:t>48.0 (42.4–55.4)</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1FBF43" w14:textId="77777777" w:rsidR="00415CD5" w:rsidRDefault="0088242E">
            <w:pPr>
              <w:jc w:val="center"/>
            </w:pPr>
            <w:r>
              <w:rPr>
                <w:rFonts w:eastAsia="Arial"/>
                <w:sz w:val="18"/>
                <w:szCs w:val="18"/>
              </w:rPr>
              <w:t>49.2 (45.7–57.8)</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F957F6" w14:textId="77777777" w:rsidR="00415CD5" w:rsidRDefault="0088242E">
            <w:pPr>
              <w:jc w:val="center"/>
            </w:pPr>
            <w:r>
              <w:rPr>
                <w:rFonts w:eastAsia="Arial"/>
                <w:sz w:val="18"/>
                <w:szCs w:val="18"/>
              </w:rPr>
              <w:t>49.9 (41.8–57.9)</w:t>
            </w:r>
          </w:p>
        </w:tc>
        <w:tc>
          <w:tcPr>
            <w:tcW w:w="15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B0647D" w14:textId="77777777" w:rsidR="00415CD5" w:rsidRDefault="0088242E">
            <w:pPr>
              <w:jc w:val="center"/>
            </w:pPr>
            <w:r>
              <w:rPr>
                <w:rFonts w:eastAsia="Arial"/>
                <w:sz w:val="18"/>
                <w:szCs w:val="18"/>
              </w:rPr>
              <w:t>0.276</w:t>
            </w:r>
          </w:p>
        </w:tc>
      </w:tr>
      <w:tr w:rsidR="00415CD5" w14:paraId="493617FE"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9E26D0" w14:textId="77777777" w:rsidR="00415CD5" w:rsidRDefault="0088242E">
            <w:r>
              <w:rPr>
                <w:rFonts w:eastAsia="Arial"/>
                <w:sz w:val="18"/>
                <w:szCs w:val="18"/>
              </w:rPr>
              <w:t xml:space="preserve">  Mean ± SD</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43B01C" w14:textId="77777777" w:rsidR="00415CD5" w:rsidRDefault="0088242E">
            <w:pPr>
              <w:jc w:val="center"/>
            </w:pPr>
            <w:r>
              <w:rPr>
                <w:rFonts w:eastAsia="Arial"/>
                <w:sz w:val="18"/>
                <w:szCs w:val="18"/>
              </w:rPr>
              <w:t>48.4 ± 12.2</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C80500" w14:textId="77777777" w:rsidR="00415CD5" w:rsidRDefault="0088242E">
            <w:pPr>
              <w:jc w:val="center"/>
            </w:pPr>
            <w:r>
              <w:rPr>
                <w:rFonts w:eastAsia="Arial"/>
                <w:sz w:val="18"/>
                <w:szCs w:val="18"/>
              </w:rPr>
              <w:t>54.0 ± 12.8</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074C13F" w14:textId="77777777" w:rsidR="00415CD5" w:rsidRDefault="0088242E">
            <w:pPr>
              <w:jc w:val="center"/>
            </w:pPr>
            <w:r>
              <w:rPr>
                <w:rFonts w:eastAsia="Arial"/>
                <w:sz w:val="18"/>
                <w:szCs w:val="18"/>
              </w:rPr>
              <w:t>51.4 ± 13.5</w:t>
            </w:r>
          </w:p>
        </w:tc>
        <w:tc>
          <w:tcPr>
            <w:tcW w:w="15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26451D" w14:textId="77777777" w:rsidR="00415CD5" w:rsidRDefault="0088242E">
            <w:pPr>
              <w:jc w:val="center"/>
            </w:pPr>
            <w:r>
              <w:rPr>
                <w:rFonts w:eastAsia="Arial"/>
                <w:sz w:val="18"/>
                <w:szCs w:val="18"/>
              </w:rPr>
              <w:t>NS</w:t>
            </w:r>
          </w:p>
        </w:tc>
      </w:tr>
      <w:tr w:rsidR="00415CD5" w14:paraId="76708D03" w14:textId="77777777">
        <w:tc>
          <w:tcPr>
            <w:tcW w:w="2600" w:type="dxa"/>
            <w:tcBorders>
              <w:top w:val="single" w:sz="4" w:space="0" w:color="000000"/>
              <w:left w:val="single" w:sz="4" w:space="0" w:color="000000"/>
              <w:bottom w:val="single" w:sz="4" w:space="0" w:color="000000"/>
              <w:right w:val="single" w:sz="4" w:space="0" w:color="000000"/>
            </w:tcBorders>
            <w:shd w:val="clear" w:color="auto" w:fill="EBF0FA"/>
            <w:tcMar>
              <w:top w:w="80" w:type="dxa"/>
              <w:left w:w="100" w:type="dxa"/>
              <w:bottom w:w="80" w:type="dxa"/>
              <w:right w:w="100" w:type="dxa"/>
            </w:tcMar>
            <w:vAlign w:val="center"/>
          </w:tcPr>
          <w:p w14:paraId="3B4341EE" w14:textId="77777777" w:rsidR="00415CD5" w:rsidRDefault="0088242E">
            <w:r>
              <w:rPr>
                <w:rFonts w:eastAsia="Arial"/>
                <w:b/>
                <w:bCs/>
                <w:sz w:val="18"/>
                <w:szCs w:val="18"/>
              </w:rPr>
              <w:t>Standardized Caliber Uniformity Score</w:t>
            </w:r>
          </w:p>
        </w:tc>
        <w:tc>
          <w:tcPr>
            <w:tcW w:w="1750" w:type="dxa"/>
            <w:tcBorders>
              <w:top w:val="single" w:sz="4" w:space="0" w:color="000000"/>
              <w:left w:val="single" w:sz="4" w:space="0" w:color="000000"/>
              <w:bottom w:val="single" w:sz="4" w:space="0" w:color="000000"/>
              <w:right w:val="single" w:sz="4" w:space="0" w:color="000000"/>
            </w:tcBorders>
            <w:shd w:val="clear" w:color="auto" w:fill="EBF0FA"/>
            <w:tcMar>
              <w:top w:w="80" w:type="dxa"/>
              <w:left w:w="100" w:type="dxa"/>
              <w:bottom w:w="80" w:type="dxa"/>
              <w:right w:w="100" w:type="dxa"/>
            </w:tcMar>
            <w:vAlign w:val="center"/>
          </w:tcPr>
          <w:p w14:paraId="1E4510BE" w14:textId="77777777" w:rsidR="00415CD5" w:rsidRDefault="00415CD5">
            <w:pPr>
              <w:jc w:val="center"/>
            </w:pPr>
          </w:p>
        </w:tc>
        <w:tc>
          <w:tcPr>
            <w:tcW w:w="1750" w:type="dxa"/>
            <w:tcBorders>
              <w:top w:val="single" w:sz="4" w:space="0" w:color="000000"/>
              <w:left w:val="single" w:sz="4" w:space="0" w:color="000000"/>
              <w:bottom w:val="single" w:sz="4" w:space="0" w:color="000000"/>
              <w:right w:val="single" w:sz="4" w:space="0" w:color="000000"/>
            </w:tcBorders>
            <w:shd w:val="clear" w:color="auto" w:fill="EBF0FA"/>
            <w:tcMar>
              <w:top w:w="80" w:type="dxa"/>
              <w:left w:w="100" w:type="dxa"/>
              <w:bottom w:w="80" w:type="dxa"/>
              <w:right w:w="100" w:type="dxa"/>
            </w:tcMar>
            <w:vAlign w:val="center"/>
          </w:tcPr>
          <w:p w14:paraId="5AA01539" w14:textId="77777777" w:rsidR="00415CD5" w:rsidRDefault="00415CD5">
            <w:pPr>
              <w:jc w:val="center"/>
            </w:pPr>
          </w:p>
        </w:tc>
        <w:tc>
          <w:tcPr>
            <w:tcW w:w="1750" w:type="dxa"/>
            <w:tcBorders>
              <w:top w:val="single" w:sz="4" w:space="0" w:color="000000"/>
              <w:left w:val="single" w:sz="4" w:space="0" w:color="000000"/>
              <w:bottom w:val="single" w:sz="4" w:space="0" w:color="000000"/>
              <w:right w:val="single" w:sz="4" w:space="0" w:color="000000"/>
            </w:tcBorders>
            <w:shd w:val="clear" w:color="auto" w:fill="EBF0FA"/>
            <w:tcMar>
              <w:top w:w="80" w:type="dxa"/>
              <w:left w:w="100" w:type="dxa"/>
              <w:bottom w:w="80" w:type="dxa"/>
              <w:right w:w="100" w:type="dxa"/>
            </w:tcMar>
            <w:vAlign w:val="center"/>
          </w:tcPr>
          <w:p w14:paraId="4A5B217E" w14:textId="77777777" w:rsidR="00415CD5" w:rsidRDefault="00415CD5">
            <w:pPr>
              <w:jc w:val="center"/>
            </w:pPr>
          </w:p>
        </w:tc>
        <w:tc>
          <w:tcPr>
            <w:tcW w:w="1510" w:type="dxa"/>
            <w:tcBorders>
              <w:top w:val="single" w:sz="4" w:space="0" w:color="000000"/>
              <w:left w:val="single" w:sz="4" w:space="0" w:color="000000"/>
              <w:bottom w:val="single" w:sz="4" w:space="0" w:color="000000"/>
              <w:right w:val="single" w:sz="4" w:space="0" w:color="000000"/>
            </w:tcBorders>
            <w:shd w:val="clear" w:color="auto" w:fill="EBF0FA"/>
            <w:tcMar>
              <w:top w:w="80" w:type="dxa"/>
              <w:left w:w="100" w:type="dxa"/>
              <w:bottom w:w="80" w:type="dxa"/>
              <w:right w:w="100" w:type="dxa"/>
            </w:tcMar>
            <w:vAlign w:val="center"/>
          </w:tcPr>
          <w:p w14:paraId="2520CD4B" w14:textId="77777777" w:rsidR="00415CD5" w:rsidRDefault="00415CD5">
            <w:pPr>
              <w:jc w:val="center"/>
            </w:pPr>
          </w:p>
        </w:tc>
      </w:tr>
      <w:tr w:rsidR="00415CD5" w14:paraId="659F0B6E"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DE92F7" w14:textId="77777777" w:rsidR="00415CD5" w:rsidRDefault="0088242E">
            <w:r>
              <w:rPr>
                <w:rFonts w:eastAsia="Arial"/>
                <w:sz w:val="18"/>
                <w:szCs w:val="18"/>
              </w:rPr>
              <w:t xml:space="preserve">  PC1 explained variance</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3B8F6B5" w14:textId="77777777" w:rsidR="00415CD5" w:rsidRDefault="0088242E">
            <w:pPr>
              <w:jc w:val="center"/>
            </w:pPr>
            <w:r>
              <w:rPr>
                <w:rFonts w:eastAsia="Arial"/>
                <w:sz w:val="18"/>
                <w:szCs w:val="18"/>
              </w:rPr>
              <w:t>89.6%</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DD4396" w14:textId="77777777" w:rsidR="00415CD5" w:rsidRDefault="0088242E">
            <w:pPr>
              <w:jc w:val="center"/>
            </w:pPr>
            <w:r>
              <w:rPr>
                <w:rFonts w:eastAsia="Arial"/>
                <w:sz w:val="18"/>
                <w:szCs w:val="18"/>
              </w:rPr>
              <w:t>81.1%</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76B66C" w14:textId="77777777" w:rsidR="00415CD5" w:rsidRDefault="0088242E">
            <w:pPr>
              <w:jc w:val="center"/>
            </w:pPr>
            <w:r>
              <w:rPr>
                <w:rFonts w:eastAsia="Arial"/>
                <w:sz w:val="18"/>
                <w:szCs w:val="18"/>
              </w:rPr>
              <w:t>87.3%</w:t>
            </w:r>
          </w:p>
        </w:tc>
        <w:tc>
          <w:tcPr>
            <w:tcW w:w="15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411A6A" w14:textId="71C7FB45" w:rsidR="00415CD5" w:rsidRDefault="00B26B2F">
            <w:pPr>
              <w:jc w:val="center"/>
            </w:pPr>
            <w:r>
              <w:rPr>
                <w:rFonts w:eastAsia="Arial"/>
                <w:sz w:val="18"/>
                <w:szCs w:val="18"/>
              </w:rPr>
              <w:t>-</w:t>
            </w:r>
          </w:p>
        </w:tc>
      </w:tr>
      <w:tr w:rsidR="00415CD5" w14:paraId="627E16F5"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865A46" w14:textId="77777777" w:rsidR="00415CD5" w:rsidRDefault="0088242E">
            <w:r>
              <w:rPr>
                <w:rFonts w:eastAsia="Arial"/>
                <w:sz w:val="18"/>
                <w:szCs w:val="18"/>
              </w:rPr>
              <w:t xml:space="preserve">  Median (IQR)</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41E4B4" w14:textId="77777777" w:rsidR="00415CD5" w:rsidRDefault="0088242E">
            <w:pPr>
              <w:jc w:val="center"/>
            </w:pPr>
            <w:r>
              <w:rPr>
                <w:rFonts w:eastAsia="Arial"/>
                <w:sz w:val="18"/>
                <w:szCs w:val="18"/>
              </w:rPr>
              <w:t>50.6 (41.3–60.1)</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CEFACDA" w14:textId="77777777" w:rsidR="00415CD5" w:rsidRDefault="0088242E">
            <w:pPr>
              <w:jc w:val="center"/>
            </w:pPr>
            <w:r>
              <w:rPr>
                <w:rFonts w:eastAsia="Arial"/>
                <w:sz w:val="18"/>
                <w:szCs w:val="18"/>
              </w:rPr>
              <w:t>50.3 (48.2–56.2)</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1C6EA67" w14:textId="77777777" w:rsidR="00415CD5" w:rsidRDefault="0088242E">
            <w:pPr>
              <w:jc w:val="center"/>
            </w:pPr>
            <w:r>
              <w:rPr>
                <w:rFonts w:eastAsia="Arial"/>
                <w:sz w:val="18"/>
                <w:szCs w:val="18"/>
              </w:rPr>
              <w:t>49.9 (43.2–64.5)</w:t>
            </w:r>
          </w:p>
        </w:tc>
        <w:tc>
          <w:tcPr>
            <w:tcW w:w="15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1B6F00" w14:textId="77777777" w:rsidR="00415CD5" w:rsidRDefault="0088242E">
            <w:pPr>
              <w:jc w:val="center"/>
            </w:pPr>
            <w:r>
              <w:rPr>
                <w:rFonts w:eastAsia="Arial"/>
                <w:sz w:val="18"/>
                <w:szCs w:val="18"/>
              </w:rPr>
              <w:t>0.636</w:t>
            </w:r>
          </w:p>
        </w:tc>
      </w:tr>
      <w:tr w:rsidR="00415CD5" w14:paraId="0A9BEC4B"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43AB8B" w14:textId="77777777" w:rsidR="00415CD5" w:rsidRDefault="0088242E">
            <w:r>
              <w:rPr>
                <w:rFonts w:eastAsia="Arial"/>
                <w:sz w:val="18"/>
                <w:szCs w:val="18"/>
              </w:rPr>
              <w:t xml:space="preserve">  Mean ± SD</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18B49C" w14:textId="77777777" w:rsidR="00415CD5" w:rsidRDefault="0088242E">
            <w:pPr>
              <w:jc w:val="center"/>
            </w:pPr>
            <w:r>
              <w:rPr>
                <w:rFonts w:eastAsia="Arial"/>
                <w:sz w:val="18"/>
                <w:szCs w:val="18"/>
              </w:rPr>
              <w:t>50.8 ± 14.4</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D59898" w14:textId="77777777" w:rsidR="00415CD5" w:rsidRDefault="0088242E">
            <w:pPr>
              <w:jc w:val="center"/>
            </w:pPr>
            <w:r>
              <w:rPr>
                <w:rFonts w:eastAsia="Arial"/>
                <w:sz w:val="18"/>
                <w:szCs w:val="18"/>
              </w:rPr>
              <w:t>52.8 ± 12.8</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4BC37A" w14:textId="77777777" w:rsidR="00415CD5" w:rsidRDefault="0088242E">
            <w:pPr>
              <w:jc w:val="center"/>
            </w:pPr>
            <w:r>
              <w:rPr>
                <w:rFonts w:eastAsia="Arial"/>
                <w:sz w:val="18"/>
                <w:szCs w:val="18"/>
              </w:rPr>
              <w:t>52.9 ± 19.1</w:t>
            </w:r>
          </w:p>
        </w:tc>
        <w:tc>
          <w:tcPr>
            <w:tcW w:w="15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970B5E" w14:textId="77777777" w:rsidR="00415CD5" w:rsidRDefault="0088242E">
            <w:pPr>
              <w:jc w:val="center"/>
            </w:pPr>
            <w:r>
              <w:rPr>
                <w:rFonts w:eastAsia="Arial"/>
                <w:sz w:val="18"/>
                <w:szCs w:val="18"/>
              </w:rPr>
              <w:t>NS</w:t>
            </w:r>
          </w:p>
        </w:tc>
      </w:tr>
      <w:tr w:rsidR="00415CD5" w14:paraId="5DC0E964" w14:textId="77777777">
        <w:tc>
          <w:tcPr>
            <w:tcW w:w="2600" w:type="dxa"/>
            <w:tcBorders>
              <w:top w:val="single" w:sz="4" w:space="0" w:color="000000"/>
              <w:left w:val="single" w:sz="4" w:space="0" w:color="000000"/>
              <w:bottom w:val="single" w:sz="4" w:space="0" w:color="000000"/>
              <w:right w:val="single" w:sz="4" w:space="0" w:color="000000"/>
            </w:tcBorders>
            <w:shd w:val="clear" w:color="auto" w:fill="EBF0FA"/>
            <w:tcMar>
              <w:top w:w="80" w:type="dxa"/>
              <w:left w:w="100" w:type="dxa"/>
              <w:bottom w:w="80" w:type="dxa"/>
              <w:right w:w="100" w:type="dxa"/>
            </w:tcMar>
            <w:vAlign w:val="center"/>
          </w:tcPr>
          <w:p w14:paraId="1AC4B63E" w14:textId="77777777" w:rsidR="00415CD5" w:rsidRDefault="0088242E">
            <w:r>
              <w:rPr>
                <w:rFonts w:eastAsia="Arial"/>
                <w:b/>
                <w:bCs/>
                <w:sz w:val="18"/>
                <w:szCs w:val="18"/>
              </w:rPr>
              <w:t>Standardized Maturity Index</w:t>
            </w:r>
          </w:p>
        </w:tc>
        <w:tc>
          <w:tcPr>
            <w:tcW w:w="1750" w:type="dxa"/>
            <w:tcBorders>
              <w:top w:val="single" w:sz="4" w:space="0" w:color="000000"/>
              <w:left w:val="single" w:sz="4" w:space="0" w:color="000000"/>
              <w:bottom w:val="single" w:sz="4" w:space="0" w:color="000000"/>
              <w:right w:val="single" w:sz="4" w:space="0" w:color="000000"/>
            </w:tcBorders>
            <w:shd w:val="clear" w:color="auto" w:fill="EBF0FA"/>
            <w:tcMar>
              <w:top w:w="80" w:type="dxa"/>
              <w:left w:w="100" w:type="dxa"/>
              <w:bottom w:w="80" w:type="dxa"/>
              <w:right w:w="100" w:type="dxa"/>
            </w:tcMar>
            <w:vAlign w:val="center"/>
          </w:tcPr>
          <w:p w14:paraId="07901675" w14:textId="77777777" w:rsidR="00415CD5" w:rsidRDefault="00415CD5">
            <w:pPr>
              <w:jc w:val="center"/>
            </w:pPr>
          </w:p>
        </w:tc>
        <w:tc>
          <w:tcPr>
            <w:tcW w:w="1750" w:type="dxa"/>
            <w:tcBorders>
              <w:top w:val="single" w:sz="4" w:space="0" w:color="000000"/>
              <w:left w:val="single" w:sz="4" w:space="0" w:color="000000"/>
              <w:bottom w:val="single" w:sz="4" w:space="0" w:color="000000"/>
              <w:right w:val="single" w:sz="4" w:space="0" w:color="000000"/>
            </w:tcBorders>
            <w:shd w:val="clear" w:color="auto" w:fill="EBF0FA"/>
            <w:tcMar>
              <w:top w:w="80" w:type="dxa"/>
              <w:left w:w="100" w:type="dxa"/>
              <w:bottom w:w="80" w:type="dxa"/>
              <w:right w:w="100" w:type="dxa"/>
            </w:tcMar>
            <w:vAlign w:val="center"/>
          </w:tcPr>
          <w:p w14:paraId="3DBA473E" w14:textId="77777777" w:rsidR="00415CD5" w:rsidRDefault="00415CD5">
            <w:pPr>
              <w:jc w:val="center"/>
            </w:pPr>
          </w:p>
        </w:tc>
        <w:tc>
          <w:tcPr>
            <w:tcW w:w="1750" w:type="dxa"/>
            <w:tcBorders>
              <w:top w:val="single" w:sz="4" w:space="0" w:color="000000"/>
              <w:left w:val="single" w:sz="4" w:space="0" w:color="000000"/>
              <w:bottom w:val="single" w:sz="4" w:space="0" w:color="000000"/>
              <w:right w:val="single" w:sz="4" w:space="0" w:color="000000"/>
            </w:tcBorders>
            <w:shd w:val="clear" w:color="auto" w:fill="EBF0FA"/>
            <w:tcMar>
              <w:top w:w="80" w:type="dxa"/>
              <w:left w:w="100" w:type="dxa"/>
              <w:bottom w:w="80" w:type="dxa"/>
              <w:right w:w="100" w:type="dxa"/>
            </w:tcMar>
            <w:vAlign w:val="center"/>
          </w:tcPr>
          <w:p w14:paraId="2E4BECF7" w14:textId="77777777" w:rsidR="00415CD5" w:rsidRDefault="00415CD5">
            <w:pPr>
              <w:jc w:val="center"/>
            </w:pPr>
          </w:p>
        </w:tc>
        <w:tc>
          <w:tcPr>
            <w:tcW w:w="1510" w:type="dxa"/>
            <w:tcBorders>
              <w:top w:val="single" w:sz="4" w:space="0" w:color="000000"/>
              <w:left w:val="single" w:sz="4" w:space="0" w:color="000000"/>
              <w:bottom w:val="single" w:sz="4" w:space="0" w:color="000000"/>
              <w:right w:val="single" w:sz="4" w:space="0" w:color="000000"/>
            </w:tcBorders>
            <w:shd w:val="clear" w:color="auto" w:fill="EBF0FA"/>
            <w:tcMar>
              <w:top w:w="80" w:type="dxa"/>
              <w:left w:w="100" w:type="dxa"/>
              <w:bottom w:w="80" w:type="dxa"/>
              <w:right w:w="100" w:type="dxa"/>
            </w:tcMar>
            <w:vAlign w:val="center"/>
          </w:tcPr>
          <w:p w14:paraId="31CE9899" w14:textId="77777777" w:rsidR="00415CD5" w:rsidRDefault="00415CD5">
            <w:pPr>
              <w:jc w:val="center"/>
            </w:pPr>
          </w:p>
        </w:tc>
      </w:tr>
      <w:tr w:rsidR="00415CD5" w14:paraId="6907E050"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C689ED" w14:textId="77777777" w:rsidR="00415CD5" w:rsidRDefault="0088242E">
            <w:r>
              <w:rPr>
                <w:rFonts w:eastAsia="Arial"/>
                <w:sz w:val="18"/>
                <w:szCs w:val="18"/>
              </w:rPr>
              <w:t xml:space="preserve">  Median (IQR)</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A638D0" w14:textId="77777777" w:rsidR="00415CD5" w:rsidRDefault="0088242E">
            <w:pPr>
              <w:jc w:val="center"/>
            </w:pPr>
            <w:r>
              <w:rPr>
                <w:rFonts w:eastAsia="Arial"/>
                <w:sz w:val="18"/>
                <w:szCs w:val="18"/>
              </w:rPr>
              <w:t>51.3 (48.6–54.1)</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DE7D19" w14:textId="77777777" w:rsidR="00415CD5" w:rsidRDefault="0088242E">
            <w:pPr>
              <w:jc w:val="center"/>
            </w:pPr>
            <w:r>
              <w:rPr>
                <w:rFonts w:eastAsia="Arial"/>
                <w:sz w:val="18"/>
                <w:szCs w:val="18"/>
              </w:rPr>
              <w:t>51.4 (46.8–54.3)</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71F388" w14:textId="77777777" w:rsidR="00415CD5" w:rsidRDefault="0088242E">
            <w:pPr>
              <w:jc w:val="center"/>
            </w:pPr>
            <w:r>
              <w:rPr>
                <w:rFonts w:eastAsia="Arial"/>
                <w:sz w:val="18"/>
                <w:szCs w:val="18"/>
              </w:rPr>
              <w:t>49.6 (43.6–56.2)</w:t>
            </w:r>
          </w:p>
        </w:tc>
        <w:tc>
          <w:tcPr>
            <w:tcW w:w="15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98A53D" w14:textId="77777777" w:rsidR="00415CD5" w:rsidRDefault="0088242E">
            <w:pPr>
              <w:jc w:val="center"/>
            </w:pPr>
            <w:r>
              <w:rPr>
                <w:rFonts w:eastAsia="Arial"/>
                <w:sz w:val="18"/>
                <w:szCs w:val="18"/>
              </w:rPr>
              <w:t>0.764</w:t>
            </w:r>
          </w:p>
        </w:tc>
      </w:tr>
      <w:tr w:rsidR="00415CD5" w14:paraId="5232912D"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353E04" w14:textId="77777777" w:rsidR="00415CD5" w:rsidRDefault="0088242E">
            <w:r>
              <w:rPr>
                <w:rFonts w:eastAsia="Arial"/>
                <w:sz w:val="18"/>
                <w:szCs w:val="18"/>
              </w:rPr>
              <w:t xml:space="preserve">  Mean ± SD</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99214F" w14:textId="77777777" w:rsidR="00415CD5" w:rsidRDefault="0088242E">
            <w:pPr>
              <w:jc w:val="center"/>
            </w:pPr>
            <w:r>
              <w:rPr>
                <w:rFonts w:eastAsia="Arial"/>
                <w:sz w:val="18"/>
                <w:szCs w:val="18"/>
              </w:rPr>
              <w:t>51.2 ± 5.0</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C9F7EF0" w14:textId="77777777" w:rsidR="00415CD5" w:rsidRDefault="0088242E">
            <w:pPr>
              <w:jc w:val="center"/>
            </w:pPr>
            <w:r>
              <w:rPr>
                <w:rFonts w:eastAsia="Arial"/>
                <w:sz w:val="18"/>
                <w:szCs w:val="18"/>
              </w:rPr>
              <w:t>49.4 ± 7.6</w:t>
            </w:r>
          </w:p>
        </w:tc>
        <w:tc>
          <w:tcPr>
            <w:tcW w:w="1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D5693E" w14:textId="77777777" w:rsidR="00415CD5" w:rsidRDefault="0088242E">
            <w:pPr>
              <w:jc w:val="center"/>
            </w:pPr>
            <w:r>
              <w:rPr>
                <w:rFonts w:eastAsia="Arial"/>
                <w:sz w:val="18"/>
                <w:szCs w:val="18"/>
              </w:rPr>
              <w:t>50.7 ± 8.6</w:t>
            </w:r>
          </w:p>
        </w:tc>
        <w:tc>
          <w:tcPr>
            <w:tcW w:w="151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33683B" w14:textId="77777777" w:rsidR="00415CD5" w:rsidRDefault="0088242E">
            <w:pPr>
              <w:jc w:val="center"/>
            </w:pPr>
            <w:r>
              <w:rPr>
                <w:rFonts w:eastAsia="Arial"/>
                <w:sz w:val="18"/>
                <w:szCs w:val="18"/>
              </w:rPr>
              <w:t>NS</w:t>
            </w:r>
          </w:p>
        </w:tc>
      </w:tr>
    </w:tbl>
    <w:p w14:paraId="78F83AD8" w14:textId="77777777" w:rsidR="00415CD5" w:rsidRDefault="00415CD5"/>
    <w:p w14:paraId="65F665F4" w14:textId="77777777" w:rsidR="00415CD5" w:rsidRPr="005C6FDF" w:rsidRDefault="0088242E">
      <w:pPr>
        <w:spacing w:before="60" w:after="60"/>
      </w:pPr>
      <w:r w:rsidRPr="005C6FDF">
        <w:rPr>
          <w:rFonts w:eastAsia="Arial"/>
        </w:rPr>
        <w:t xml:space="preserve">Values are median (IQR) and mean ± SD. PC1 explained variance ratios reflect stratum-specific PCA of four input features (Complexity: inverse Euler number, loop count, junction density, fractal dimension; Caliber Uniformity: diameter CV, mean adjacent change, residual CV, diameter range/mean). Piecewise-linear normalization was applied independently to PC1 and PC2 scores within each stratum, anchoring the within-stratum median at 50. The Standardized Maturity Index = </w:t>
      </w:r>
      <w:proofErr w:type="gramStart"/>
      <w:r w:rsidRPr="005C6FDF">
        <w:rPr>
          <w:rFonts w:eastAsia="Arial"/>
        </w:rPr>
        <w:t>clip[</w:t>
      </w:r>
      <w:proofErr w:type="gramEnd"/>
      <w:r w:rsidRPr="005C6FDF">
        <w:rPr>
          <w:rFonts w:eastAsia="Arial"/>
        </w:rPr>
        <w:t>50 + (Caliber Uniformity Score − Complexity Score) / 2, 0, 100]. †Kruskal–</w:t>
      </w:r>
      <w:proofErr w:type="gramStart"/>
      <w:r w:rsidRPr="005C6FDF">
        <w:rPr>
          <w:rFonts w:eastAsia="Arial"/>
        </w:rPr>
        <w:t>Wallis</w:t>
      </w:r>
      <w:proofErr w:type="gramEnd"/>
      <w:r w:rsidRPr="005C6FDF">
        <w:rPr>
          <w:rFonts w:eastAsia="Arial"/>
        </w:rPr>
        <w:t xml:space="preserve"> test across three acquisition groups. IQR, interquartile range; NS, not significant.</w:t>
      </w:r>
    </w:p>
    <w:p w14:paraId="38B23AA7" w14:textId="77777777" w:rsidR="00415CD5" w:rsidRDefault="0088242E">
      <w:r>
        <w:br w:type="page"/>
      </w:r>
    </w:p>
    <w:p w14:paraId="2880D98F" w14:textId="77777777" w:rsidR="00415CD5" w:rsidRDefault="0088242E">
      <w:pPr>
        <w:pStyle w:val="2"/>
      </w:pPr>
      <w:r>
        <w:lastRenderedPageBreak/>
        <w:t>Table 4. Morphological subtype distribution by acquisition protocol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1700"/>
        <w:gridCol w:w="1700"/>
        <w:gridCol w:w="2060"/>
      </w:tblGrid>
      <w:tr w:rsidR="00415CD5" w14:paraId="61006381" w14:textId="77777777">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722701F6" w14:textId="77777777" w:rsidR="00415CD5" w:rsidRDefault="0088242E">
            <w:pPr>
              <w:jc w:val="center"/>
            </w:pPr>
            <w:r>
              <w:rPr>
                <w:rFonts w:eastAsia="Arial"/>
                <w:b/>
                <w:bCs/>
                <w:sz w:val="18"/>
                <w:szCs w:val="18"/>
              </w:rPr>
              <w:t>Morphological Pattern</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5D83315A" w14:textId="77777777" w:rsidR="00415CD5" w:rsidRDefault="0088242E">
            <w:pPr>
              <w:jc w:val="center"/>
            </w:pPr>
            <w:r>
              <w:rPr>
                <w:rFonts w:eastAsia="Arial"/>
                <w:b/>
                <w:bCs/>
                <w:sz w:val="18"/>
                <w:szCs w:val="18"/>
              </w:rPr>
              <w:t xml:space="preserve">Large </w:t>
            </w:r>
            <w:proofErr w:type="spellStart"/>
            <w:r>
              <w:rPr>
                <w:rFonts w:eastAsia="Arial"/>
                <w:b/>
                <w:bCs/>
                <w:sz w:val="18"/>
                <w:szCs w:val="18"/>
              </w:rPr>
              <w:t>PlexElite</w:t>
            </w:r>
            <w:proofErr w:type="spellEnd"/>
            <w:r>
              <w:rPr>
                <w:rFonts w:eastAsia="Arial"/>
                <w:b/>
                <w:bCs/>
                <w:sz w:val="18"/>
                <w:szCs w:val="18"/>
              </w:rPr>
              <w:t xml:space="preserve"> 6×6mm (n = 49)</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0D09349F" w14:textId="77777777" w:rsidR="00415CD5" w:rsidRDefault="0088242E">
            <w:pPr>
              <w:jc w:val="center"/>
            </w:pPr>
            <w:r>
              <w:rPr>
                <w:rFonts w:eastAsia="Arial"/>
                <w:b/>
                <w:bCs/>
                <w:sz w:val="18"/>
                <w:szCs w:val="18"/>
              </w:rPr>
              <w:t>Small_3mm HD series 3×3mm (n = 30)</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353472F5" w14:textId="77777777" w:rsidR="00415CD5" w:rsidRDefault="0088242E">
            <w:pPr>
              <w:jc w:val="center"/>
            </w:pPr>
            <w:r>
              <w:rPr>
                <w:rFonts w:eastAsia="Arial"/>
                <w:b/>
                <w:bCs/>
                <w:sz w:val="18"/>
                <w:szCs w:val="18"/>
              </w:rPr>
              <w:t>Small Solix 6×6mm (n = 33)</w:t>
            </w:r>
          </w:p>
        </w:tc>
        <w:tc>
          <w:tcPr>
            <w:tcW w:w="206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382AE783" w14:textId="77777777" w:rsidR="00415CD5" w:rsidRDefault="0088242E">
            <w:pPr>
              <w:jc w:val="center"/>
            </w:pPr>
            <w:r>
              <w:rPr>
                <w:rFonts w:eastAsia="Arial"/>
                <w:b/>
                <w:bCs/>
                <w:sz w:val="18"/>
                <w:szCs w:val="18"/>
              </w:rPr>
              <w:t>Pathophysiological State</w:t>
            </w:r>
          </w:p>
        </w:tc>
      </w:tr>
      <w:tr w:rsidR="00415CD5" w14:paraId="171322F7"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F640AD" w14:textId="77777777" w:rsidR="00415CD5" w:rsidRDefault="0088242E">
            <w:r>
              <w:rPr>
                <w:rFonts w:eastAsia="Arial"/>
                <w:sz w:val="18"/>
                <w:szCs w:val="18"/>
              </w:rPr>
              <w:t>Glomerular</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1C0D82" w14:textId="77777777" w:rsidR="00415CD5" w:rsidRDefault="0088242E">
            <w:pPr>
              <w:jc w:val="center"/>
            </w:pPr>
            <w:r>
              <w:rPr>
                <w:rFonts w:eastAsia="Arial"/>
                <w:sz w:val="18"/>
                <w:szCs w:val="18"/>
              </w:rPr>
              <w:t>29 (59.2%)</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3EF3D8" w14:textId="77777777" w:rsidR="00415CD5" w:rsidRDefault="0088242E">
            <w:pPr>
              <w:jc w:val="center"/>
            </w:pPr>
            <w:r>
              <w:rPr>
                <w:rFonts w:eastAsia="Arial"/>
                <w:sz w:val="18"/>
                <w:szCs w:val="18"/>
              </w:rPr>
              <w:t>9 (30.0%)</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1D611C" w14:textId="77777777" w:rsidR="00415CD5" w:rsidRDefault="0088242E">
            <w:pPr>
              <w:jc w:val="center"/>
            </w:pPr>
            <w:r>
              <w:rPr>
                <w:rFonts w:eastAsia="Arial"/>
                <w:sz w:val="18"/>
                <w:szCs w:val="18"/>
              </w:rPr>
              <w:t>12 (36.4%)</w:t>
            </w:r>
          </w:p>
        </w:tc>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235F7C" w14:textId="77777777" w:rsidR="00415CD5" w:rsidRDefault="0088242E">
            <w:pPr>
              <w:jc w:val="center"/>
            </w:pPr>
            <w:r>
              <w:rPr>
                <w:rFonts w:eastAsia="Arial"/>
                <w:sz w:val="18"/>
                <w:szCs w:val="18"/>
              </w:rPr>
              <w:t>Active</w:t>
            </w:r>
          </w:p>
        </w:tc>
      </w:tr>
      <w:tr w:rsidR="00415CD5" w14:paraId="494EAC49"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312E94" w14:textId="77777777" w:rsidR="00415CD5" w:rsidRDefault="0088242E">
            <w:r>
              <w:rPr>
                <w:rFonts w:eastAsia="Arial"/>
                <w:sz w:val="18"/>
                <w:szCs w:val="18"/>
              </w:rPr>
              <w:t>Medusa</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D4BD3A" w14:textId="77777777" w:rsidR="00415CD5" w:rsidRDefault="0088242E">
            <w:pPr>
              <w:jc w:val="center"/>
            </w:pPr>
            <w:r>
              <w:rPr>
                <w:rFonts w:eastAsia="Arial"/>
                <w:sz w:val="18"/>
                <w:szCs w:val="18"/>
              </w:rPr>
              <w:t>6 (12.2%)</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6C55A0" w14:textId="77777777" w:rsidR="00415CD5" w:rsidRDefault="0088242E">
            <w:pPr>
              <w:jc w:val="center"/>
            </w:pPr>
            <w:r>
              <w:rPr>
                <w:rFonts w:eastAsia="Arial"/>
                <w:sz w:val="18"/>
                <w:szCs w:val="18"/>
              </w:rPr>
              <w:t>0 (0%)</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1DC933" w14:textId="77777777" w:rsidR="00415CD5" w:rsidRDefault="0088242E">
            <w:pPr>
              <w:jc w:val="center"/>
            </w:pPr>
            <w:r>
              <w:rPr>
                <w:rFonts w:eastAsia="Arial"/>
                <w:sz w:val="18"/>
                <w:szCs w:val="18"/>
              </w:rPr>
              <w:t>0 (0%)</w:t>
            </w:r>
          </w:p>
        </w:tc>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BC567B" w14:textId="77777777" w:rsidR="00415CD5" w:rsidRDefault="0088242E">
            <w:pPr>
              <w:jc w:val="center"/>
            </w:pPr>
            <w:r>
              <w:rPr>
                <w:rFonts w:eastAsia="Arial"/>
                <w:sz w:val="18"/>
                <w:szCs w:val="18"/>
              </w:rPr>
              <w:t>Active</w:t>
            </w:r>
          </w:p>
        </w:tc>
      </w:tr>
      <w:tr w:rsidR="00415CD5" w14:paraId="54F005F9"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34533E" w14:textId="77777777" w:rsidR="00415CD5" w:rsidRDefault="0088242E">
            <w:proofErr w:type="spellStart"/>
            <w:r>
              <w:rPr>
                <w:rFonts w:eastAsia="Arial"/>
                <w:sz w:val="18"/>
                <w:szCs w:val="18"/>
              </w:rPr>
              <w:t>Seafan</w:t>
            </w:r>
            <w:proofErr w:type="spellEnd"/>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6A72D9" w14:textId="77777777" w:rsidR="00415CD5" w:rsidRDefault="0088242E">
            <w:pPr>
              <w:jc w:val="center"/>
            </w:pPr>
            <w:r>
              <w:rPr>
                <w:rFonts w:eastAsia="Arial"/>
                <w:sz w:val="18"/>
                <w:szCs w:val="18"/>
              </w:rPr>
              <w:t>0 (0%)</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C4DC4E" w14:textId="77777777" w:rsidR="00415CD5" w:rsidRDefault="0088242E">
            <w:pPr>
              <w:jc w:val="center"/>
            </w:pPr>
            <w:r>
              <w:rPr>
                <w:rFonts w:eastAsia="Arial"/>
                <w:sz w:val="18"/>
                <w:szCs w:val="18"/>
              </w:rPr>
              <w:t>11 (36.7%)</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445E59" w14:textId="77777777" w:rsidR="00415CD5" w:rsidRDefault="0088242E">
            <w:pPr>
              <w:jc w:val="center"/>
            </w:pPr>
            <w:r>
              <w:rPr>
                <w:rFonts w:eastAsia="Arial"/>
                <w:sz w:val="18"/>
                <w:szCs w:val="18"/>
              </w:rPr>
              <w:t>2 (6.1%)</w:t>
            </w:r>
          </w:p>
        </w:tc>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E45725" w14:textId="77777777" w:rsidR="00415CD5" w:rsidRDefault="0088242E">
            <w:pPr>
              <w:jc w:val="center"/>
            </w:pPr>
            <w:r>
              <w:rPr>
                <w:rFonts w:eastAsia="Arial"/>
                <w:sz w:val="18"/>
                <w:szCs w:val="18"/>
              </w:rPr>
              <w:t>Active</w:t>
            </w:r>
          </w:p>
        </w:tc>
      </w:tr>
      <w:tr w:rsidR="00415CD5" w14:paraId="4F74DDFF"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221214" w14:textId="77777777" w:rsidR="00415CD5" w:rsidRDefault="0088242E">
            <w:r>
              <w:rPr>
                <w:rFonts w:eastAsia="Arial"/>
                <w:sz w:val="18"/>
                <w:szCs w:val="18"/>
              </w:rPr>
              <w:t>Tree-in-bud</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1C3CF8" w14:textId="77777777" w:rsidR="00415CD5" w:rsidRDefault="0088242E">
            <w:pPr>
              <w:jc w:val="center"/>
            </w:pPr>
            <w:r>
              <w:rPr>
                <w:rFonts w:eastAsia="Arial"/>
                <w:sz w:val="18"/>
                <w:szCs w:val="18"/>
              </w:rPr>
              <w:t>10 (20.4%)</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35BB650" w14:textId="77777777" w:rsidR="00415CD5" w:rsidRDefault="0088242E">
            <w:pPr>
              <w:jc w:val="center"/>
            </w:pPr>
            <w:r>
              <w:rPr>
                <w:rFonts w:eastAsia="Arial"/>
                <w:sz w:val="18"/>
                <w:szCs w:val="18"/>
              </w:rPr>
              <w:t>4 (13.3%)</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6DC1B9" w14:textId="77777777" w:rsidR="00415CD5" w:rsidRDefault="0088242E">
            <w:pPr>
              <w:jc w:val="center"/>
            </w:pPr>
            <w:r>
              <w:rPr>
                <w:rFonts w:eastAsia="Arial"/>
                <w:sz w:val="18"/>
                <w:szCs w:val="18"/>
              </w:rPr>
              <w:t>14 (42.4%)</w:t>
            </w:r>
          </w:p>
        </w:tc>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ADCBEB" w14:textId="77777777" w:rsidR="00415CD5" w:rsidRDefault="0088242E">
            <w:pPr>
              <w:jc w:val="center"/>
            </w:pPr>
            <w:r>
              <w:rPr>
                <w:rFonts w:eastAsia="Arial"/>
                <w:sz w:val="18"/>
                <w:szCs w:val="18"/>
              </w:rPr>
              <w:t>Active / Transitional</w:t>
            </w:r>
          </w:p>
        </w:tc>
      </w:tr>
      <w:tr w:rsidR="00415CD5" w14:paraId="025F5A18"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175617E" w14:textId="77777777" w:rsidR="00415CD5" w:rsidRDefault="0088242E">
            <w:r>
              <w:rPr>
                <w:rFonts w:eastAsia="Arial"/>
                <w:sz w:val="18"/>
                <w:szCs w:val="18"/>
              </w:rPr>
              <w:t>Dead tree</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2A0128" w14:textId="77777777" w:rsidR="00415CD5" w:rsidRDefault="0088242E">
            <w:pPr>
              <w:jc w:val="center"/>
            </w:pPr>
            <w:r>
              <w:rPr>
                <w:rFonts w:eastAsia="Arial"/>
                <w:sz w:val="18"/>
                <w:szCs w:val="18"/>
              </w:rPr>
              <w:t>4 (8.2%)</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97B21F7" w14:textId="77777777" w:rsidR="00415CD5" w:rsidRDefault="0088242E">
            <w:pPr>
              <w:jc w:val="center"/>
            </w:pPr>
            <w:r>
              <w:rPr>
                <w:rFonts w:eastAsia="Arial"/>
                <w:sz w:val="18"/>
                <w:szCs w:val="18"/>
              </w:rPr>
              <w:t>6 (20.0%)</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3D2D0AD" w14:textId="77777777" w:rsidR="00415CD5" w:rsidRDefault="0088242E">
            <w:pPr>
              <w:jc w:val="center"/>
            </w:pPr>
            <w:r>
              <w:rPr>
                <w:rFonts w:eastAsia="Arial"/>
                <w:sz w:val="18"/>
                <w:szCs w:val="18"/>
              </w:rPr>
              <w:t>5 (15.2%)</w:t>
            </w:r>
          </w:p>
        </w:tc>
        <w:tc>
          <w:tcPr>
            <w:tcW w:w="20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9C75C7" w14:textId="77777777" w:rsidR="00415CD5" w:rsidRDefault="0088242E">
            <w:pPr>
              <w:jc w:val="center"/>
            </w:pPr>
            <w:r>
              <w:rPr>
                <w:rFonts w:eastAsia="Arial"/>
                <w:sz w:val="18"/>
                <w:szCs w:val="18"/>
              </w:rPr>
              <w:t>Mature Quiescent</w:t>
            </w:r>
          </w:p>
        </w:tc>
      </w:tr>
    </w:tbl>
    <w:p w14:paraId="1F0FF581" w14:textId="77777777" w:rsidR="00415CD5" w:rsidRDefault="00415CD5"/>
    <w:p w14:paraId="424A24D7" w14:textId="77777777" w:rsidR="00415CD5" w:rsidRPr="005C6FDF" w:rsidRDefault="0088242E">
      <w:pPr>
        <w:spacing w:before="60" w:after="60"/>
      </w:pPr>
      <w:r w:rsidRPr="005C6FDF">
        <w:rPr>
          <w:rFonts w:eastAsia="Arial"/>
        </w:rPr>
        <w:t xml:space="preserve">Values are n (%). Five morphological subtypes were identified: Glomerular, Medusa, </w:t>
      </w:r>
      <w:proofErr w:type="spellStart"/>
      <w:r w:rsidRPr="005C6FDF">
        <w:rPr>
          <w:rFonts w:eastAsia="Arial"/>
        </w:rPr>
        <w:t>Seafan</w:t>
      </w:r>
      <w:proofErr w:type="spellEnd"/>
      <w:r w:rsidRPr="005C6FDF">
        <w:rPr>
          <w:rFonts w:eastAsia="Arial"/>
        </w:rPr>
        <w:t>, Tree-in-bud, and Dead-tree. The full spectrum of subtypes was represented across all three acquisition platforms, providing evidence for the cross-device robustness of the automated classification logic. Subtype prevalence differences across platforms may partly reflect differences in cohort composition (treatment-naïve vs. post-treatment proportion) in addition to genuine platform effects.</w:t>
      </w:r>
    </w:p>
    <w:p w14:paraId="317427D2" w14:textId="77777777" w:rsidR="00415CD5" w:rsidRDefault="0088242E">
      <w:r>
        <w:br w:type="page"/>
      </w:r>
    </w:p>
    <w:p w14:paraId="5028635A" w14:textId="34F645D9" w:rsidR="00415CD5" w:rsidRDefault="0088242E">
      <w:pPr>
        <w:pStyle w:val="2"/>
      </w:pPr>
      <w:r>
        <w:lastRenderedPageBreak/>
        <w:t>Table 5. Morphological-Pathophysiological Correlation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1700"/>
        <w:gridCol w:w="3460"/>
      </w:tblGrid>
      <w:tr w:rsidR="00415CD5" w14:paraId="72C020BD" w14:textId="77777777">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38785926" w14:textId="77777777" w:rsidR="00415CD5" w:rsidRDefault="0088242E">
            <w:pPr>
              <w:jc w:val="center"/>
            </w:pPr>
            <w:r>
              <w:rPr>
                <w:rFonts w:eastAsia="Arial"/>
                <w:b/>
                <w:bCs/>
                <w:sz w:val="18"/>
                <w:szCs w:val="18"/>
              </w:rPr>
              <w:t>Morphological Pattern</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7C00DE64" w14:textId="77777777" w:rsidR="00415CD5" w:rsidRDefault="0088242E">
            <w:pPr>
              <w:jc w:val="center"/>
            </w:pPr>
            <w:r>
              <w:rPr>
                <w:rFonts w:eastAsia="Arial"/>
                <w:b/>
                <w:bCs/>
                <w:sz w:val="18"/>
                <w:szCs w:val="18"/>
              </w:rPr>
              <w:t>Primary State</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4860AF7E" w14:textId="77777777" w:rsidR="00415CD5" w:rsidRDefault="0088242E">
            <w:pPr>
              <w:jc w:val="center"/>
            </w:pPr>
            <w:r>
              <w:rPr>
                <w:rFonts w:eastAsia="Arial"/>
                <w:b/>
                <w:bCs/>
                <w:sz w:val="18"/>
                <w:szCs w:val="18"/>
              </w:rPr>
              <w:t>Secondary State</w:t>
            </w:r>
          </w:p>
        </w:tc>
        <w:tc>
          <w:tcPr>
            <w:tcW w:w="346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403956B4" w14:textId="77777777" w:rsidR="00415CD5" w:rsidRDefault="0088242E">
            <w:pPr>
              <w:jc w:val="center"/>
            </w:pPr>
            <w:r>
              <w:rPr>
                <w:rFonts w:eastAsia="Arial"/>
                <w:b/>
                <w:bCs/>
                <w:sz w:val="18"/>
                <w:szCs w:val="18"/>
              </w:rPr>
              <w:t>Key Discriminating Metrics</w:t>
            </w:r>
          </w:p>
        </w:tc>
      </w:tr>
      <w:tr w:rsidR="00415CD5" w14:paraId="64E9A676"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B4DB56" w14:textId="77777777" w:rsidR="00415CD5" w:rsidRDefault="0088242E">
            <w:r>
              <w:rPr>
                <w:rFonts w:eastAsia="Arial"/>
                <w:b/>
                <w:bCs/>
                <w:sz w:val="18"/>
                <w:szCs w:val="18"/>
              </w:rPr>
              <w:t>Medusa</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4F42A3" w14:textId="77777777" w:rsidR="00415CD5" w:rsidRDefault="0088242E">
            <w:pPr>
              <w:jc w:val="center"/>
            </w:pPr>
            <w:r>
              <w:rPr>
                <w:rFonts w:eastAsia="Arial"/>
                <w:sz w:val="18"/>
                <w:szCs w:val="18"/>
              </w:rPr>
              <w:t>Active</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3BC6399" w14:textId="77777777" w:rsidR="00415CD5" w:rsidRDefault="0088242E">
            <w:pPr>
              <w:jc w:val="center"/>
            </w:pPr>
            <w:r>
              <w:rPr>
                <w:rFonts w:eastAsia="Arial"/>
                <w:sz w:val="18"/>
                <w:szCs w:val="18"/>
              </w:rPr>
              <w:t>Transitional</w:t>
            </w:r>
          </w:p>
        </w:tc>
        <w:tc>
          <w:tcPr>
            <w:tcW w:w="34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45AC24" w14:textId="77777777" w:rsidR="00415CD5" w:rsidRDefault="0088242E">
            <w:r>
              <w:rPr>
                <w:rFonts w:eastAsia="Arial"/>
                <w:sz w:val="18"/>
                <w:szCs w:val="18"/>
              </w:rPr>
              <w:t>Junction Density, Loop Count, Trunk Distribution</w:t>
            </w:r>
          </w:p>
        </w:tc>
      </w:tr>
      <w:tr w:rsidR="00415CD5" w14:paraId="70AF3B41"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A3DE59" w14:textId="77777777" w:rsidR="00415CD5" w:rsidRDefault="0088242E">
            <w:proofErr w:type="spellStart"/>
            <w:r>
              <w:rPr>
                <w:rFonts w:eastAsia="Arial"/>
                <w:b/>
                <w:bCs/>
                <w:sz w:val="18"/>
                <w:szCs w:val="18"/>
              </w:rPr>
              <w:t>Seafan</w:t>
            </w:r>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395E23D" w14:textId="77777777" w:rsidR="00415CD5" w:rsidRDefault="0088242E">
            <w:pPr>
              <w:jc w:val="center"/>
            </w:pPr>
            <w:r>
              <w:rPr>
                <w:rFonts w:eastAsia="Arial"/>
                <w:sz w:val="18"/>
                <w:szCs w:val="18"/>
              </w:rPr>
              <w:t>Active</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14F2D5" w14:textId="77777777" w:rsidR="00415CD5" w:rsidRDefault="0088242E">
            <w:pPr>
              <w:jc w:val="center"/>
            </w:pPr>
            <w:r>
              <w:rPr>
                <w:rFonts w:eastAsia="Arial"/>
                <w:sz w:val="18"/>
                <w:szCs w:val="18"/>
              </w:rPr>
              <w:t>Transitional</w:t>
            </w:r>
          </w:p>
        </w:tc>
        <w:tc>
          <w:tcPr>
            <w:tcW w:w="34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B4C9D1" w14:textId="77777777" w:rsidR="00415CD5" w:rsidRDefault="0088242E">
            <w:r>
              <w:rPr>
                <w:rFonts w:eastAsia="Arial"/>
                <w:sz w:val="18"/>
                <w:szCs w:val="18"/>
              </w:rPr>
              <w:t>Peripheral Arcade, Trunk eccentricity</w:t>
            </w:r>
          </w:p>
        </w:tc>
      </w:tr>
      <w:tr w:rsidR="00415CD5" w14:paraId="5F1941C3"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810EC6" w14:textId="77777777" w:rsidR="00415CD5" w:rsidRDefault="0088242E">
            <w:r>
              <w:rPr>
                <w:rFonts w:eastAsia="Arial"/>
                <w:b/>
                <w:bCs/>
                <w:sz w:val="18"/>
                <w:szCs w:val="18"/>
              </w:rPr>
              <w:t>Glomerular</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20739C" w14:textId="77777777" w:rsidR="00415CD5" w:rsidRDefault="0088242E">
            <w:pPr>
              <w:jc w:val="center"/>
            </w:pPr>
            <w:r>
              <w:rPr>
                <w:rFonts w:eastAsia="Arial"/>
                <w:sz w:val="18"/>
                <w:szCs w:val="18"/>
              </w:rPr>
              <w:t>Active</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FFEB8F" w14:textId="29B1EC86" w:rsidR="00415CD5" w:rsidRDefault="00B26B2F">
            <w:pPr>
              <w:jc w:val="center"/>
            </w:pPr>
            <w:r>
              <w:rPr>
                <w:rFonts w:eastAsia="Arial"/>
                <w:sz w:val="18"/>
                <w:szCs w:val="18"/>
              </w:rPr>
              <w:t>-</w:t>
            </w:r>
          </w:p>
        </w:tc>
        <w:tc>
          <w:tcPr>
            <w:tcW w:w="34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FC9627" w14:textId="77777777" w:rsidR="00415CD5" w:rsidRDefault="0088242E">
            <w:r>
              <w:rPr>
                <w:rFonts w:eastAsia="Arial"/>
                <w:sz w:val="18"/>
                <w:szCs w:val="18"/>
              </w:rPr>
              <w:t>High Complexity Score, Low Caliber Uniformity Score</w:t>
            </w:r>
          </w:p>
        </w:tc>
      </w:tr>
      <w:tr w:rsidR="00415CD5" w14:paraId="10F6CFB0"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FCCFBF" w14:textId="77777777" w:rsidR="00415CD5" w:rsidRDefault="0088242E">
            <w:r>
              <w:rPr>
                <w:rFonts w:eastAsia="Arial"/>
                <w:b/>
                <w:bCs/>
                <w:sz w:val="18"/>
                <w:szCs w:val="18"/>
              </w:rPr>
              <w:t>Tree-in-bud</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BAC089" w14:textId="77777777" w:rsidR="00415CD5" w:rsidRDefault="0088242E">
            <w:pPr>
              <w:jc w:val="center"/>
            </w:pPr>
            <w:r>
              <w:rPr>
                <w:rFonts w:eastAsia="Arial"/>
                <w:sz w:val="18"/>
                <w:szCs w:val="18"/>
              </w:rPr>
              <w:t>Active</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78FBB3" w14:textId="77777777" w:rsidR="00415CD5" w:rsidRDefault="0088242E">
            <w:pPr>
              <w:jc w:val="center"/>
            </w:pPr>
            <w:r>
              <w:rPr>
                <w:rFonts w:eastAsia="Arial"/>
                <w:sz w:val="18"/>
                <w:szCs w:val="18"/>
              </w:rPr>
              <w:t>Transitional</w:t>
            </w:r>
          </w:p>
        </w:tc>
        <w:tc>
          <w:tcPr>
            <w:tcW w:w="34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5CB0C9" w14:textId="77777777" w:rsidR="00415CD5" w:rsidRDefault="0088242E">
            <w:r>
              <w:rPr>
                <w:rFonts w:eastAsia="Arial"/>
                <w:sz w:val="18"/>
                <w:szCs w:val="18"/>
              </w:rPr>
              <w:t>High branching density, Euler number</w:t>
            </w:r>
          </w:p>
        </w:tc>
      </w:tr>
      <w:tr w:rsidR="00415CD5" w14:paraId="00434831"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78A3D0C" w14:textId="77777777" w:rsidR="00415CD5" w:rsidRDefault="0088242E">
            <w:r>
              <w:rPr>
                <w:rFonts w:eastAsia="Arial"/>
                <w:b/>
                <w:bCs/>
                <w:sz w:val="18"/>
                <w:szCs w:val="18"/>
              </w:rPr>
              <w:t>Dead tree</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54D259" w14:textId="77777777" w:rsidR="00415CD5" w:rsidRDefault="0088242E">
            <w:pPr>
              <w:jc w:val="center"/>
            </w:pPr>
            <w:r>
              <w:rPr>
                <w:rFonts w:eastAsia="Arial"/>
                <w:sz w:val="18"/>
                <w:szCs w:val="18"/>
              </w:rPr>
              <w:t>Mature Quiescent</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1663C4" w14:textId="77777777" w:rsidR="00415CD5" w:rsidRDefault="0088242E">
            <w:pPr>
              <w:jc w:val="center"/>
            </w:pPr>
            <w:proofErr w:type="spellStart"/>
            <w:r>
              <w:rPr>
                <w:rFonts w:eastAsia="Arial"/>
                <w:sz w:val="18"/>
                <w:szCs w:val="18"/>
              </w:rPr>
              <w:t>Arteriolarized</w:t>
            </w:r>
            <w:proofErr w:type="spellEnd"/>
          </w:p>
        </w:tc>
        <w:tc>
          <w:tcPr>
            <w:tcW w:w="34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7FE4253" w14:textId="77777777" w:rsidR="00415CD5" w:rsidRDefault="0088242E">
            <w:r>
              <w:rPr>
                <w:rFonts w:eastAsia="Arial"/>
                <w:sz w:val="18"/>
                <w:szCs w:val="18"/>
              </w:rPr>
              <w:t>Mean Diameter, Caliber Uniformity Score</w:t>
            </w:r>
          </w:p>
        </w:tc>
      </w:tr>
      <w:tr w:rsidR="00415CD5" w14:paraId="41627CEC"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3531B4" w14:textId="77777777" w:rsidR="00415CD5" w:rsidRDefault="0088242E">
            <w:r>
              <w:rPr>
                <w:rFonts w:eastAsia="Arial"/>
                <w:b/>
                <w:bCs/>
                <w:sz w:val="18"/>
                <w:szCs w:val="18"/>
              </w:rPr>
              <w:t>Pruned tree</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3C09F30" w14:textId="77777777" w:rsidR="00415CD5" w:rsidRDefault="0088242E">
            <w:pPr>
              <w:jc w:val="center"/>
            </w:pPr>
            <w:r>
              <w:rPr>
                <w:rFonts w:eastAsia="Arial"/>
                <w:sz w:val="18"/>
                <w:szCs w:val="18"/>
              </w:rPr>
              <w:t>Mature Quiescent</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A7994E" w14:textId="77777777" w:rsidR="00415CD5" w:rsidRDefault="0088242E">
            <w:pPr>
              <w:jc w:val="center"/>
            </w:pPr>
            <w:r>
              <w:rPr>
                <w:rFonts w:eastAsia="Arial"/>
                <w:sz w:val="18"/>
                <w:szCs w:val="18"/>
              </w:rPr>
              <w:t>Transitional</w:t>
            </w:r>
          </w:p>
        </w:tc>
        <w:tc>
          <w:tcPr>
            <w:tcW w:w="34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B106E6" w14:textId="77777777" w:rsidR="00415CD5" w:rsidRDefault="0088242E">
            <w:r>
              <w:rPr>
                <w:rFonts w:eastAsia="Arial"/>
                <w:sz w:val="18"/>
                <w:szCs w:val="18"/>
              </w:rPr>
              <w:t>Caliber Uniformity Score, Vessel Density</w:t>
            </w:r>
          </w:p>
        </w:tc>
      </w:tr>
      <w:tr w:rsidR="00415CD5" w14:paraId="21917199"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5F3BA1" w14:textId="77777777" w:rsidR="00415CD5" w:rsidRDefault="0088242E">
            <w:r>
              <w:rPr>
                <w:rFonts w:eastAsia="Arial"/>
                <w:b/>
                <w:bCs/>
                <w:sz w:val="18"/>
                <w:szCs w:val="18"/>
              </w:rPr>
              <w:t>Large vessels</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7F7DC9" w14:textId="77777777" w:rsidR="00415CD5" w:rsidRDefault="0088242E">
            <w:pPr>
              <w:jc w:val="center"/>
            </w:pPr>
            <w:proofErr w:type="spellStart"/>
            <w:r>
              <w:rPr>
                <w:rFonts w:eastAsia="Arial"/>
                <w:sz w:val="18"/>
                <w:szCs w:val="18"/>
              </w:rPr>
              <w:t>Arteriolarized</w:t>
            </w:r>
            <w:proofErr w:type="spellEnd"/>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0949E1" w14:textId="77777777" w:rsidR="00415CD5" w:rsidRDefault="0088242E">
            <w:pPr>
              <w:jc w:val="center"/>
            </w:pPr>
            <w:r>
              <w:rPr>
                <w:rFonts w:eastAsia="Arial"/>
                <w:sz w:val="18"/>
                <w:szCs w:val="18"/>
              </w:rPr>
              <w:t>Abnormalized</w:t>
            </w:r>
          </w:p>
        </w:tc>
        <w:tc>
          <w:tcPr>
            <w:tcW w:w="34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642FFA" w14:textId="77777777" w:rsidR="00415CD5" w:rsidRDefault="0088242E">
            <w:r>
              <w:rPr>
                <w:rFonts w:eastAsia="Arial"/>
                <w:sz w:val="18"/>
                <w:szCs w:val="18"/>
              </w:rPr>
              <w:t xml:space="preserve">Diameter CV, </w:t>
            </w:r>
            <w:proofErr w:type="spellStart"/>
            <w:r>
              <w:rPr>
                <w:rFonts w:eastAsia="Arial"/>
                <w:sz w:val="18"/>
                <w:szCs w:val="18"/>
              </w:rPr>
              <w:t>Arteriolarization</w:t>
            </w:r>
            <w:proofErr w:type="spellEnd"/>
            <w:r>
              <w:rPr>
                <w:rFonts w:eastAsia="Arial"/>
                <w:sz w:val="18"/>
                <w:szCs w:val="18"/>
              </w:rPr>
              <w:t xml:space="preserve"> Index</w:t>
            </w:r>
          </w:p>
        </w:tc>
      </w:tr>
    </w:tbl>
    <w:p w14:paraId="63BFC403" w14:textId="77777777" w:rsidR="00415CD5" w:rsidRDefault="00415CD5"/>
    <w:p w14:paraId="4ECF813A" w14:textId="77777777" w:rsidR="00415CD5" w:rsidRDefault="0088242E">
      <w:pPr>
        <w:spacing w:before="60" w:after="60"/>
      </w:pPr>
      <w:r>
        <w:rPr>
          <w:rFonts w:eastAsia="Arial"/>
          <w:i/>
          <w:iCs/>
          <w:sz w:val="16"/>
          <w:szCs w:val="16"/>
        </w:rPr>
        <w:t>The correlation matrix maps each morphological pattern to its most likely pathophysiological state and the key discriminating metrics used by the automated classification logic. Primary state indicates the dominant pathophysiological interpretation; secondary state indicates an alternative state that may be assigned when threshold criteria are not fully met. Key discriminating metrics are those with the highest weight in the automated classification decision.</w:t>
      </w:r>
    </w:p>
    <w:p w14:paraId="2E30D368" w14:textId="099F07AE" w:rsidR="00415CD5" w:rsidRDefault="0088242E" w:rsidP="004241E1">
      <w:r>
        <w:br w:type="page"/>
      </w:r>
    </w:p>
    <w:sectPr w:rsidR="00415CD5" w:rsidSect="00635194">
      <w:pgSz w:w="12240" w:h="15840"/>
      <w:pgMar w:top="1440" w:right="1440" w:bottom="801"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F531AD"/>
    <w:multiLevelType w:val="multilevel"/>
    <w:tmpl w:val="D30A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58317D"/>
    <w:multiLevelType w:val="hybridMultilevel"/>
    <w:tmpl w:val="77766412"/>
    <w:lvl w:ilvl="0" w:tplc="60D8BB50">
      <w:start w:val="1"/>
      <w:numFmt w:val="bullet"/>
      <w:lvlText w:val="●"/>
      <w:lvlJc w:val="left"/>
      <w:pPr>
        <w:ind w:left="720" w:hanging="360"/>
      </w:pPr>
    </w:lvl>
    <w:lvl w:ilvl="1" w:tplc="95EE7454">
      <w:start w:val="1"/>
      <w:numFmt w:val="bullet"/>
      <w:lvlText w:val="○"/>
      <w:lvlJc w:val="left"/>
      <w:pPr>
        <w:ind w:left="1440" w:hanging="360"/>
      </w:pPr>
    </w:lvl>
    <w:lvl w:ilvl="2" w:tplc="28D017E2">
      <w:start w:val="1"/>
      <w:numFmt w:val="bullet"/>
      <w:lvlText w:val="■"/>
      <w:lvlJc w:val="left"/>
      <w:pPr>
        <w:ind w:left="2160" w:hanging="360"/>
      </w:pPr>
    </w:lvl>
    <w:lvl w:ilvl="3" w:tplc="A7E0D06C">
      <w:start w:val="1"/>
      <w:numFmt w:val="bullet"/>
      <w:lvlText w:val="●"/>
      <w:lvlJc w:val="left"/>
      <w:pPr>
        <w:ind w:left="2880" w:hanging="360"/>
      </w:pPr>
    </w:lvl>
    <w:lvl w:ilvl="4" w:tplc="4BFA479A">
      <w:start w:val="1"/>
      <w:numFmt w:val="bullet"/>
      <w:lvlText w:val="○"/>
      <w:lvlJc w:val="left"/>
      <w:pPr>
        <w:ind w:left="3600" w:hanging="360"/>
      </w:pPr>
    </w:lvl>
    <w:lvl w:ilvl="5" w:tplc="62B64AD2">
      <w:start w:val="1"/>
      <w:numFmt w:val="bullet"/>
      <w:lvlText w:val="■"/>
      <w:lvlJc w:val="left"/>
      <w:pPr>
        <w:ind w:left="4320" w:hanging="360"/>
      </w:pPr>
    </w:lvl>
    <w:lvl w:ilvl="6" w:tplc="CE88CA98">
      <w:start w:val="1"/>
      <w:numFmt w:val="bullet"/>
      <w:lvlText w:val="●"/>
      <w:lvlJc w:val="left"/>
      <w:pPr>
        <w:ind w:left="5040" w:hanging="360"/>
      </w:pPr>
    </w:lvl>
    <w:lvl w:ilvl="7" w:tplc="BB88E0F8">
      <w:start w:val="1"/>
      <w:numFmt w:val="bullet"/>
      <w:lvlText w:val="●"/>
      <w:lvlJc w:val="left"/>
      <w:pPr>
        <w:ind w:left="5760" w:hanging="360"/>
      </w:pPr>
    </w:lvl>
    <w:lvl w:ilvl="8" w:tplc="3F2AB758">
      <w:start w:val="1"/>
      <w:numFmt w:val="bullet"/>
      <w:lvlText w:val="●"/>
      <w:lvlJc w:val="left"/>
      <w:pPr>
        <w:ind w:left="6480" w:hanging="360"/>
      </w:pPr>
    </w:lvl>
  </w:abstractNum>
  <w:num w:numId="1" w16cid:durableId="1969124568">
    <w:abstractNumId w:val="1"/>
    <w:lvlOverride w:ilvl="0">
      <w:startOverride w:val="1"/>
    </w:lvlOverride>
  </w:num>
  <w:num w:numId="2" w16cid:durableId="2120562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isplayBackgroundShape/>
  <w:bordersDoNotSurroundHeader/>
  <w:bordersDoNotSurroundFooter/>
  <w:proofState w:spelling="clean" w:grammar="clean"/>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CD5"/>
    <w:rsid w:val="00184600"/>
    <w:rsid w:val="001B24BA"/>
    <w:rsid w:val="00323EF8"/>
    <w:rsid w:val="003A720C"/>
    <w:rsid w:val="003D16D1"/>
    <w:rsid w:val="00415CD5"/>
    <w:rsid w:val="004241E1"/>
    <w:rsid w:val="0048168B"/>
    <w:rsid w:val="004F5ECA"/>
    <w:rsid w:val="005C6FDF"/>
    <w:rsid w:val="00635194"/>
    <w:rsid w:val="00637F3F"/>
    <w:rsid w:val="00771F7D"/>
    <w:rsid w:val="00791A0C"/>
    <w:rsid w:val="00807C43"/>
    <w:rsid w:val="00872F17"/>
    <w:rsid w:val="0088242E"/>
    <w:rsid w:val="00AE2468"/>
    <w:rsid w:val="00B26B2F"/>
    <w:rsid w:val="00C34C0A"/>
    <w:rsid w:val="00E201DC"/>
    <w:rsid w:val="00E41B32"/>
    <w:rsid w:val="00E5155A"/>
    <w:rsid w:val="00E75138"/>
    <w:rsid w:val="00EF5C2F"/>
    <w:rsid w:val="00FF49E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0934DD7"/>
  <w15:docId w15:val="{FF942DDC-60CD-1645-BC6D-DC4F3FCA8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2F17"/>
    <w:pPr>
      <w:widowControl w:val="0"/>
    </w:pPr>
  </w:style>
  <w:style w:type="paragraph" w:styleId="1">
    <w:name w:val="heading 1"/>
    <w:uiPriority w:val="9"/>
    <w:qFormat/>
    <w:pPr>
      <w:spacing w:before="360" w:after="120"/>
      <w:outlineLvl w:val="0"/>
    </w:pPr>
    <w:rPr>
      <w:rFonts w:eastAsia="Arial"/>
      <w:b/>
      <w:bCs/>
      <w:color w:val="1F3864"/>
      <w:sz w:val="28"/>
      <w:szCs w:val="28"/>
    </w:rPr>
  </w:style>
  <w:style w:type="paragraph" w:styleId="2">
    <w:name w:val="heading 2"/>
    <w:uiPriority w:val="9"/>
    <w:unhideWhenUsed/>
    <w:qFormat/>
    <w:pPr>
      <w:spacing w:before="240" w:after="80"/>
      <w:outlineLvl w:val="1"/>
    </w:pPr>
    <w:rPr>
      <w:rFonts w:eastAsia="Arial"/>
      <w:b/>
      <w:bCs/>
      <w:color w:val="2E74B5"/>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 w:type="character" w:styleId="a9">
    <w:name w:val="Strong"/>
    <w:basedOn w:val="a0"/>
    <w:uiPriority w:val="22"/>
    <w:qFormat/>
    <w:rsid w:val="001B24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6</Pages>
  <Words>1142</Words>
  <Characters>6443</Characters>
  <Application>Microsoft Office Word</Application>
  <DocSecurity>0</DocSecurity>
  <Lines>429</Lines>
  <Paragraphs>361</Paragraphs>
  <ScaleCrop>false</ScaleCrop>
  <Company/>
  <LinksUpToDate>false</LinksUpToDate>
  <CharactersWithSpaces>7224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柳　靖雄</cp:lastModifiedBy>
  <cp:revision>21</cp:revision>
  <dcterms:created xsi:type="dcterms:W3CDTF">2026-02-26T04:51:00Z</dcterms:created>
  <dcterms:modified xsi:type="dcterms:W3CDTF">2026-03-11T09:05:00Z</dcterms:modified>
</cp:coreProperties>
</file>