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igure-legends-mnv-analysis-revision-1"/>
    <w:p>
      <w:pPr>
        <w:pStyle w:val="Heading1"/>
      </w:pPr>
      <w:r>
        <w:t xml:space="preserve">Figure legends — MNV Analysis (revision 1)</w:t>
      </w:r>
    </w:p>
    <w:p>
      <w:pPr>
        <w:pStyle w:val="FirstParagraph"/>
      </w:pPr>
      <w:r>
        <w:t xml:space="preserve">Separate figure-legends file for submission packaging. Image assets are in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(TIFF primary; PNG preview). The manuscript cites Figures 1–3 in text only.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1.</w:t>
      </w:r>
      <w:r>
        <w:t xml:space="preserve"> </w:t>
      </w:r>
      <w:r>
        <w:t xml:space="preserve">Representative OCTA images demonstrating consistent MNV segmentation across multiple platforms. Images were acquired using: (A) Zeiss PlexElite 9000 (6×6 mm), (B) Optovue Solix (6×6 mm), and (C) Zeiss CIRRUS / HD series (3×3 mm). Semi-automatically delineated lesion areas and dilated neovascular segments follow internal lesion architecture. The ROI is refined toward the non-perfused tissue border to minimize boundary artifacts, and incomplete peripheral vessel segments are excluded from quantitative analysis.</w:t>
      </w:r>
    </w:p>
    <w:p>
      <w:pPr>
        <w:pStyle w:val="BodyText"/>
      </w:pPr>
      <w:r>
        <w:rPr>
          <w:i/>
          <w:iCs/>
        </w:rPr>
        <w:t xml:space="preserve">Assets:</w:t>
      </w:r>
      <w:r>
        <w:t xml:space="preserve"> </w:t>
      </w:r>
      <w:r>
        <w:rPr>
          <w:rStyle w:val="VerbatimChar"/>
        </w:rPr>
        <w:t xml:space="preserve">Figure.tiff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Figure.png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2.</w:t>
      </w:r>
      <w:r>
        <w:t xml:space="preserve"> </w:t>
      </w:r>
      <w:r>
        <w:t xml:space="preserve">Schematic of the semi-automated image-processing workflow: freehand ROI → iterative ROI refinement → hybrid multiscale vessel enhancement (Frangi/tubeness + Laplacian of Gaussian) → Phansalkar adaptive binarization → morphological refinement → skeletonization → boundary-branch exclusion → quantitative metrics and standardized scores.</w:t>
      </w:r>
    </w:p>
    <w:p>
      <w:pPr>
        <w:pStyle w:val="BodyText"/>
      </w:pPr>
      <w:r>
        <w:rPr>
          <w:i/>
          <w:iCs/>
        </w:rPr>
        <w:t xml:space="preserve">Assets:</w:t>
      </w:r>
      <w:r>
        <w:t xml:space="preserve"> </w:t>
      </w:r>
      <w:r>
        <w:rPr>
          <w:rStyle w:val="VerbatimChar"/>
        </w:rPr>
        <w:t xml:space="preserve">Figure2_workflow_schematic.tiff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Figure2_workflow_schematic.png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Figure 3.</w:t>
      </w:r>
      <w:r>
        <w:t xml:space="preserve"> </w:t>
      </w:r>
      <w:r>
        <w:t xml:space="preserve">Representative OCTA en-face image of macular neovascularization illustrating the semi-automated processing pipeline.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Input angiogram with freehand / refined region of interest (ROI; green outline and tint).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Continuous multiscale Frangi vesselness (tubeness) enhancement within the ROI.</w:t>
      </w:r>
      <w:r>
        <w:t xml:space="preserve"> </w:t>
      </w:r>
      <w:r>
        <w:rPr>
          <w:b/>
          <w:bCs/>
        </w:rPr>
        <w:t xml:space="preserve">(C)</w:t>
      </w:r>
      <w:r>
        <w:t xml:space="preserve"> </w:t>
      </w:r>
      <w:r>
        <w:t xml:space="preserve">Adaptive Phansalkar / hybrid binarization vessel map within the ROI after morphological refinement.</w:t>
      </w:r>
      <w:r>
        <w:t xml:space="preserve"> </w:t>
      </w:r>
      <w:r>
        <w:rPr>
          <w:b/>
          <w:bCs/>
        </w:rPr>
        <w:t xml:space="preserve">(D)</w:t>
      </w:r>
      <w:r>
        <w:t xml:space="preserve"> </w:t>
      </w:r>
      <w:r>
        <w:t xml:space="preserve">One-pixel-wide skeleton (centerline) used for topological and morphometric metrics (Network Complexity Score, Caliber Uniformity Score, Maturity Index).</w:t>
      </w:r>
    </w:p>
    <w:p>
      <w:pPr>
        <w:pStyle w:val="BodyText"/>
      </w:pPr>
      <w:r>
        <w:rPr>
          <w:i/>
          <w:iCs/>
        </w:rPr>
        <w:t xml:space="preserve">Assets:</w:t>
      </w:r>
      <w:r>
        <w:t xml:space="preserve"> </w:t>
      </w:r>
      <w:r>
        <w:rPr>
          <w:rStyle w:val="VerbatimChar"/>
        </w:rPr>
        <w:t xml:space="preserve">Figure3_processing_steps.tiff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Figure3_processing_steps.png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2026-07-31T08:27:31Z</dcterms:created>
  <dcterms:modified xsi:type="dcterms:W3CDTF">2026-07-31T08:27:31Z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