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ables-mnv-analysis-revision-1"/>
    <w:p>
      <w:pPr>
        <w:pStyle w:val="Heading1"/>
      </w:pPr>
      <w:r>
        <w:t xml:space="preserve">Tables — MNV Analysis (revision 1)</w:t>
      </w:r>
    </w:p>
    <w:p>
      <w:pPr>
        <w:pStyle w:val="FirstParagraph"/>
      </w:pPr>
      <w:r>
        <w:t xml:space="preserve">Separate tables file matching the original submission packaging (</w:t>
      </w:r>
      <w:r>
        <w:rPr>
          <w:rStyle w:val="VerbatimChar"/>
        </w:rPr>
        <w:t xml:space="preserve">MNV_analysis_tables.docx</w:t>
      </w:r>
      <w:r>
        <w:t xml:space="preserve">). The manuscript body cites Tables 1–5 in text only; grids are not embedded in the manuscript.</w:t>
      </w:r>
    </w:p>
    <w:p>
      <w:r>
        <w:pict>
          <v:rect style="width:0;height:1.5pt" o:hralign="center" o:hrstd="t" o:hr="t"/>
        </w:pict>
      </w:r>
    </w:p>
    <w:bookmarkStart w:id="9" w:name="X54c45e53af54da4f8394ab31004d11c94f030cb"/>
    <w:p>
      <w:pPr>
        <w:pStyle w:val="Heading2"/>
      </w:pPr>
      <w:r>
        <w:t xml:space="preserve">Table 1. Quantitative parameters of the analysis pipeline.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853"/>
        <w:gridCol w:w="43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 &amp;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Morphometry</w:t>
            </w:r>
          </w:p>
        </w:tc>
        <w:tc>
          <w:tcPr/>
          <w:p>
            <w:pPr>
              <w:pStyle w:val="Compact"/>
            </w:pPr>
            <w:r>
              <w:t xml:space="preserve">Vessel Density (VD)</w:t>
            </w:r>
          </w:p>
        </w:tc>
        <w:tc>
          <w:tcPr/>
          <w:p>
            <w:pPr>
              <w:pStyle w:val="Compact"/>
            </w:pPr>
            <w:r>
              <w:t xml:space="preserve">Proportion of perfused lesion area: (binarized vessel pixels inside refined ROI / total ROI pixels) × 100%.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Vessel Area (VA)</w:t>
            </w:r>
          </w:p>
        </w:tc>
        <w:tc>
          <w:tcPr/>
          <w:p>
            <w:pPr>
              <w:pStyle w:val="Compact"/>
            </w:pPr>
            <w:r>
              <w:t xml:space="preserve">Absolute perfused area: binarized vessel pixels inside refined ROI × pixel area (mm²).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Vessel Length</w:t>
            </w:r>
          </w:p>
        </w:tc>
        <w:tc>
          <w:tcPr/>
          <w:p>
            <w:pPr>
              <w:pStyle w:val="Compact"/>
            </w:pPr>
            <w:r>
              <w:t xml:space="preserve">Sum of all skeletonized centerline lengths: skeleton pixels × pixel size (mm).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 / Max Diameter</w:t>
            </w:r>
          </w:p>
        </w:tc>
        <w:tc>
          <w:tcPr/>
          <w:p>
            <w:pPr>
              <w:pStyle w:val="Compact"/>
            </w:pPr>
            <w:r>
              <w:t xml:space="preserve">Local vessel diameter (2 × Euclidean distance from skeleton to background). Mean and max over all skeleton pixels in ROI.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Junction / Node Density</w:t>
            </w:r>
          </w:p>
        </w:tc>
        <w:tc>
          <w:tcPr/>
          <w:p>
            <w:pPr>
              <w:pStyle w:val="Compact"/>
            </w:pPr>
            <w:r>
              <w:t xml:space="preserve">Total node count (branch/endpoints) divided by physical ROI area (nodes/mm²).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Loop Count</w:t>
            </w:r>
          </w:p>
        </w:tc>
        <w:tc>
          <w:tcPr/>
          <w:p>
            <w:pPr>
              <w:pStyle w:val="Compact"/>
            </w:pPr>
            <w:r>
              <w:t xml:space="preserve">Total number of independent closed vascular loops (graph-based cycle detection after boundary-branch exclusion).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Euler Number</w:t>
            </w:r>
          </w:p>
        </w:tc>
        <w:tc>
          <w:tcPr/>
          <w:p>
            <w:pPr>
              <w:pStyle w:val="Compact"/>
            </w:pPr>
            <w:r>
              <w:t xml:space="preserve">Global connectivity index: (connected components) − (loops). More negative = higher connectivity.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Fractal Dimension (Df)</w:t>
            </w:r>
          </w:p>
        </w:tc>
        <w:tc>
          <w:tcPr/>
          <w:p>
            <w:pPr>
              <w:pStyle w:val="Compact"/>
            </w:pPr>
            <w:r>
              <w:t xml:space="preserve">Box-counting dimension of the skeletonized MNV (slope of the log–log plot).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Tortuosity Index</w:t>
            </w:r>
          </w:p>
        </w:tc>
        <w:tc>
          <w:tcPr/>
          <w:p>
            <w:pPr>
              <w:pStyle w:val="Compact"/>
            </w:pPr>
            <w:r>
              <w:t xml:space="preserve">Mean segment tortuosity: (path length along skeleton / straight-line distance) averaged over eligible branches.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Standardized Complexity Score (0–100)</w:t>
            </w:r>
          </w:p>
        </w:tc>
        <w:tc>
          <w:tcPr/>
          <w:p>
            <w:pPr>
              <w:pStyle w:val="Compact"/>
            </w:pPr>
            <w:r>
              <w:t xml:space="preserve">Stratum-specific PCA latent score: 0.7 × PC1 + 0.2 × PC2 + 0.1 × TrunkDist; piecewise map so min/median/max → 0/50/100 within stratum.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Uniformity</w:t>
            </w:r>
          </w:p>
        </w:tc>
        <w:tc>
          <w:tcPr/>
          <w:p>
            <w:pPr>
              <w:pStyle w:val="Compact"/>
            </w:pPr>
            <w:r>
              <w:t xml:space="preserve">Standardized Caliber Uniformity Score (0–100)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Default:</w:t>
            </w:r>
            <w:r>
              <w:t xml:space="preserve"> </w:t>
            </w:r>
            <w:r>
              <w:t xml:space="preserve">device-/stratum-locked 0.75 × U(−NV Diameter CV) + 0.25 × U(−Dilated vessel %).</w:t>
            </w:r>
            <w:r>
              <w:t xml:space="preserve"> </w:t>
            </w:r>
            <w:r>
              <w:rPr>
                <w:b/>
                <w:bCs/>
              </w:rPr>
              <w:t xml:space="preserve">Legacy (sensitivity):</w:t>
            </w:r>
            <w:r>
              <w:t xml:space="preserve"> </w:t>
            </w:r>
            <w:r>
              <w:t xml:space="preserve">PCA of four radial-profile metrics. Formerly also called Vascular Stability Score.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Diameter CV / Dilated vessel %</w:t>
            </w:r>
          </w:p>
        </w:tc>
        <w:tc>
          <w:tcPr/>
          <w:p>
            <w:pPr>
              <w:pStyle w:val="Compact"/>
            </w:pPr>
            <w:r>
              <w:t xml:space="preserve">Skeleton-derived NV Diameter CV and fraction of vessel length exceeding mean + 2.0 × SD (inputs to the default Caliber score).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Intelligent ROI Refinement</w:t>
            </w:r>
          </w:p>
        </w:tc>
        <w:tc>
          <w:tcPr/>
          <w:p>
            <w:pPr>
              <w:pStyle w:val="Compact"/>
            </w:pPr>
            <w:r>
              <w:t xml:space="preserve">5-iteration vertex optimization (3-pixel search radius) to align the ROI boundary with non-perfused tissue.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Arteriolarization Detection</w:t>
            </w:r>
          </w:p>
        </w:tc>
        <w:tc>
          <w:tcPr/>
          <w:p>
            <w:pPr>
              <w:pStyle w:val="Compact"/>
            </w:pPr>
            <w:r>
              <w:t xml:space="preserve">Branches with local diameter &gt; mean + 2.0 × SD; reports count, length, and area density.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Rule-based morphological categorization</w:t>
            </w:r>
          </w:p>
        </w:tc>
        <w:tc>
          <w:tcPr/>
          <w:p>
            <w:pPr>
              <w:pStyle w:val="Compact"/>
            </w:pPr>
            <w:r>
              <w:t xml:space="preserve">Five-class subtype labels (Medusa, Seafan, Glomerular, Tree in bud, Dead tree) plus separate morphology-derived interpretive categories (hypothesis-generating).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Multi-device</w:t>
            </w:r>
          </w:p>
        </w:tc>
        <w:tc>
          <w:tcPr/>
          <w:p>
            <w:pPr>
              <w:pStyle w:val="Compact"/>
            </w:pPr>
            <w:r>
              <w:t xml:space="preserve">Stratum-locked score normalization</w:t>
            </w:r>
          </w:p>
        </w:tc>
        <w:tc>
          <w:tcPr/>
          <w:p>
            <w:pPr>
              <w:pStyle w:val="Compact"/>
            </w:pPr>
            <w:r>
              <w:t xml:space="preserve">Within-stratum standardization / locked piecewise maps place scores on a common 0–100</w:t>
            </w:r>
            <w:r>
              <w:t xml:space="preserve"> </w:t>
            </w:r>
            <w:r>
              <w:rPr>
                <w:b/>
                <w:bCs/>
              </w:rPr>
              <w:t xml:space="preserve">reporting</w:t>
            </w:r>
            <w:r>
              <w:t xml:space="preserve"> </w:t>
            </w:r>
            <w:r>
              <w:t xml:space="preserve">scale (not biological equivalence across devices).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Field-of-View Correction</w:t>
            </w:r>
          </w:p>
        </w:tc>
        <w:tc>
          <w:tcPr/>
          <w:p>
            <w:pPr>
              <w:pStyle w:val="Compact"/>
            </w:pPr>
            <w:r>
              <w:t xml:space="preserve">Physical unit conversion using device-specific scaling across 3×3 mm and 6×6 mm scans.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Standardized Maturity Index (0–100)</w:t>
            </w:r>
          </w:p>
        </w:tc>
        <w:tc>
          <w:tcPr/>
          <w:p>
            <w:pPr>
              <w:pStyle w:val="Compact"/>
            </w:pPr>
            <w:r>
              <w:t xml:space="preserve">clip(50 + (Caliber Uniformity Score − Complexity Score) / 2, 0, 100). Values &gt; 50 indicate uniformity-dominant morphology; &lt; 50 complexity-dominant.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Restored from the original submission tables file (</w:t>
      </w:r>
      <w:r>
        <w:rPr>
          <w:rStyle w:val="VerbatimChar"/>
        </w:rPr>
        <w:t xml:space="preserve">MNV_analysis_tables.docx</w:t>
      </w:r>
      <w:r>
        <w:t xml:space="preserve">) with notation revised for this revision (Caliber Uniformity; morphology-derived categories; default vs legacy Caliber definition; no claim that Kruskal–Wallis non-significance equals cross-device equivalence).</w:t>
      </w:r>
    </w:p>
    <w:p>
      <w:r>
        <w:pict>
          <v:rect style="width:0;height:1.5pt" o:hralign="center" o:hrstd="t" o:hr="t"/>
        </w:pict>
      </w:r>
    </w:p>
    <w:bookmarkEnd w:id="9"/>
    <w:bookmarkStart w:id="10" w:name="Xa2bfbe9a5f519c73f390d9746ba664f41afe736"/>
    <w:p>
      <w:pPr>
        <w:pStyle w:val="Heading2"/>
      </w:pPr>
      <w:r>
        <w:t xml:space="preserve">Table 2. Raw topological and morphometric parameters by acquisition protocol (mean ± SD).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225"/>
        <w:gridCol w:w="2487"/>
        <w:gridCol w:w="24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Large PlexElite 6×6 mm (n = 49)</w:t>
            </w:r>
          </w:p>
        </w:tc>
        <w:tc>
          <w:tcPr/>
          <w:p>
            <w:pPr>
              <w:pStyle w:val="Compact"/>
            </w:pPr>
            <w:r>
              <w:t xml:space="preserve">Small_3mm HD series 3×3 mm (n = 30)</w:t>
            </w:r>
          </w:p>
        </w:tc>
        <w:tc>
          <w:tcPr/>
          <w:p>
            <w:pPr>
              <w:pStyle w:val="Compact"/>
            </w:pPr>
            <w:r>
              <w:t xml:space="preserve">Small Optovue Solix 6×6 mm (n = 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Topological metrics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loop count</w:t>
            </w:r>
          </w:p>
        </w:tc>
        <w:tc>
          <w:tcPr/>
          <w:p>
            <w:pPr>
              <w:pStyle w:val="Compact"/>
            </w:pPr>
            <w:r>
              <w:t xml:space="preserve">300.3 ± 199.2</w:t>
            </w:r>
          </w:p>
        </w:tc>
        <w:tc>
          <w:tcPr/>
          <w:p>
            <w:pPr>
              <w:pStyle w:val="Compact"/>
            </w:pPr>
            <w:r>
              <w:t xml:space="preserve">165.2 ± 118.0</w:t>
            </w:r>
          </w:p>
        </w:tc>
        <w:tc>
          <w:tcPr/>
          <w:p>
            <w:pPr>
              <w:pStyle w:val="Compact"/>
            </w:pPr>
            <w:r>
              <w:t xml:space="preserve">89.5 ± 53.4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 number (total)</w:t>
            </w:r>
          </w:p>
        </w:tc>
        <w:tc>
          <w:tcPr/>
          <w:p>
            <w:pPr>
              <w:pStyle w:val="Compact"/>
            </w:pPr>
            <w:r>
              <w:t xml:space="preserve">−168.4 ± 146.0</w:t>
            </w:r>
          </w:p>
        </w:tc>
        <w:tc>
          <w:tcPr/>
          <w:p>
            <w:pPr>
              <w:pStyle w:val="Compact"/>
            </w:pPr>
            <w:r>
              <w:t xml:space="preserve">−135.0 ± 98.4</w:t>
            </w:r>
          </w:p>
        </w:tc>
        <w:tc>
          <w:tcPr/>
          <w:p>
            <w:pPr>
              <w:pStyle w:val="Compact"/>
            </w:pPr>
            <w:r>
              <w:t xml:space="preserve">−61.6 ± 48.2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Junction density (mm⁻²)</w:t>
            </w:r>
          </w:p>
        </w:tc>
        <w:tc>
          <w:tcPr/>
          <w:p>
            <w:pPr>
              <w:pStyle w:val="Compact"/>
            </w:pPr>
            <w:r>
              <w:t xml:space="preserve">25.85 ± 1.77</w:t>
            </w:r>
          </w:p>
        </w:tc>
        <w:tc>
          <w:tcPr/>
          <w:p>
            <w:pPr>
              <w:pStyle w:val="Compact"/>
            </w:pPr>
            <w:r>
              <w:t xml:space="preserve">21.99 ± 3.51</w:t>
            </w:r>
          </w:p>
        </w:tc>
        <w:tc>
          <w:tcPr/>
          <w:p>
            <w:pPr>
              <w:pStyle w:val="Compact"/>
            </w:pPr>
            <w:r>
              <w:t xml:space="preserve">15.89 ± 2.88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Morphometric metrics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Fractal dimension</w:t>
            </w:r>
          </w:p>
        </w:tc>
        <w:tc>
          <w:tcPr/>
          <w:p>
            <w:pPr>
              <w:pStyle w:val="Compact"/>
            </w:pPr>
            <w:r>
              <w:t xml:space="preserve">1.391 ± 0.081</w:t>
            </w:r>
          </w:p>
        </w:tc>
        <w:tc>
          <w:tcPr/>
          <w:p>
            <w:pPr>
              <w:pStyle w:val="Compact"/>
            </w:pPr>
            <w:r>
              <w:t xml:space="preserve">1.378 ± 0.076</w:t>
            </w:r>
          </w:p>
        </w:tc>
        <w:tc>
          <w:tcPr/>
          <w:p>
            <w:pPr>
              <w:pStyle w:val="Compact"/>
            </w:pPr>
            <w:r>
              <w:t xml:space="preserve">1.310 ± 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vessel diameter (µm)</w:t>
            </w:r>
          </w:p>
        </w:tc>
        <w:tc>
          <w:tcPr/>
          <w:p>
            <w:pPr>
              <w:pStyle w:val="Compact"/>
            </w:pPr>
            <w:r>
              <w:t xml:space="preserve">16.0 ± 0.3</w:t>
            </w:r>
          </w:p>
        </w:tc>
        <w:tc>
          <w:tcPr/>
          <w:p>
            <w:pPr>
              <w:pStyle w:val="Compact"/>
            </w:pPr>
            <w:r>
              <w:t xml:space="preserve">23.7 ± 2.0</w:t>
            </w:r>
          </w:p>
        </w:tc>
        <w:tc>
          <w:tcPr/>
          <w:p>
            <w:pPr>
              <w:pStyle w:val="Compact"/>
            </w:pPr>
            <w:r>
              <w:t xml:space="preserve">32.3 ± 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Caliber uniformity metrics (pre-standardization)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Diameter CV (%)</w:t>
            </w:r>
          </w:p>
        </w:tc>
        <w:tc>
          <w:tcPr/>
          <w:p>
            <w:pPr>
              <w:pStyle w:val="Compact"/>
            </w:pPr>
            <w:r>
              <w:t xml:space="preserve">14.7 ± 6.8</w:t>
            </w:r>
          </w:p>
        </w:tc>
        <w:tc>
          <w:tcPr/>
          <w:p>
            <w:pPr>
              <w:pStyle w:val="Compact"/>
            </w:pPr>
            <w:r>
              <w:t xml:space="preserve">16.8 ± 10.9</w:t>
            </w:r>
          </w:p>
        </w:tc>
        <w:tc>
          <w:tcPr/>
          <w:p>
            <w:pPr>
              <w:pStyle w:val="Compact"/>
            </w:pPr>
            <w:r>
              <w:t xml:space="preserve">19.4 ± 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 range / mean (%)</w:t>
            </w:r>
          </w:p>
        </w:tc>
        <w:tc>
          <w:tcPr/>
          <w:p>
            <w:pPr>
              <w:pStyle w:val="Compact"/>
            </w:pPr>
            <w:r>
              <w:t xml:space="preserve">50.4 ± 25.5</w:t>
            </w:r>
          </w:p>
        </w:tc>
        <w:tc>
          <w:tcPr/>
          <w:p>
            <w:pPr>
              <w:pStyle w:val="Compact"/>
            </w:pPr>
            <w:r>
              <w:t xml:space="preserve">55.3 ± 35.1</w:t>
            </w:r>
          </w:p>
        </w:tc>
        <w:tc>
          <w:tcPr/>
          <w:p>
            <w:pPr>
              <w:pStyle w:val="Compact"/>
            </w:pPr>
            <w:r>
              <w:t xml:space="preserve">65.9 ± 37.1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mean ± SD from the original submission tables. Protocols: Zeiss PlexElite 9000 6×6 mm (large); Zeiss CIRRUS HD / AngioPlex 3×3 mm (small_3mm);</w:t>
      </w:r>
      <w:r>
        <w:t xml:space="preserve"> </w:t>
      </w:r>
      <w:r>
        <w:rPr>
          <w:b/>
          <w:bCs/>
        </w:rPr>
        <w:t xml:space="preserve">Optovue Solix</w:t>
      </w:r>
      <w:r>
        <w:t xml:space="preserve"> </w:t>
      </w:r>
      <w:r>
        <w:t xml:space="preserve">6×6 mm (small; corrected from the original “Heidelberg Solix” wording). Total loop count and Euler number include center and periphery zones. Pre-standardization Diameter CV and diameter range/mean are radial-profile features used in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PCA Caliber Uniformity construct;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Caliber Uniformity Score in this revision uses skeleton-derived NV Diameter CV and Dilated vessel % (Methods).</w:t>
      </w:r>
    </w:p>
    <w:p>
      <w:r>
        <w:pict>
          <v:rect style="width:0;height:1.5pt" o:hralign="center" o:hrstd="t" o:hr="t"/>
        </w:pict>
      </w:r>
    </w:p>
    <w:bookmarkEnd w:id="10"/>
    <w:bookmarkStart w:id="11" w:name="X3cd4126e618adfdfdd5cf39c9475c984fad4de9"/>
    <w:p>
      <w:pPr>
        <w:pStyle w:val="Heading2"/>
      </w:pPr>
      <w:r>
        <w:t xml:space="preserve">Table 3. Standardized scores after stratum-locked normalization, by acquisition stratum (default Caliber Uniformity endpoint).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8"/>
        <w:gridCol w:w="4246"/>
        <w:gridCol w:w="344"/>
        <w:gridCol w:w="344"/>
        <w:gridCol w:w="573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Median (large / small / small_3mm)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ε²</w:t>
            </w:r>
          </w:p>
        </w:tc>
        <w:tc>
          <w:tcPr/>
          <w:p>
            <w:pPr>
              <w:pStyle w:val="Compact"/>
            </w:pPr>
            <w:r>
              <w:t xml:space="preserve">95% CI (ε²)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Complexity Score</w:t>
            </w:r>
          </w:p>
        </w:tc>
        <w:tc>
          <w:tcPr/>
          <w:p>
            <w:pPr>
              <w:pStyle w:val="Compact"/>
            </w:pPr>
            <w:r>
              <w:t xml:space="preserve">48.7 / 50.7 / 47.8</w:t>
            </w:r>
          </w:p>
        </w:tc>
        <w:tc>
          <w:tcPr/>
          <w:p>
            <w:pPr>
              <w:pStyle w:val="Compact"/>
            </w:pPr>
            <w:r>
              <w:t xml:space="preserve">1.712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Uniformity Score (default)</w:t>
            </w:r>
          </w:p>
        </w:tc>
        <w:tc>
          <w:tcPr/>
          <w:p>
            <w:pPr>
              <w:pStyle w:val="Compact"/>
            </w:pPr>
            <w:r>
              <w:t xml:space="preserve">46.6 / 55.5 / 50.6</w:t>
            </w:r>
          </w:p>
        </w:tc>
        <w:tc>
          <w:tcPr/>
          <w:p>
            <w:pPr>
              <w:pStyle w:val="Compact"/>
            </w:pPr>
            <w:r>
              <w:t xml:space="preserve">1.118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Index (from default Caliber)</w:t>
            </w:r>
          </w:p>
        </w:tc>
        <w:tc>
          <w:tcPr/>
          <w:p>
            <w:pPr>
              <w:pStyle w:val="Compact"/>
            </w:pPr>
            <w:r>
              <w:t xml:space="preserve">49.5 / 53.9 / 51.0</w:t>
            </w:r>
          </w:p>
        </w:tc>
        <w:tc>
          <w:tcPr/>
          <w:p>
            <w:pPr>
              <w:pStyle w:val="Compact"/>
            </w:pPr>
            <w:r>
              <w:t xml:space="preserve">1.082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0.000–0.077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ε² = (H − k + 1) / (n − k) with k = 3; bootstrap 95% CIs use 10 000 within-stratum resamples (seed</w:t>
      </w:r>
      <w:r>
        <w:t xml:space="preserve"> </w:t>
      </w:r>
      <w:r>
        <w:rPr>
          <w:rStyle w:val="VerbatimChar"/>
        </w:rPr>
        <w:t xml:space="preserve">20260727</w:t>
      </w:r>
      <w:r>
        <w:t xml:space="preserve">). Primary batch CSVs, n = 112 (large = 49, small = 33, small_3mm = 30). Network Complexity PC1 explained variance: 63.7% / 73.9% / 70.2% (large / small_3mm / small). The original submission Table 3 reported PCA-based Caliber Uniformity medians near 50 with Kruskal–Wallis p ≥ 0.276 and no effect sizes; those PCA Caliber/Maturity values are retained only as legacy sensitivity context (Results interpretation / Response Comment 5), not as the primary Table 3 endpoint. Median proximity to 50 after median-anchored piecewise scaling must not be interpreted as biological equivalence across devices.</w:t>
      </w:r>
    </w:p>
    <w:p>
      <w:r>
        <w:pict>
          <v:rect style="width:0;height:1.5pt" o:hralign="center" o:hrstd="t" o:hr="t"/>
        </w:pict>
      </w:r>
    </w:p>
    <w:bookmarkEnd w:id="11"/>
    <w:bookmarkStart w:id="12" w:name="X9381ddb16a52d1098d8e07974144c9f4b893636"/>
    <w:p>
      <w:pPr>
        <w:pStyle w:val="Heading2"/>
      </w:pPr>
      <w:r>
        <w:t xml:space="preserve">Table 4. Morphological subtype distribution by acquisition protocol.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9"/>
        <w:gridCol w:w="202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Morphological pattern</w:t>
            </w:r>
          </w:p>
        </w:tc>
        <w:tc>
          <w:tcPr/>
          <w:p>
            <w:pPr>
              <w:pStyle w:val="Compact"/>
            </w:pPr>
            <w:r>
              <w:t xml:space="preserve">Large PlexElite 6×6 mm (n = 49)</w:t>
            </w:r>
          </w:p>
        </w:tc>
        <w:tc>
          <w:tcPr/>
          <w:p>
            <w:pPr>
              <w:pStyle w:val="Compact"/>
            </w:pPr>
            <w:r>
              <w:t xml:space="preserve">Small_3mm HD series 3×3 mm (n = 30)</w:t>
            </w:r>
          </w:p>
        </w:tc>
        <w:tc>
          <w:tcPr/>
          <w:p>
            <w:pPr>
              <w:pStyle w:val="Compact"/>
            </w:pPr>
            <w:r>
              <w:t xml:space="preserve">Small Optovue Solix 6×6 mm (n =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29 (59.2%)</w:t>
            </w:r>
          </w:p>
        </w:tc>
        <w:tc>
          <w:tcPr/>
          <w:p>
            <w:pPr>
              <w:pStyle w:val="Compact"/>
            </w:pPr>
            <w:r>
              <w:t xml:space="preserve">9 (30.0%)</w:t>
            </w:r>
          </w:p>
        </w:tc>
        <w:tc>
          <w:tcPr/>
          <w:p>
            <w:pPr>
              <w:pStyle w:val="Compact"/>
            </w:pPr>
            <w:r>
              <w:t xml:space="preserve">12 (36.4%)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t xml:space="preserve">6 (12.2%)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11 (36.7%)</w:t>
            </w:r>
          </w:p>
        </w:tc>
        <w:tc>
          <w:tcPr/>
          <w:p>
            <w:pPr>
              <w:pStyle w:val="Compact"/>
            </w:pPr>
            <w:r>
              <w:t xml:space="preserve">2 (6.1%)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10 (20.4%)</w:t>
            </w:r>
          </w:p>
        </w:tc>
        <w:tc>
          <w:tcPr/>
          <w:p>
            <w:pPr>
              <w:pStyle w:val="Compact"/>
            </w:pPr>
            <w:r>
              <w:t xml:space="preserve">4 (13.3%)</w:t>
            </w:r>
          </w:p>
        </w:tc>
        <w:tc>
          <w:tcPr/>
          <w:p>
            <w:pPr>
              <w:pStyle w:val="Compact"/>
            </w:pPr>
            <w:r>
              <w:t xml:space="preserve">14 (42.4%)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4 (8.2%)</w:t>
            </w:r>
          </w:p>
        </w:tc>
        <w:tc>
          <w:tcPr/>
          <w:p>
            <w:pPr>
              <w:pStyle w:val="Compact"/>
            </w:pPr>
            <w:r>
              <w:t xml:space="preserve">6 (20.0%)</w:t>
            </w:r>
          </w:p>
        </w:tc>
        <w:tc>
          <w:tcPr/>
          <w:p>
            <w:pPr>
              <w:pStyle w:val="Compact"/>
            </w:pPr>
            <w:r>
              <w:t xml:space="preserve">5 (15.2%)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Values are n (%) from the original submission tables. The original “Pathophysiological State” column has been removed (Reviewer 2 Comment 3); morphology-derived interpretive mapping is summarized separately in Table 5. Spelling standardized to</w:t>
      </w:r>
      <w:r>
        <w:t xml:space="preserve"> </w:t>
      </w:r>
      <w:r>
        <w:rPr>
          <w:b/>
          <w:bCs/>
        </w:rPr>
        <w:t xml:space="preserve">Tree in bud</w:t>
      </w:r>
      <w:r>
        <w:t xml:space="preserve">. Device label for the small stratum is</w:t>
      </w:r>
      <w:r>
        <w:t xml:space="preserve"> </w:t>
      </w:r>
      <w:r>
        <w:rPr>
          <w:b/>
          <w:bCs/>
        </w:rPr>
        <w:t xml:space="preserve">Optovue Solix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2d6d8a8aa08e76596cb5bbab9a3606a4fcc0c25"/>
    <w:p>
      <w:pPr>
        <w:pStyle w:val="Heading2"/>
      </w:pPr>
      <w:r>
        <w:t xml:space="preserve">Table 5. Morphology-derived interpretive mapping for operational subtypes.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34"/>
        <w:gridCol w:w="2272"/>
        <w:gridCol w:w="19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Morphological pattern</w:t>
            </w:r>
          </w:p>
        </w:tc>
        <w:tc>
          <w:tcPr/>
          <w:p>
            <w:pPr>
              <w:pStyle w:val="Compact"/>
            </w:pPr>
            <w:r>
              <w:t xml:space="preserve">Primary interpretive category</w:t>
            </w:r>
          </w:p>
        </w:tc>
        <w:tc>
          <w:tcPr/>
          <w:p>
            <w:pPr>
              <w:pStyle w:val="Compact"/>
            </w:pPr>
            <w:r>
              <w:t xml:space="preserve">Secondary interpretive category</w:t>
            </w:r>
          </w:p>
        </w:tc>
        <w:tc>
          <w:tcPr/>
          <w:p>
            <w:pPr>
              <w:pStyle w:val="Compact"/>
            </w:pPr>
            <w:r>
              <w:t xml:space="preserve">Key discriminating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Junction density, loop count, trunk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Peripheral arcade, trunk eccentricity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High Complexity Score, low Caliber Uniformity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Active-pattern</w:t>
            </w:r>
          </w:p>
        </w:tc>
        <w:tc>
          <w:tcPr/>
          <w:p>
            <w:pPr>
              <w:pStyle w:val="Compact"/>
            </w:pPr>
            <w:r>
              <w:t xml:space="preserve">Transitional-pattern</w:t>
            </w:r>
          </w:p>
        </w:tc>
        <w:tc>
          <w:tcPr/>
          <w:p>
            <w:pPr>
              <w:pStyle w:val="Compact"/>
            </w:pPr>
            <w:r>
              <w:t xml:space="preserve">High branching density, Euler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Mature-quiescent-pattern</w:t>
            </w:r>
          </w:p>
        </w:tc>
        <w:tc>
          <w:tcPr/>
          <w:p>
            <w:pPr>
              <w:pStyle w:val="Compact"/>
            </w:pPr>
            <w:r>
              <w:t xml:space="preserve">Arteriolarized-pattern</w:t>
            </w:r>
          </w:p>
        </w:tc>
        <w:tc>
          <w:tcPr/>
          <w:p>
            <w:pPr>
              <w:pStyle w:val="Compact"/>
            </w:pPr>
            <w:r>
              <w:t xml:space="preserve">Mean diameter, Caliber Uniformity Score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Restored from original Table 5 with Reviewer 2 Comments 3 and 7b applied: “pathophysiological state” wording replaced by</w:t>
      </w:r>
      <w:r>
        <w:t xml:space="preserve"> </w:t>
      </w:r>
      <w:r>
        <w:rPr>
          <w:b/>
          <w:bCs/>
        </w:rPr>
        <w:t xml:space="preserve">morphology-derived interpretive categories</w:t>
      </w:r>
      <w:r>
        <w:t xml:space="preserve">; “Pruned tree” and “Large vessels” rows removed (not part of the operational five-subtype scheme). Categories are hypothesis-generating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clinically validated disease-behavior classes.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2026-07-31T08:27:31Z</dcterms:created>
  <dcterms:modified xsi:type="dcterms:W3CDTF">2026-07-31T08:27:31Z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