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52087630407efaf49d6bfbd7d54dc16524ab77"/>
    <w:p>
      <w:pPr>
        <w:pStyle w:val="Heading1"/>
      </w:pPr>
      <w:r>
        <w:t xml:space="preserve">Supplementary Table S1 — Locked reference cut-points for rule-based morphological categorization and default Caliber Uniformity Score</w:t>
      </w:r>
    </w:p>
    <w:p>
      <w:pPr>
        <w:pStyle w:val="FirstParagraph"/>
      </w:pPr>
      <w:r>
        <w:t xml:space="preserve">Source: locked reference files used by the classifier and the default Standardized Caliber Uniformity Score (Complexity Score percentiles per acquisition stratum; device-/stratum-locked NV Diameter CV and Dilated vessel % cuts). Values are reporting-scale reference cuts, not claims of biological equivalence across devices. Classification-reference n for the small stratum is 34 in the locked Complexity percentile file; the primary analysis batch used for Tables 2–3 has n = 33 for that stratum.</w:t>
      </w:r>
    </w:p>
    <w:bookmarkStart w:id="9" w:name="Xa355738c95af999db8adfd28caab619f63c223d"/>
    <w:p>
      <w:pPr>
        <w:pStyle w:val="Heading2"/>
      </w:pPr>
      <w:r>
        <w:t xml:space="preserve">A. Complexity Score percentile cut-points used in Level-1 subtype rules</w:t>
      </w:r>
    </w:p>
    <w:p>
      <w:pPr>
        <w:pStyle w:val="FirstParagraph"/>
      </w:pPr>
      <w:r>
        <w:t xml:space="preserve">P30 is not stored in the locked JSON and is linearly interpolated between P25 and P40 (same rule as the classifier).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6"/>
        <w:gridCol w:w="166"/>
        <w:gridCol w:w="1052"/>
        <w:gridCol w:w="1938"/>
        <w:gridCol w:w="1883"/>
        <w:gridCol w:w="18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 (device)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P10 (Dead tree &lt;)</w:t>
            </w:r>
          </w:p>
        </w:tc>
        <w:tc>
          <w:tcPr/>
          <w:p>
            <w:pPr>
              <w:pStyle w:val="Compact"/>
            </w:pPr>
            <w:r>
              <w:t xml:space="preserve">P30 (Glomerular ≥; interpolated)</w:t>
            </w:r>
          </w:p>
        </w:tc>
        <w:tc>
          <w:tcPr/>
          <w:p>
            <w:pPr>
              <w:pStyle w:val="Compact"/>
            </w:pPr>
            <w:r>
              <w:t xml:space="preserve">P40 (Seafan ≥ with SEAFAN trunk)</w:t>
            </w:r>
          </w:p>
        </w:tc>
        <w:tc>
          <w:tcPr/>
          <w:p>
            <w:pPr>
              <w:pStyle w:val="Compact"/>
            </w:pPr>
            <w:r>
              <w:t xml:space="preserve">P65 (Medusa ≥ with MEDUSA trunk)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(Zeiss PlexElite 6×6 mm)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24.29</w:t>
            </w:r>
          </w:p>
        </w:tc>
        <w:tc>
          <w:tcPr/>
          <w:p>
            <w:pPr>
              <w:pStyle w:val="Compact"/>
            </w:pPr>
            <w:r>
              <w:t xml:space="preserve">38.36</w:t>
            </w:r>
          </w:p>
        </w:tc>
        <w:tc>
          <w:tcPr/>
          <w:p>
            <w:pPr>
              <w:pStyle w:val="Compact"/>
            </w:pPr>
            <w:r>
              <w:t xml:space="preserve">43.21</w:t>
            </w:r>
          </w:p>
        </w:tc>
        <w:tc>
          <w:tcPr/>
          <w:p>
            <w:pPr>
              <w:pStyle w:val="Compact"/>
            </w:pPr>
            <w:r>
              <w:t xml:space="preserve">55.00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small_3mm (Zeiss CIRRUS AngioPlex 3×3 mm)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44.77</w:t>
            </w:r>
          </w:p>
        </w:tc>
        <w:tc>
          <w:tcPr/>
          <w:p>
            <w:pPr>
              <w:pStyle w:val="Compact"/>
            </w:pPr>
            <w:r>
              <w:t xml:space="preserve">67.93</w:t>
            </w:r>
          </w:p>
        </w:tc>
        <w:tc>
          <w:tcPr/>
          <w:p>
            <w:pPr>
              <w:pStyle w:val="Compact"/>
            </w:pPr>
            <w:r>
              <w:t xml:space="preserve">69.36</w:t>
            </w:r>
          </w:p>
        </w:tc>
        <w:tc>
          <w:tcPr/>
          <w:p>
            <w:pPr>
              <w:pStyle w:val="Compact"/>
            </w:pPr>
            <w:r>
              <w:t xml:space="preserve">72.85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(Optovue Solix 6×6 mm)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34.20</w:t>
            </w:r>
          </w:p>
        </w:tc>
        <w:tc>
          <w:tcPr/>
          <w:p>
            <w:pPr>
              <w:pStyle w:val="Compact"/>
            </w:pPr>
            <w:r>
              <w:t xml:space="preserve">41.21</w:t>
            </w:r>
          </w:p>
        </w:tc>
        <w:tc>
          <w:tcPr/>
          <w:p>
            <w:pPr>
              <w:pStyle w:val="Compact"/>
            </w:pPr>
            <w:r>
              <w:t xml:space="preserve">44.93</w:t>
            </w:r>
          </w:p>
        </w:tc>
        <w:tc>
          <w:tcPr/>
          <w:p>
            <w:pPr>
              <w:pStyle w:val="Compact"/>
            </w:pPr>
            <w:r>
              <w:t xml:space="preserve">53.77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priority order:</w:t>
      </w:r>
      <w:r>
        <w:t xml:space="preserve"> </w:t>
      </w:r>
      <w:r>
        <w:t xml:space="preserve">Dead tree → Medusa → Seafan → Glomerular → Tree in bud (remainder). Trunk pattern (MEDUSA / SEAFAN / INTERMEDIATE) is derived from spatial organization of large-caliber segments.</w:t>
      </w:r>
    </w:p>
    <w:bookmarkEnd w:id="9"/>
    <w:bookmarkStart w:id="10" w:name="X15e6b7c3b1703a6661a22faf641de45d566a888"/>
    <w:p>
      <w:pPr>
        <w:pStyle w:val="Heading2"/>
      </w:pPr>
      <w:r>
        <w:t xml:space="preserve">B. Extended Complexity Score percentiles (locked reference cohort)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P60</w:t>
            </w:r>
          </w:p>
        </w:tc>
        <w:tc>
          <w:tcPr/>
          <w:p>
            <w:pPr>
              <w:pStyle w:val="Compact"/>
            </w:pPr>
            <w:r>
              <w:t xml:space="preserve">P65</w:t>
            </w:r>
          </w:p>
        </w:tc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24.29</w:t>
            </w:r>
          </w:p>
        </w:tc>
        <w:tc>
          <w:tcPr/>
          <w:p>
            <w:pPr>
              <w:pStyle w:val="Compact"/>
            </w:pPr>
            <w:r>
              <w:t xml:space="preserve">35.93</w:t>
            </w:r>
          </w:p>
        </w:tc>
        <w:tc>
          <w:tcPr/>
          <w:p>
            <w:pPr>
              <w:pStyle w:val="Compact"/>
            </w:pPr>
            <w:r>
              <w:t xml:space="preserve">43.21</w:t>
            </w:r>
          </w:p>
        </w:tc>
        <w:tc>
          <w:tcPr/>
          <w:p>
            <w:pPr>
              <w:pStyle w:val="Compact"/>
            </w:pPr>
            <w:r>
              <w:t xml:space="preserve">48.81</w:t>
            </w:r>
          </w:p>
        </w:tc>
        <w:tc>
          <w:tcPr/>
          <w:p>
            <w:pPr>
              <w:pStyle w:val="Compact"/>
            </w:pPr>
            <w:r>
              <w:t xml:space="preserve">53.32</w:t>
            </w:r>
          </w:p>
        </w:tc>
        <w:tc>
          <w:tcPr/>
          <w:p>
            <w:pPr>
              <w:pStyle w:val="Compact"/>
            </w:pPr>
            <w:r>
              <w:t xml:space="preserve">55.00</w:t>
            </w:r>
          </w:p>
        </w:tc>
        <w:tc>
          <w:tcPr/>
          <w:p>
            <w:pPr>
              <w:pStyle w:val="Compact"/>
            </w:pPr>
            <w:r>
              <w:t xml:space="preserve">57.57</w:t>
            </w:r>
          </w:p>
        </w:tc>
        <w:tc>
          <w:tcPr/>
          <w:p>
            <w:pPr>
              <w:pStyle w:val="Compact"/>
            </w:pPr>
            <w:r>
              <w:t xml:space="preserve">71.61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small_3mm</w:t>
            </w:r>
          </w:p>
        </w:tc>
        <w:tc>
          <w:tcPr/>
          <w:p>
            <w:pPr>
              <w:pStyle w:val="Compact"/>
            </w:pPr>
            <w:r>
              <w:t xml:space="preserve">44.77</w:t>
            </w:r>
          </w:p>
        </w:tc>
        <w:tc>
          <w:tcPr/>
          <w:p>
            <w:pPr>
              <w:pStyle w:val="Compact"/>
            </w:pPr>
            <w:r>
              <w:t xml:space="preserve">67.21</w:t>
            </w:r>
          </w:p>
        </w:tc>
        <w:tc>
          <w:tcPr/>
          <w:p>
            <w:pPr>
              <w:pStyle w:val="Compact"/>
            </w:pPr>
            <w:r>
              <w:t xml:space="preserve">69.36</w:t>
            </w:r>
          </w:p>
        </w:tc>
        <w:tc>
          <w:tcPr/>
          <w:p>
            <w:pPr>
              <w:pStyle w:val="Compact"/>
            </w:pPr>
            <w:r>
              <w:t xml:space="preserve">71.03</w:t>
            </w:r>
          </w:p>
        </w:tc>
        <w:tc>
          <w:tcPr/>
          <w:p>
            <w:pPr>
              <w:pStyle w:val="Compact"/>
            </w:pPr>
            <w:r>
              <w:t xml:space="preserve">72.29</w:t>
            </w:r>
          </w:p>
        </w:tc>
        <w:tc>
          <w:tcPr/>
          <w:p>
            <w:pPr>
              <w:pStyle w:val="Compact"/>
            </w:pPr>
            <w:r>
              <w:t xml:space="preserve">72.85</w:t>
            </w:r>
          </w:p>
        </w:tc>
        <w:tc>
          <w:tcPr/>
          <w:p>
            <w:pPr>
              <w:pStyle w:val="Compact"/>
            </w:pPr>
            <w:r>
              <w:t xml:space="preserve">74.31</w:t>
            </w:r>
          </w:p>
        </w:tc>
        <w:tc>
          <w:tcPr/>
          <w:p>
            <w:pPr>
              <w:pStyle w:val="Compact"/>
            </w:pPr>
            <w:r>
              <w:t xml:space="preserve">77.74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34.20</w:t>
            </w:r>
          </w:p>
        </w:tc>
        <w:tc>
          <w:tcPr/>
          <w:p>
            <w:pPr>
              <w:pStyle w:val="Compact"/>
            </w:pPr>
            <w:r>
              <w:t xml:space="preserve">39.34</w:t>
            </w:r>
          </w:p>
        </w:tc>
        <w:tc>
          <w:tcPr/>
          <w:p>
            <w:pPr>
              <w:pStyle w:val="Compact"/>
            </w:pPr>
            <w:r>
              <w:t xml:space="preserve">44.93</w:t>
            </w:r>
          </w:p>
        </w:tc>
        <w:tc>
          <w:tcPr/>
          <w:p>
            <w:pPr>
              <w:pStyle w:val="Compact"/>
            </w:pPr>
            <w:r>
              <w:t xml:space="preserve">48.71</w:t>
            </w:r>
          </w:p>
        </w:tc>
        <w:tc>
          <w:tcPr/>
          <w:p>
            <w:pPr>
              <w:pStyle w:val="Compact"/>
            </w:pPr>
            <w:r>
              <w:t xml:space="preserve">51.06</w:t>
            </w:r>
          </w:p>
        </w:tc>
        <w:tc>
          <w:tcPr/>
          <w:p>
            <w:pPr>
              <w:pStyle w:val="Compact"/>
            </w:pPr>
            <w:r>
              <w:t xml:space="preserve">53.77</w:t>
            </w:r>
          </w:p>
        </w:tc>
        <w:tc>
          <w:tcPr/>
          <w:p>
            <w:pPr>
              <w:pStyle w:val="Compact"/>
            </w:pPr>
            <w:r>
              <w:t xml:space="preserve">55.65</w:t>
            </w:r>
          </w:p>
        </w:tc>
        <w:tc>
          <w:tcPr/>
          <w:p>
            <w:pPr>
              <w:pStyle w:val="Compact"/>
            </w:pPr>
            <w:r>
              <w:t xml:space="preserve">65.22</w:t>
            </w:r>
          </w:p>
        </w:tc>
      </w:tr>
    </w:tbl>
    <w:bookmarkEnd w:id="10"/>
    <w:bookmarkStart w:id="11" w:name="X5b5b5c1f9bf6748c70013c68c009543fd552542"/>
    <w:p>
      <w:pPr>
        <w:pStyle w:val="Heading2"/>
      </w:pPr>
      <w:r>
        <w:t xml:space="preserve">C. Default Standardized Caliber Uniformity Score — locked feature cuts (NV Diameter CV; Dilated vessel fraction)</w:t>
      </w:r>
    </w:p>
    <w:p>
      <w:pPr>
        <w:pStyle w:val="FirstParagraph"/>
      </w:pPr>
      <w:r>
        <w:t xml:space="preserve">Score = clip(0.75·U(−NV Diameter CV) + 0.25·U(−Dilated vessel %), 0, 100), where U maps stratum min/median/max of the negated feature to 0/50/100.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"/>
        <w:gridCol w:w="854"/>
        <w:gridCol w:w="1087"/>
        <w:gridCol w:w="854"/>
        <w:gridCol w:w="1087"/>
        <w:gridCol w:w="1320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 (device)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NV-CV min</w:t>
            </w:r>
          </w:p>
        </w:tc>
        <w:tc>
          <w:tcPr/>
          <w:p>
            <w:pPr>
              <w:pStyle w:val="Compact"/>
            </w:pPr>
            <w:r>
              <w:t xml:space="preserve">NV-CV median</w:t>
            </w:r>
          </w:p>
        </w:tc>
        <w:tc>
          <w:tcPr/>
          <w:p>
            <w:pPr>
              <w:pStyle w:val="Compact"/>
            </w:pPr>
            <w:r>
              <w:t xml:space="preserve">NV-CV max</w:t>
            </w:r>
          </w:p>
        </w:tc>
        <w:tc>
          <w:tcPr/>
          <w:p>
            <w:pPr>
              <w:pStyle w:val="Compact"/>
            </w:pPr>
            <w:r>
              <w:t xml:space="preserve">Dilated% min</w:t>
            </w:r>
          </w:p>
        </w:tc>
        <w:tc>
          <w:tcPr/>
          <w:p>
            <w:pPr>
              <w:pStyle w:val="Compact"/>
            </w:pPr>
            <w:r>
              <w:t xml:space="preserve">Dilated% median</w:t>
            </w:r>
          </w:p>
        </w:tc>
        <w:tc>
          <w:tcPr/>
          <w:p>
            <w:pPr>
              <w:pStyle w:val="Compact"/>
            </w:pPr>
            <w:r>
              <w:t xml:space="preserve">Dilated%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(Zeiss PlexElite 9000 6×6 mm)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36.5120</w:t>
            </w:r>
          </w:p>
        </w:tc>
        <w:tc>
          <w:tcPr/>
          <w:p>
            <w:pPr>
              <w:pStyle w:val="Compact"/>
            </w:pPr>
            <w:r>
              <w:t xml:space="preserve">38.4867</w:t>
            </w:r>
          </w:p>
        </w:tc>
        <w:tc>
          <w:tcPr/>
          <w:p>
            <w:pPr>
              <w:pStyle w:val="Compact"/>
            </w:pPr>
            <w:r>
              <w:t xml:space="preserve">40.9939</w:t>
            </w:r>
          </w:p>
        </w:tc>
        <w:tc>
          <w:tcPr/>
          <w:p>
            <w:pPr>
              <w:pStyle w:val="Compact"/>
            </w:pPr>
            <w:r>
              <w:t xml:space="preserve">0.076141</w:t>
            </w:r>
          </w:p>
        </w:tc>
        <w:tc>
          <w:tcPr/>
          <w:p>
            <w:pPr>
              <w:pStyle w:val="Compact"/>
            </w:pPr>
            <w:r>
              <w:t xml:space="preserve">0.130156</w:t>
            </w:r>
          </w:p>
        </w:tc>
        <w:tc>
          <w:tcPr/>
          <w:p>
            <w:pPr>
              <w:pStyle w:val="Compact"/>
            </w:pPr>
            <w:r>
              <w:t xml:space="preserve">0.183429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small_3mm (Zeiss CIRRUS HD AngioPlex 3×3 mm (Angiography 3x3))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43.0772</w:t>
            </w:r>
          </w:p>
        </w:tc>
        <w:tc>
          <w:tcPr/>
          <w:p>
            <w:pPr>
              <w:pStyle w:val="Compact"/>
            </w:pPr>
            <w:r>
              <w:t xml:space="preserve">47.2952</w:t>
            </w:r>
          </w:p>
        </w:tc>
        <w:tc>
          <w:tcPr/>
          <w:p>
            <w:pPr>
              <w:pStyle w:val="Compact"/>
            </w:pPr>
            <w:r>
              <w:t xml:space="preserve">79.1192</w:t>
            </w:r>
          </w:p>
        </w:tc>
        <w:tc>
          <w:tcPr/>
          <w:p>
            <w:pPr>
              <w:pStyle w:val="Compact"/>
            </w:pPr>
            <w:r>
              <w:t xml:space="preserve">0.046519</w:t>
            </w:r>
          </w:p>
        </w:tc>
        <w:tc>
          <w:tcPr/>
          <w:p>
            <w:pPr>
              <w:pStyle w:val="Compact"/>
            </w:pPr>
            <w:r>
              <w:t xml:space="preserve">0.091894</w:t>
            </w:r>
          </w:p>
        </w:tc>
        <w:tc>
          <w:tcPr/>
          <w:p>
            <w:pPr>
              <w:pStyle w:val="Compact"/>
            </w:pPr>
            <w:r>
              <w:t xml:space="preserve">0.121717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(Optovue Solix / AngioVue 6×6 mm)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37.0858</w:t>
            </w:r>
          </w:p>
        </w:tc>
        <w:tc>
          <w:tcPr/>
          <w:p>
            <w:pPr>
              <w:pStyle w:val="Compact"/>
            </w:pPr>
            <w:r>
              <w:t xml:space="preserve">41.3097</w:t>
            </w:r>
          </w:p>
        </w:tc>
        <w:tc>
          <w:tcPr/>
          <w:p>
            <w:pPr>
              <w:pStyle w:val="Compact"/>
            </w:pPr>
            <w:r>
              <w:t xml:space="preserve">48.8622</w:t>
            </w:r>
          </w:p>
        </w:tc>
        <w:tc>
          <w:tcPr/>
          <w:p>
            <w:pPr>
              <w:pStyle w:val="Compact"/>
            </w:pPr>
            <w:r>
              <w:t xml:space="preserve">0.041908</w:t>
            </w:r>
          </w:p>
        </w:tc>
        <w:tc>
          <w:tcPr/>
          <w:p>
            <w:pPr>
              <w:pStyle w:val="Compact"/>
            </w:pPr>
            <w:r>
              <w:t xml:space="preserve">0.076640</w:t>
            </w:r>
          </w:p>
        </w:tc>
        <w:tc>
          <w:tcPr/>
          <w:p>
            <w:pPr>
              <w:pStyle w:val="Compact"/>
            </w:pPr>
            <w:r>
              <w:t xml:space="preserve">0.163276</w:t>
            </w:r>
          </w:p>
        </w:tc>
      </w:tr>
    </w:tbl>
    <w:bookmarkEnd w:id="11"/>
    <w:bookmarkStart w:id="12" w:name="Xb6571772d00f1bb47a9c01fae81987bc78076ff"/>
    <w:p>
      <w:pPr>
        <w:pStyle w:val="Heading2"/>
      </w:pPr>
      <w:r>
        <w:t xml:space="preserve">D. Note on legacy PCA-based Caliber Uniformity Score</w:t>
      </w:r>
    </w:p>
    <w:p>
      <w:pPr>
        <w:pStyle w:val="FirstParagraph"/>
      </w:pPr>
      <w:r>
        <w:t xml:space="preserve">The PCA Stability Caliber composite (four radial-profile metrics) is retained only as a sensitivity / legacy comparison for inter-observer concordance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default Caliber Uniformity endpoint in this revision.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2026-07-31T03:50:41Z</dcterms:created>
  <dcterms:modified xsi:type="dcterms:W3CDTF">2026-07-31T03:50:41Z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