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A Comparative Study of Quantitative Biomarkers and Morphological-Pathophysiological Classification</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intra-observer optional if available), and the need for multi-center external validation.</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Indeed, re-analysis of the primary batch CSVs (n = 112) shows that, despite median-anchored scaling,</w:t>
      </w:r>
      <w:r>
        <w:t xml:space="preserve"> </w:t>
      </w:r>
      <w:r>
        <w:rPr>
          <w:b/>
          <w:bCs/>
        </w:rPr>
        <w:t xml:space="preserve">Caliber Uniformity Score</w:t>
      </w:r>
      <w:r>
        <w:t xml:space="preserve"> </w:t>
      </w:r>
      <w:r>
        <w:t xml:space="preserve">and</w:t>
      </w:r>
      <w:r>
        <w:t xml:space="preserve"> </w:t>
      </w:r>
      <w:r>
        <w:rPr>
          <w:b/>
          <w:bCs/>
        </w:rPr>
        <w:t xml:space="preserve">Maturity Index</w:t>
      </w:r>
      <w:r>
        <w:t xml:space="preserve"> </w:t>
      </w:r>
      <w:r>
        <w:t xml:space="preserve">retain significant between-stratum differences with non-negligible effect sizes (see Comment 5). This strengthens the Reviewer’s point: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(“Convergence of 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(Table 2);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planned/underway; see Comment 4);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plus two external examiners) who each performed freehand ROI delineation on a stratified subset of lesions (</w:t>
      </w:r>
      <w:r>
        <w:rPr>
          <w:b/>
          <w:bCs/>
        </w:rPr>
        <w:t xml:space="preserve">n ≈ 20</w:t>
      </w:r>
      <w:r>
        <w:t xml:space="preserve">), with subsequent fully automated processing unchanged. We report</w:t>
      </w:r>
      <w:r>
        <w:t xml:space="preserve"> </w:t>
      </w:r>
      <w:r>
        <w:rPr>
          <w:b/>
          <w:bCs/>
        </w:rPr>
        <w:t xml:space="preserve">multi-rater ICCs</w:t>
      </w:r>
      <w:r>
        <w:t xml:space="preserve"> </w:t>
      </w:r>
      <w:r>
        <w:t xml:space="preserve">(two-way random-effects, absolute agreement, single measures — ICC(2,1); with multilevel / variance-component ICC as a complementary summary where applicable) for lesion area and for Standardized Complexity Score, Standardized Caliber Uniformity Score, and Maturity Index.</w:t>
      </w:r>
      <w:r>
        <w:t xml:space="preserve"> </w:t>
      </w:r>
      <w:r>
        <w:rPr>
          <w:i/>
          <w:iCs/>
        </w:rPr>
        <w:t xml:space="preserve">[To be completed: n = XX lesions; ICC(2,1) area = X.XX (95% CI X.XX–X.XX); complexity = X.XX (X.XX–X.XX); caliber uniformity = X.XX (X.XX–X.XX); maturity = X.XX (X.XX–X.XX).]</w:t>
      </w:r>
    </w:p>
    <w:p>
      <w:pPr>
        <w:pStyle w:val="BodyText"/>
      </w:pPr>
      <w:r>
        <w:rPr>
          <w:b/>
          <w:bCs/>
        </w:rPr>
        <w:t xml:space="preserve">Intra-observer</w:t>
      </w:r>
      <w:r>
        <w:t xml:space="preserve"> </w:t>
      </w:r>
      <w:r>
        <w:t xml:space="preserve">(same-operator test–retest) reproducibility is reported as an optional supplement if paired session data are available; if not completed within the revision timeline, this is acknowledged as a limitation.</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equivalence—and, on re-analysis of the primary git batch CSVs (commit</w:t>
      </w:r>
      <w:r>
        <w:t xml:space="preserve"> </w:t>
      </w:r>
      <w:r>
        <w:rPr>
          <w:rStyle w:val="VerbatimChar"/>
        </w:rPr>
        <w:t xml:space="preserve">1e5d202</w:t>
      </w:r>
      <w:r>
        <w:t xml:space="preserve">; n = 112: large = 49, small = 33, small_3mm = 30), not all between-stratum Kruskal–Wallis tests were non-significant.</w:t>
      </w:r>
    </w:p>
    <w:p>
      <w:pPr>
        <w:pStyle w:val="BodyText"/>
      </w:pPr>
      <w:r>
        <w:t xml:space="preserve">We now report Kruskal–Wallis H, p, and ε² with bootstrap 95% CIs (10 000 within-stratum resamples; seed</w:t>
      </w:r>
      <w:r>
        <w:t xml:space="preserve"> </w:t>
      </w:r>
      <w:r>
        <w:rPr>
          <w:rStyle w:val="VerbatimChar"/>
        </w:rPr>
        <w:t xml:space="preserve">20260727</w:t>
      </w:r>
      <w:r>
        <w:t xml:space="preserve">):</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27.713</w:t>
            </w:r>
          </w:p>
        </w:tc>
        <w:tc>
          <w:tcPr/>
          <w:p>
            <w:pPr>
              <w:pStyle w:val="Compact"/>
            </w:pPr>
            <w:r>
              <w:t xml:space="preserve">9.6×10⁻⁷</w:t>
            </w:r>
          </w:p>
        </w:tc>
        <w:tc>
          <w:tcPr/>
          <w:p>
            <w:pPr>
              <w:pStyle w:val="Compact"/>
            </w:pPr>
            <w:r>
              <w:t xml:space="preserve">0.2359</w:t>
            </w:r>
          </w:p>
        </w:tc>
        <w:tc>
          <w:tcPr/>
          <w:p>
            <w:pPr>
              <w:pStyle w:val="Compact"/>
            </w:pPr>
            <w:r>
              <w:t xml:space="preserve">0.1121–0.3959</w:t>
            </w:r>
          </w:p>
        </w:tc>
        <w:tc>
          <w:tcPr/>
          <w:p>
            <w:pPr>
              <w:pStyle w:val="Compact"/>
            </w:pPr>
            <w:r>
              <w:t xml:space="preserve">66.4 / 56.7 / 58.9</w:t>
            </w:r>
          </w:p>
        </w:tc>
      </w:tr>
      <w:tr>
        <w:tc>
          <w:tcPr/>
          <w:p>
            <w:pPr>
              <w:pStyle w:val="Compact"/>
            </w:pPr>
            <w:r>
              <w:t xml:space="preserve">Maturity Index</w:t>
            </w:r>
          </w:p>
        </w:tc>
        <w:tc>
          <w:tcPr/>
          <w:p>
            <w:pPr>
              <w:pStyle w:val="Compact"/>
            </w:pPr>
            <w:r>
              <w:t xml:space="preserve">28.690</w:t>
            </w:r>
          </w:p>
        </w:tc>
        <w:tc>
          <w:tcPr/>
          <w:p>
            <w:pPr>
              <w:pStyle w:val="Compact"/>
            </w:pPr>
            <w:r>
              <w:t xml:space="preserve">5.89×10⁻⁷</w:t>
            </w:r>
          </w:p>
        </w:tc>
        <w:tc>
          <w:tcPr/>
          <w:p>
            <w:pPr>
              <w:pStyle w:val="Compact"/>
            </w:pPr>
            <w:r>
              <w:t xml:space="preserve">0.2449</w:t>
            </w:r>
          </w:p>
        </w:tc>
        <w:tc>
          <w:tcPr/>
          <w:p>
            <w:pPr>
              <w:pStyle w:val="Compact"/>
            </w:pPr>
            <w:r>
              <w:t xml:space="preserve">0.1224–0.4078</w:t>
            </w:r>
          </w:p>
        </w:tc>
        <w:tc>
          <w:tcPr/>
          <w:p>
            <w:pPr>
              <w:pStyle w:val="Compact"/>
            </w:pPr>
            <w:r>
              <w:t xml:space="preserve">57.5 / 52.4 / 52.8</w:t>
            </w:r>
          </w:p>
        </w:tc>
      </w:tr>
    </w:tbl>
    <w:p>
      <w:pPr>
        <w:pStyle w:val="BodyText"/>
      </w:pPr>
      <w:r>
        <w:rPr>
          <w:b/>
          <w:bCs/>
        </w:rPr>
        <w:t xml:space="preserve">Interpretation:</w:t>
      </w:r>
      <w:r>
        <w:t xml:space="preserve"> </w:t>
      </w:r>
      <w:r>
        <w:t xml:space="preserve">Network Complexity does not differ across strata (p ≈ 0.43; ε² ≈ 0, negligible). In contrast, Caliber Uniformity and Maturity Index show significant between-stratum differences (both p &lt; 0.001) with medium-to-large ε² (≈ 0.24). Thus the original “all Kruskal–Wallis non-significant → scores comparable across devices” framing was incorrect and has been withdrawn. Median-anchored normalization places each stratum’s median near 50 by design, but does</w:t>
      </w:r>
      <w:r>
        <w:t xml:space="preserve"> </w:t>
      </w:r>
      <w:r>
        <w:rPr>
          <w:b/>
          <w:bCs/>
        </w:rPr>
        <w:t xml:space="preserve">not</w:t>
      </w:r>
      <w:r>
        <w:t xml:space="preserve"> </w:t>
      </w:r>
      <w:r>
        <w:t xml:space="preserve">eliminate between-stratum differences or establish biological equivalence—consistent with, and strengthening, Comments 1 and 5.</w:t>
      </w:r>
    </w:p>
    <w:p>
      <w:pPr>
        <w:pStyle w:val="BodyText"/>
      </w:pPr>
      <w:r>
        <w:rPr>
          <w:b/>
          <w:bCs/>
        </w:rPr>
        <w:t xml:space="preserve">Changes made:</w:t>
      </w:r>
      <w:r>
        <w:t xml:space="preserve"> </w:t>
      </w:r>
      <w:r>
        <w:t xml:space="preserve">- Removed “statistically indistinguishable / therefore comparable” and “all KW non-significant” language.</w:t>
      </w:r>
      <w:r>
        <w:t xml:space="preserve"> </w:t>
      </w:r>
      <w:r>
        <w:t xml:space="preserve">- Added ε² with bootstrap CIs alongside Kruskal–Wallis statistics (revised Table 3 / Results).</w:t>
      </w:r>
      <w:r>
        <w:t xml:space="preserve"> </w:t>
      </w:r>
      <w:r>
        <w:t xml:space="preserve">- Explicitly report that Complexity is NS whereas Caliber Uniformity and Maturity Index differ across strata with non-negligible effect sizes.</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 tables,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Tree-in-bud, Glomerular, Seafan, Medusa). They have been removed from Table 5 / the comparative biomarker table (or clearly labeled as literature-only descriptors if retained for historical comparison). Table 4 and the classification Methods are now fully aligned.</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Table 2 legend has been corrected.</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n≈20; area + standardized scores)</w:t>
            </w:r>
          </w:p>
        </w:tc>
        <w:tc>
          <w:tcPr/>
          <w:p>
            <w:pPr>
              <w:pStyle w:val="Compact"/>
            </w:pPr>
            <w:r>
              <w:t xml:space="preserve">In progress — awaiting incoming CSVs; results in revised Methods/Results</w:t>
            </w:r>
          </w:p>
        </w:tc>
      </w:tr>
      <w:tr>
        <w:tc>
          <w:tcPr/>
          <w:p>
            <w:pPr>
              <w:pStyle w:val="Compact"/>
            </w:pPr>
            <w:r>
              <w:t xml:space="preserve">Effect sizes (+ CIs) for between-stratum standardized scores</w:t>
            </w:r>
          </w:p>
        </w:tc>
        <w:tc>
          <w:tcPr/>
          <w:p>
            <w:pPr>
              <w:pStyle w:val="Compact"/>
            </w:pPr>
            <w:r>
              <w:t xml:space="preserve">Added — Complexity NS (ε²≈0); Caliber Uniformity &amp; Maturity Index significant (ε²≈0.24); not “all KW NS”</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(optional); longitudinal clinical anchors; full baseline demographics</w:t>
            </w:r>
          </w:p>
        </w:tc>
        <w:tc>
          <w:tcPr/>
          <w:p>
            <w:pPr>
              <w:pStyle w:val="Compact"/>
            </w:pPr>
            <w:r>
              <w:t xml:space="preserve">Intra-observer optional/limitation if unavailable;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p>
      <w:r>
        <w:pict>
          <v:rect style="width:0;height:1.5pt" o:hralign="center" o:hrstd="t" o:hr="t"/>
        </w:pict>
      </w:r>
    </w:p>
    <w:bookmarkEnd w:id="22"/>
    <w:bookmarkStart w:id="23" w:name="internal-notes-not-for-submission"/>
    <w:p>
      <w:pPr>
        <w:pStyle w:val="Heading2"/>
      </w:pPr>
      <w:r>
        <w:t xml:space="preserve">Internal notes (NOT for submission)</w:t>
      </w:r>
    </w:p>
    <w:p>
      <w:pPr>
        <w:pStyle w:val="Compact"/>
        <w:numPr>
          <w:ilvl w:val="0"/>
          <w:numId w:val="1003"/>
        </w:numPr>
      </w:pPr>
      <w:r>
        <w:t xml:space="preserve">Fill ICC placeholders after analyses (κ filled from</w:t>
      </w:r>
      <w:r>
        <w:t xml:space="preserve"> </w:t>
      </w:r>
      <w:r>
        <w:rPr>
          <w:rStyle w:val="VerbatimChar"/>
        </w:rPr>
        <w:t xml:space="preserve">grading/agreement_stats.md</w:t>
      </w:r>
      <w:r>
        <w:t xml:space="preserve">; effect sizes filled from</w:t>
      </w:r>
      <w:r>
        <w:t xml:space="preserve"> </w:t>
      </w:r>
      <w:r>
        <w:rPr>
          <w:rStyle w:val="VerbatimChar"/>
        </w:rPr>
        <w:t xml:space="preserve">stats/table3_effect_sizes.md</w:t>
      </w:r>
      <w:r>
        <w:t xml:space="preserve">).</w:t>
      </w:r>
    </w:p>
    <w:p>
      <w:pPr>
        <w:pStyle w:val="Compact"/>
        <w:numPr>
          <w:ilvl w:val="0"/>
          <w:numId w:val="1003"/>
        </w:numPr>
      </w:pPr>
      <w:r>
        <w:t xml:space="preserve">Decide final title (suggest removing “Pathophysiological” or replacing with “Morphology-Derived Categorization”).</w:t>
      </w:r>
    </w:p>
    <w:p>
      <w:pPr>
        <w:pStyle w:val="Compact"/>
        <w:numPr>
          <w:ilvl w:val="0"/>
          <w:numId w:val="1003"/>
        </w:numPr>
      </w:pPr>
      <w:r>
        <w:t xml:space="preserve">Suggested title option:</w:t>
      </w:r>
      <w:r>
        <w:br/>
      </w:r>
      <w:r>
        <w:rPr>
          <w:i/>
          <w:iCs/>
        </w:rPr>
        <w:t xml:space="preserve">Novel Semi-Automated System for Multi-Dimensional Analysis of Macular Neovascularization: Quantitative Biomarkers and Rule-Based Morphological Categorization Across OCTA Platforms</w:t>
      </w:r>
    </w:p>
    <w:p>
      <w:pPr>
        <w:pStyle w:val="Compact"/>
        <w:numPr>
          <w:ilvl w:val="0"/>
          <w:numId w:val="1003"/>
        </w:numPr>
      </w:pPr>
      <w:r>
        <w:t xml:space="preserve">Figure 1 = existing multi-device examples; Figure 2 = new workflow schematic (to create).</w:t>
      </w:r>
    </w:p>
    <w:p>
      <w:pPr>
        <w:pStyle w:val="Compact"/>
        <w:numPr>
          <w:ilvl w:val="0"/>
          <w:numId w:val="1003"/>
        </w:numPr>
      </w:pPr>
      <w:r>
        <w:t xml:space="preserve">For expert grading: YY should grade from original OCTA (or unmarked exports) without seeing automated subtype; lock grades before unblinding.</w:t>
      </w:r>
    </w:p>
    <w:p>
      <w:pPr>
        <w:pStyle w:val="Compact"/>
        <w:numPr>
          <w:ilvl w:val="0"/>
          <w:numId w:val="1003"/>
        </w:numPr>
      </w:pPr>
      <w:r>
        <w:t xml:space="preserve">ICC primary: 3-observer multi-rater ICC(2,1) on n≈20; multilevel VC ICC optional; intra-observer S1/S2 only if data allow.</w:t>
      </w:r>
    </w:p>
    <w:p>
      <w:pPr>
        <w:pStyle w:val="Compact"/>
        <w:numPr>
          <w:ilvl w:val="0"/>
          <w:numId w:val="1003"/>
        </w:numPr>
      </w:pPr>
      <w:r>
        <w:t xml:space="preserve">Convert this file to PDF for “File 1: response to reviewers” after numbers are filled.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2026-07-27T11:10:09Z</dcterms:created>
  <dcterms:modified xsi:type="dcterms:W3CDTF">2026-07-27T11:10:09Z</dcterms:modified>
</cp:coreProperties>
</file>

<file path=docProps/custom.xml><?xml version="1.0" encoding="utf-8"?>
<Properties xmlns="http://schemas.openxmlformats.org/officeDocument/2006/custom-properties" xmlns:vt="http://schemas.openxmlformats.org/officeDocument/2006/docPropsVTypes"/>
</file>