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cbd8d3e6c9431a0438cea2019a727fdc5dbfdf7"/>
    <w:p>
      <w:pPr>
        <w:pStyle w:val="Heading1"/>
      </w:pPr>
      <w:r>
        <w:t xml:space="preserve">Micron MNV training — U2 </w:t>
      </w:r>
      <w:r>
        <w:rPr>
          <w:rFonts w:hint="eastAsia"/>
        </w:rPr>
        <w:t xml:space="preserve">再計算と読者間</w:t>
      </w:r>
      <w:r>
        <w:t xml:space="preserve"> </w:t>
      </w:r>
      <w:r>
        <w:rPr>
          <w:rFonts w:hint="eastAsia"/>
        </w:rPr>
        <w:t xml:space="preserve">ICC（2026-08-07）</w:t>
      </w:r>
    </w:p>
    <w:bookmarkStart w:id="9" w:name="データ対応"/>
    <w:p>
      <w:pPr>
        <w:pStyle w:val="Heading2"/>
      </w:pPr>
      <w:r>
        <w:rPr>
          <w:rFonts w:hint="eastAsia"/>
        </w:rPr>
        <w:t xml:space="preserve">データ対応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1440"/>
        <w:gridCol w:w="26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Analyst列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mnv_batch_20260726_145327_3c94f5</w:t>
            </w:r>
          </w:p>
        </w:tc>
        <w:tc>
          <w:tcPr/>
          <w:p>
            <w:pPr>
              <w:pStyle w:val="Compact"/>
            </w:pPr>
            <w:r>
              <w:t xml:space="preserve">102-001</w:t>
            </w:r>
          </w:p>
        </w:tc>
        <w:tc>
          <w:tcPr/>
          <w:p>
            <w:pPr>
              <w:pStyle w:val="Compact"/>
            </w:pPr>
            <w:r>
              <w:t xml:space="preserve">Satoru Inoda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トレーニング当日（伊野田）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mnv_batch_20260726_152232_644ccd</w:t>
            </w:r>
          </w:p>
        </w:tc>
        <w:tc>
          <w:tcPr/>
          <w:p>
            <w:pPr>
              <w:pStyle w:val="Compact"/>
            </w:pPr>
            <w:r>
              <w:t xml:space="preserve">102-002</w:t>
            </w:r>
          </w:p>
        </w:tc>
        <w:tc>
          <w:tcPr/>
          <w:p>
            <w:pPr>
              <w:pStyle w:val="Compact"/>
            </w:pPr>
            <w:r>
              <w:t xml:space="preserve">Inoue Tatsuya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トレーニング当日（井上）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mnv_batch_20260731_162922_e4fae1</w:t>
            </w:r>
          </w:p>
        </w:tc>
        <w:tc>
          <w:tcPr/>
          <w:p>
            <w:pPr>
              <w:pStyle w:val="Compact"/>
            </w:pPr>
            <w:r>
              <w:t xml:space="preserve">102-001</w:t>
            </w:r>
          </w:p>
        </w:tc>
        <w:tc>
          <w:tcPr/>
          <w:p>
            <w:pPr>
              <w:pStyle w:val="Compact"/>
            </w:pPr>
            <w:r>
              <w:t xml:space="preserve">Tatsuya Inoue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割当交換後（井上）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mnv_batch_20260730_111201_5d7ec1</w:t>
            </w:r>
          </w:p>
        </w:tc>
        <w:tc>
          <w:tcPr/>
          <w:p>
            <w:pPr>
              <w:pStyle w:val="Compact"/>
            </w:pPr>
            <w:r>
              <w:t xml:space="preserve">102-002</w:t>
            </w:r>
          </w:p>
        </w:tc>
        <w:tc>
          <w:tcPr/>
          <w:p>
            <w:pPr>
              <w:pStyle w:val="Compact"/>
            </w:pPr>
            <w:r>
              <w:t xml:space="preserve">ARIAKE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割当交換後（伊野田想定・ログイン名ARIAKE）</w:t>
            </w:r>
          </w:p>
        </w:tc>
      </w:tr>
    </w:tbl>
    <w:p>
      <w:pPr>
        <w:pStyle w:val="BodyText"/>
      </w:pPr>
      <w:r>
        <w:t xml:space="preserve">マッチ: </w:t>
      </w:r>
      <w:r>
        <w:rPr>
          <w:rFonts w:hint="eastAsia"/>
        </w:rPr>
        <w:t xml:space="preserve">同一症例・同一</w:t>
      </w:r>
      <w:r>
        <w:t xml:space="preserve"> </w:t>
      </w:r>
      <w:r>
        <w:rPr>
          <w:rFonts w:hint="eastAsia"/>
        </w:rPr>
        <w:t xml:space="preserve">Visit（Baseline</w:t>
      </w:r>
      <w:r>
        <w:t xml:space="preserve"> / </w:t>
      </w:r>
      <w:r>
        <w:rPr>
          <w:rFonts w:hint="eastAsia"/>
        </w:rPr>
        <w:t xml:space="preserve">Week*）。プール</w:t>
      </w:r>
      <w:r>
        <w:t xml:space="preserve"> </w:t>
      </w:r>
      <w:r>
        <w:rPr>
          <w:rFonts w:hint="eastAsia"/>
        </w:rPr>
        <w:t xml:space="preserve">n=23（102-001:12、102-002:11）。</w:t>
      </w:r>
      <w:r>
        <w:t xml:space="preserve"> </w:t>
      </w:r>
      <w:r>
        <w:t xml:space="preserve">size_class:</w:t>
      </w:r>
      <w:r>
        <w:t xml:space="preserve"> </w:t>
      </w:r>
      <w:r>
        <w:rPr>
          <w:rStyle w:val="VerbatimChar"/>
        </w:rPr>
        <w:t xml:space="preserve">small_3mm</w:t>
      </w:r>
      <w:r>
        <w:t xml:space="preserve"> </w:t>
      </w:r>
      <w:r>
        <w:rPr>
          <w:rFonts w:hint="eastAsia"/>
        </w:rPr>
        <w:t xml:space="preserve">固定で</w:t>
      </w:r>
      <w:r>
        <w:t xml:space="preserve"> U2 </w:t>
      </w:r>
      <w:r>
        <w:rPr>
          <w:rFonts w:hint="eastAsia"/>
        </w:rPr>
        <w:t xml:space="preserve">再計算。</w:t>
      </w:r>
    </w:p>
    <w:p>
      <w:pPr>
        <w:pStyle w:val="BodyText"/>
      </w:pPr>
      <w:r>
        <w:rPr>
          <w:rFonts w:hint="eastAsia"/>
        </w:rPr>
        <w:t xml:space="preserve">出力: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*_U2.csv</w:t>
      </w:r>
      <w:r>
        <w:rPr>
          <w:rFonts w:hint="eastAsia"/>
        </w:rPr>
        <w:t xml:space="preserve">（各バッチ）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icc_interrater_after_U2_20260807.csv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paired_visits_long_U2_20260807.csv</w:t>
      </w:r>
    </w:p>
    <w:bookmarkEnd w:id="9"/>
    <w:bookmarkStart w:id="11" w:name="プール-icc21絶対一致"/>
    <w:p>
      <w:pPr>
        <w:pStyle w:val="Heading2"/>
      </w:pPr>
      <w:r>
        <w:t xml:space="preserve">プール </w:t>
      </w:r>
      <w:r>
        <w:rPr>
          <w:rFonts w:hint="eastAsia"/>
        </w:rPr>
        <w:t xml:space="preserve">ICC(2,1)（絶対一致）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ICC(2,1)</w:t>
            </w:r>
          </w:p>
        </w:tc>
        <w:tc>
          <w:tcPr/>
          <w:p>
            <w:pPr>
              <w:pStyle w:val="Compact"/>
            </w:pPr>
            <w:r>
              <w:t xml:space="preserve">Pearson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解釈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Complexity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0.975</w:t>
            </w:r>
          </w:p>
        </w:tc>
        <w:tc>
          <w:tcPr/>
          <w:p>
            <w:pPr>
              <w:pStyle w:val="Compact"/>
            </w:pPr>
            <w:r>
              <w:t xml:space="preserve">0.977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Tortuosity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0.891</w:t>
            </w:r>
          </w:p>
        </w:tc>
        <w:tc>
          <w:tcPr/>
          <w:p>
            <w:pPr>
              <w:pStyle w:val="Compact"/>
            </w:pPr>
            <w:r>
              <w:t xml:space="preserve">0.897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良〜優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 Diameter (CV)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0.868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Fractal Dim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0.818</w:t>
            </w:r>
          </w:p>
        </w:tc>
        <w:tc>
          <w:tcPr/>
          <w:p>
            <w:pPr>
              <w:pStyle w:val="Compact"/>
            </w:pPr>
            <w:r>
              <w:t xml:space="preserve">0.856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Vsl Area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0.765</w:t>
            </w:r>
          </w:p>
        </w:tc>
        <w:tc>
          <w:tcPr/>
          <w:p>
            <w:pPr>
              <w:pStyle w:val="Compact"/>
            </w:pPr>
            <w:r>
              <w:t xml:space="preserve">0.780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Maturity U2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0.768</w:t>
            </w:r>
          </w:p>
        </w:tc>
        <w:tc>
          <w:tcPr/>
          <w:p>
            <w:pPr>
              <w:pStyle w:val="Compact"/>
            </w:pPr>
            <w:r>
              <w:t xml:space="preserve">0.768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Caliber U2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0.707</w:t>
            </w:r>
          </w:p>
        </w:tc>
        <w:tc>
          <w:tcPr/>
          <w:p>
            <w:pPr>
              <w:pStyle w:val="Compact"/>
            </w:pPr>
            <w:r>
              <w:t xml:space="preserve">0.706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中〜良</w:t>
            </w:r>
          </w:p>
        </w:tc>
      </w:tr>
      <w:tr>
        <w:tc>
          <w:tcPr/>
          <w:p>
            <w:pPr>
              <w:pStyle w:val="Compact"/>
            </w:pPr>
            <w:r>
              <w:t xml:space="preserve">MNV Area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0.633</w:t>
            </w:r>
          </w:p>
        </w:tc>
        <w:tc>
          <w:tcPr/>
          <w:p>
            <w:pPr>
              <w:pStyle w:val="Compact"/>
            </w:pPr>
            <w:r>
              <w:t xml:space="preserve">0.660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Vsl Density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0.632</w:t>
            </w:r>
          </w:p>
        </w:tc>
        <w:tc>
          <w:tcPr/>
          <w:p>
            <w:pPr>
              <w:pStyle w:val="Compact"/>
            </w:pPr>
            <w:r>
              <w:t xml:space="preserve">0.715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Dilated vessel %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0.520</w:t>
            </w:r>
          </w:p>
        </w:tc>
        <w:tc>
          <w:tcPr/>
          <w:p>
            <w:pPr>
              <w:pStyle w:val="Compact"/>
            </w:pPr>
            <w:r>
              <w:t xml:space="preserve">0.514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Maturity（旧）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0.452</w:t>
            </w:r>
          </w:p>
        </w:tc>
        <w:tc>
          <w:tcPr/>
          <w:p>
            <w:pPr>
              <w:pStyle w:val="Compact"/>
            </w:pPr>
            <w:r>
              <w:t xml:space="preserve">0.503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Caliber（PCA旧）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0.324</w:t>
            </w:r>
          </w:p>
        </w:tc>
        <w:tc>
          <w:tcPr/>
          <w:p>
            <w:pPr>
              <w:pStyle w:val="Compact"/>
            </w:pPr>
            <w:r>
              <w:t xml:space="preserve">0.364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bookmarkStart w:id="10" w:name="u2-の効果"/>
    <w:p>
      <w:pPr>
        <w:pStyle w:val="Heading3"/>
      </w:pPr>
      <w:r>
        <w:t xml:space="preserve">U2 </w:t>
      </w:r>
      <w:r>
        <w:rPr>
          <w:rFonts w:hint="eastAsia"/>
        </w:rPr>
        <w:t xml:space="preserve">の効果</w:t>
      </w:r>
    </w:p>
    <w:p>
      <w:pPr>
        <w:pStyle w:val="Compact"/>
        <w:numPr>
          <w:ilvl w:val="0"/>
          <w:numId w:val="1001"/>
        </w:numPr>
      </w:pPr>
      <w:r>
        <w:t xml:space="preserve">Caliber: PCA 0.324 →</w:t>
      </w:r>
      <w:r>
        <w:t xml:space="preserve"> </w:t>
      </w:r>
      <w:r>
        <w:rPr>
          <w:b/>
          <w:bCs/>
        </w:rPr>
        <w:t xml:space="preserve">U2 0.707</w:t>
      </w:r>
    </w:p>
    <w:p>
      <w:pPr>
        <w:pStyle w:val="Compact"/>
        <w:numPr>
          <w:ilvl w:val="0"/>
          <w:numId w:val="1001"/>
        </w:numPr>
      </w:pPr>
      <w:r>
        <w:t xml:space="preserve">Maturity: </w:t>
      </w:r>
      <w:r>
        <w:rPr>
          <w:rFonts w:hint="eastAsia"/>
        </w:rPr>
        <w:t xml:space="preserve">旧</w:t>
      </w:r>
      <w:r>
        <w:t xml:space="preserve"> 0.452 →</w:t>
      </w:r>
      <w:r>
        <w:t xml:space="preserve"> </w:t>
      </w:r>
      <w:r>
        <w:rPr>
          <w:b/>
          <w:bCs/>
        </w:rPr>
        <w:t xml:space="preserve">U2 0.768</w:t>
      </w:r>
    </w:p>
    <w:bookmarkEnd w:id="10"/>
    <w:bookmarkEnd w:id="11"/>
    <w:bookmarkStart w:id="12" w:name="症例別の注意mnv-area"/>
    <w:p>
      <w:pPr>
        <w:pStyle w:val="Heading2"/>
      </w:pPr>
      <w:r>
        <w:rPr>
          <w:rFonts w:hint="eastAsia"/>
        </w:rPr>
        <w:t xml:space="preserve">症例別の注意（MNV</w:t>
      </w:r>
      <w:r>
        <w:t xml:space="preserve"> </w:t>
      </w:r>
      <w:r>
        <w:rPr>
          <w:rFonts w:hint="eastAsia"/>
        </w:rPr>
        <w:t xml:space="preserve">Area）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症例</w:t>
            </w:r>
          </w:p>
        </w:tc>
        <w:tc>
          <w:tcPr/>
          <w:p>
            <w:pPr>
              <w:pStyle w:val="Compact"/>
            </w:pPr>
            <w:r>
              <w:t xml:space="preserve">MNV Area ICC</w:t>
            </w:r>
          </w:p>
        </w:tc>
        <w:tc>
          <w:tcPr/>
          <w:p>
            <w:pPr>
              <w:pStyle w:val="Compact"/>
            </w:pPr>
            <w:r>
              <w:t xml:space="preserve">Caliber U2 ICC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102-001（伊野田↔井上）</w:t>
            </w:r>
          </w:p>
        </w:tc>
        <w:tc>
          <w:tcPr/>
          <w:p>
            <w:pPr>
              <w:pStyle w:val="Compact"/>
            </w:pPr>
            <w:r>
              <w:t xml:space="preserve">0.383</w:t>
            </w:r>
          </w:p>
        </w:tc>
        <w:tc>
          <w:tcPr/>
          <w:p>
            <w:pPr>
              <w:pStyle w:val="Compact"/>
            </w:pPr>
            <w:r>
              <w:t xml:space="preserve">0.688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102-002（井上↔ARIAKE/伊野田）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0.151</w:t>
            </w:r>
          </w:p>
        </w:tc>
        <w:tc>
          <w:tcPr/>
          <w:p>
            <w:pPr>
              <w:pStyle w:val="Compact"/>
            </w:pPr>
            <w:r>
              <w:t xml:space="preserve">0.761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ROI（MNV</w:t>
      </w:r>
      <w:r>
        <w:t xml:space="preserve"> </w:t>
      </w:r>
      <w:r>
        <w:rPr>
          <w:rFonts w:hint="eastAsia"/>
        </w:rPr>
        <w:t xml:space="preserve">Area）は読者間のばらつきが大きく、特に</w:t>
      </w:r>
      <w:r>
        <w:t xml:space="preserve"> 102-002 </w:t>
      </w:r>
      <w:r>
        <w:rPr>
          <w:rFonts w:hint="eastAsia"/>
        </w:rPr>
        <w:t xml:space="preserve">で一致が低い。</w:t>
      </w:r>
    </w:p>
    <w:bookmarkEnd w:id="12"/>
    <w:bookmarkStart w:id="13" w:name="判断シングル-vs-二重読影"/>
    <w:p>
      <w:pPr>
        <w:pStyle w:val="Heading2"/>
      </w:pPr>
      <w:r>
        <w:rPr>
          <w:rFonts w:hint="eastAsia"/>
        </w:rPr>
        <w:t xml:space="preserve">判断（シングル</w:t>
      </w:r>
      <w:r>
        <w:t xml:space="preserve"> vs </w:t>
      </w:r>
      <w:r>
        <w:rPr>
          <w:rFonts w:hint="eastAsia"/>
        </w:rPr>
        <w:t xml:space="preserve">二重読影）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理想・推奨: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二重読影（または主解析＋Area乖離時の合議／再読影）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根拠:</w:t>
      </w:r>
      <w:r>
        <w:t xml:space="preserve"> </w:t>
      </w:r>
      <w:r>
        <w:rPr>
          <w:rFonts w:hint="eastAsia"/>
        </w:rPr>
        <w:t xml:space="preserve">主要臨床エンドポイント候補の</w:t>
      </w:r>
      <w:r>
        <w:t xml:space="preserve"> </w:t>
      </w:r>
      <w:r>
        <w:rPr>
          <w:b/>
          <w:bCs/>
        </w:rPr>
        <w:t xml:space="preserve">MNV Area</w:t>
      </w:r>
      <w:r>
        <w:t xml:space="preserve"> </w:t>
      </w:r>
      <w:r>
        <w:rPr>
          <w:rFonts w:hint="eastAsia"/>
        </w:rPr>
        <w:t xml:space="preserve">が中等度〜不良。形態スコア（Complexity</w:t>
      </w:r>
      <w:r>
        <w:t xml:space="preserve"> / Tortuosity / Fractal / Caliber </w:t>
      </w:r>
      <w:r>
        <w:rPr>
          <w:rFonts w:hint="eastAsia"/>
        </w:rPr>
        <w:t xml:space="preserve">U2）は比較的良好だが、Area</w:t>
      </w:r>
      <w:r>
        <w:t xml:space="preserve"> </w:t>
      </w:r>
      <w:r>
        <w:rPr>
          <w:rFonts w:hint="eastAsia"/>
        </w:rPr>
        <w:t xml:space="preserve">不一致をシングル解析だけで固定するのは論文化・試験運用上リスクが高い。</w:t>
      </w:r>
    </w:p>
    <w:p>
      <w:pPr>
        <w:pStyle w:val="Compact"/>
        <w:numPr>
          <w:ilvl w:val="0"/>
          <w:numId w:val="1002"/>
        </w:numPr>
      </w:pPr>
      <w:r>
        <w:t xml:space="preserve">Caliber は</w:t>
      </w:r>
      <w:r>
        <w:t xml:space="preserve"> </w:t>
      </w:r>
      <w:r>
        <w:rPr>
          <w:rFonts w:hint="eastAsia"/>
          <w:b/>
          <w:bCs/>
        </w:rPr>
        <w:t xml:space="preserve">U2（standardized）を正式値</w:t>
      </w:r>
      <w:r>
        <w:rPr>
          <w:rFonts w:hint="eastAsia"/>
        </w:rPr>
        <w:t xml:space="preserve">とし、旧</w:t>
      </w:r>
      <w:r>
        <w:t xml:space="preserve"> PCA Caliber </w:t>
      </w:r>
      <w:r>
        <w:rPr>
          <w:rFonts w:hint="eastAsia"/>
        </w:rPr>
        <w:t xml:space="preserve">は参考扱い。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</w:t>
      </w:r>
      <w:r>
        <w:t xml:space="preserve"> ICC </w:t>
      </w:r>
      <w:r>
        <w:rPr>
          <w:rFonts w:hint="eastAsia"/>
        </w:rPr>
        <w:t xml:space="preserve">はトレーニング用</w:t>
      </w:r>
      <w:r>
        <w:t xml:space="preserve"> 2 </w:t>
      </w:r>
      <w:r>
        <w:rPr>
          <w:rFonts w:hint="eastAsia"/>
        </w:rPr>
        <w:t xml:space="preserve">症例・Visit</w:t>
      </w:r>
      <w:r>
        <w:t xml:space="preserve"> </w:t>
      </w:r>
      <w:r>
        <w:rPr>
          <w:rFonts w:hint="eastAsia"/>
        </w:rPr>
        <w:t xml:space="preserve">ペアの探索的確認であり、確定バリデーションではない。stack</w:t>
      </w:r>
      <w:r>
        <w:t xml:space="preserve"> registration </w:t>
      </w:r>
      <w:r>
        <w:rPr>
          <w:rFonts w:hint="eastAsia"/>
        </w:rPr>
        <w:t xml:space="preserve">改修後の再解析で再評価が望ましい。</w:t>
      </w:r>
    </w:p>
    <w:bookmarkEnd w:id="13"/>
    <w:bookmarkStart w:id="14" w:name="stack-reg"/>
    <w:p>
      <w:pPr>
        <w:pStyle w:val="Heading2"/>
      </w:pPr>
      <w:r>
        <w:t xml:space="preserve">stack reg</w:t>
      </w:r>
    </w:p>
    <w:p>
      <w:pPr>
        <w:pStyle w:val="FirstParagraph"/>
      </w:pPr>
      <w:r>
        <w:rPr>
          <w:rFonts w:hint="eastAsia"/>
        </w:rPr>
        <w:t xml:space="preserve">クラウド側でアップグレード中。改修後に追加／再配布画像があり得る</w:t>
      </w:r>
      <w:r>
        <w:t xml:space="preserve"> → </w:t>
      </w:r>
      <w:r>
        <w:rPr>
          <w:rFonts w:hint="eastAsia"/>
        </w:rPr>
        <w:t xml:space="preserve">その際は再解析・ICC</w:t>
      </w:r>
      <w:r>
        <w:t xml:space="preserve"> </w:t>
      </w:r>
      <w:r>
        <w:rPr>
          <w:rFonts w:hint="eastAsia"/>
        </w:rPr>
        <w:t xml:space="preserve">再確認の余地あり。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2026-08-07T06:15:46Z</dcterms:created>
  <dcterms:modified xsi:type="dcterms:W3CDTF">2026-08-07T06:15:46Z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